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F4" w:rsidRPr="008569E0" w:rsidRDefault="00930C64" w:rsidP="007F11F4">
      <w:pPr>
        <w:pStyle w:val="Title"/>
        <w:jc w:val="right"/>
        <w:rPr>
          <w:b w:val="0"/>
          <w:bCs w:val="0"/>
          <w:color w:val="000000"/>
          <w:sz w:val="40"/>
          <w:szCs w:val="56"/>
        </w:rPr>
      </w:pPr>
      <w:r>
        <w:rPr>
          <w:noProof/>
          <w:color w:val="000000"/>
          <w:sz w:val="40"/>
          <w:szCs w:val="56"/>
        </w:rPr>
        <mc:AlternateContent>
          <mc:Choice Requires="wps">
            <w:drawing>
              <wp:anchor distT="0" distB="0" distL="114300" distR="114300" simplePos="0" relativeHeight="251658240" behindDoc="0" locked="0" layoutInCell="1" allowOverlap="1">
                <wp:simplePos x="0" y="0"/>
                <wp:positionH relativeFrom="column">
                  <wp:posOffset>4885258</wp:posOffset>
                </wp:positionH>
                <wp:positionV relativeFrom="paragraph">
                  <wp:posOffset>-635539</wp:posOffset>
                </wp:positionV>
                <wp:extent cx="1348740" cy="412750"/>
                <wp:effectExtent l="0" t="0" r="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C64" w:rsidRPr="005346BE" w:rsidRDefault="00930C64" w:rsidP="0097731D">
                            <w:pPr>
                              <w:jc w:val="center"/>
                              <w:rPr>
                                <w:rFonts w:ascii="Arial" w:hAnsi="Arial" w:cs="Arial"/>
                                <w:b/>
                                <w:color w:val="000000"/>
                                <w:sz w:val="44"/>
                                <w:szCs w:val="44"/>
                              </w:rPr>
                            </w:pPr>
                            <w:r>
                              <w:rPr>
                                <w:rFonts w:ascii="Arial" w:hAnsi="Arial" w:cs="Arial"/>
                                <w:b/>
                                <w:color w:val="000000"/>
                                <w:sz w:val="44"/>
                                <w:szCs w:val="44"/>
                              </w:rPr>
                              <w:t>76322 v1</w:t>
                            </w:r>
                            <w:bookmarkStart w:id="0" w:name="_GoBack"/>
                            <w:bookmarkEnd w:id="0"/>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84.65pt;margin-top:-50.05pt;width:106.2pt;height:3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wRsQIAALk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" filled="f" stroked="f">
                <v:textbox style="mso-fit-shape-to-text:t">
                  <w:txbxContent>
                    <w:p w:rsidR="00930C64" w:rsidRPr="005346BE" w:rsidRDefault="00930C64" w:rsidP="0097731D">
                      <w:pPr>
                        <w:jc w:val="center"/>
                        <w:rPr>
                          <w:rFonts w:ascii="Arial" w:hAnsi="Arial" w:cs="Arial"/>
                          <w:b/>
                          <w:color w:val="000000"/>
                          <w:sz w:val="44"/>
                          <w:szCs w:val="44"/>
                        </w:rPr>
                      </w:pPr>
                      <w:r>
                        <w:rPr>
                          <w:rFonts w:ascii="Arial" w:hAnsi="Arial" w:cs="Arial"/>
                          <w:b/>
                          <w:color w:val="000000"/>
                          <w:sz w:val="44"/>
                          <w:szCs w:val="44"/>
                        </w:rPr>
                        <w:t>76322 v1</w:t>
                      </w:r>
                      <w:bookmarkStart w:id="1" w:name="_GoBack"/>
                      <w:bookmarkEnd w:id="1"/>
                    </w:p>
                  </w:txbxContent>
                </v:textbox>
              </v:shape>
            </w:pict>
          </mc:Fallback>
        </mc:AlternateContent>
      </w:r>
      <w:r w:rsidR="005621D5">
        <w:rPr>
          <w:color w:val="000000"/>
          <w:sz w:val="40"/>
          <w:szCs w:val="56"/>
        </w:rPr>
        <w:t xml:space="preserve">Final </w:t>
      </w:r>
    </w:p>
    <w:p w:rsidR="007F11F4" w:rsidRPr="008569E0" w:rsidRDefault="007F11F4" w:rsidP="007F11F4"/>
    <w:p w:rsidR="007F11F4" w:rsidRPr="008569E0" w:rsidRDefault="007F11F4" w:rsidP="007F11F4"/>
    <w:p w:rsidR="007F11F4" w:rsidRPr="008569E0" w:rsidRDefault="007F11F4" w:rsidP="007F11F4"/>
    <w:p w:rsidR="007F11F4" w:rsidRPr="008569E0" w:rsidRDefault="007F11F4" w:rsidP="007F11F4"/>
    <w:p w:rsidR="007F11F4" w:rsidRPr="008569E0" w:rsidRDefault="007F11F4" w:rsidP="007F11F4"/>
    <w:p w:rsidR="007F11F4" w:rsidRPr="008569E0" w:rsidRDefault="007F11F4" w:rsidP="007F11F4"/>
    <w:p w:rsidR="007F11F4" w:rsidRPr="008569E0" w:rsidRDefault="007F11F4" w:rsidP="007F11F4"/>
    <w:p w:rsidR="007F11F4" w:rsidRPr="008569E0" w:rsidRDefault="007F11F4" w:rsidP="007F11F4"/>
    <w:p w:rsidR="007F11F4" w:rsidRPr="008569E0" w:rsidRDefault="007F11F4" w:rsidP="007F11F4">
      <w:pPr>
        <w:pStyle w:val="Title"/>
        <w:rPr>
          <w:b w:val="0"/>
          <w:bCs w:val="0"/>
          <w:color w:val="000000"/>
          <w:sz w:val="56"/>
          <w:szCs w:val="56"/>
        </w:rPr>
      </w:pPr>
      <w:r w:rsidRPr="008569E0">
        <w:rPr>
          <w:color w:val="000000"/>
          <w:sz w:val="56"/>
          <w:szCs w:val="56"/>
        </w:rPr>
        <w:t>ARMENIA</w:t>
      </w:r>
    </w:p>
    <w:p w:rsidR="007F11F4" w:rsidRPr="008569E0" w:rsidRDefault="007F11F4" w:rsidP="007F11F4">
      <w:pPr>
        <w:jc w:val="center"/>
        <w:rPr>
          <w:b/>
          <w:caps/>
          <w:color w:val="000000"/>
          <w:sz w:val="48"/>
          <w:szCs w:val="48"/>
        </w:rPr>
      </w:pPr>
    </w:p>
    <w:p w:rsidR="007F11F4" w:rsidRPr="008569E0" w:rsidRDefault="007F11F4" w:rsidP="007F11F4">
      <w:pPr>
        <w:pStyle w:val="Subtitle"/>
        <w:rPr>
          <w:rFonts w:eastAsia="BatangChe"/>
          <w:b/>
          <w:i/>
          <w:color w:val="000000"/>
          <w:sz w:val="48"/>
          <w:szCs w:val="48"/>
        </w:rPr>
      </w:pPr>
      <w:r w:rsidRPr="008569E0">
        <w:rPr>
          <w:rFonts w:eastAsia="BatangChe"/>
          <w:b/>
          <w:i/>
          <w:color w:val="000000"/>
          <w:sz w:val="48"/>
          <w:szCs w:val="48"/>
        </w:rPr>
        <w:t xml:space="preserve">Diagnostic Review of </w:t>
      </w:r>
    </w:p>
    <w:p w:rsidR="007F11F4" w:rsidRPr="008569E0" w:rsidRDefault="007F11F4" w:rsidP="007F11F4">
      <w:pPr>
        <w:pStyle w:val="Subtitle"/>
        <w:rPr>
          <w:rFonts w:eastAsia="BatangChe"/>
          <w:b/>
          <w:i/>
          <w:color w:val="000000"/>
          <w:sz w:val="48"/>
          <w:szCs w:val="48"/>
        </w:rPr>
      </w:pPr>
      <w:r w:rsidRPr="008569E0">
        <w:rPr>
          <w:rFonts w:eastAsia="BatangChe"/>
          <w:b/>
          <w:i/>
          <w:color w:val="000000"/>
          <w:sz w:val="48"/>
          <w:szCs w:val="48"/>
        </w:rPr>
        <w:t>Consumer Protection and</w:t>
      </w:r>
    </w:p>
    <w:p w:rsidR="007F11F4" w:rsidRPr="008569E0" w:rsidRDefault="007F11F4" w:rsidP="007F11F4">
      <w:pPr>
        <w:pStyle w:val="Subtitle"/>
        <w:rPr>
          <w:rFonts w:eastAsia="BatangChe"/>
          <w:b/>
          <w:i/>
          <w:color w:val="000000"/>
          <w:sz w:val="48"/>
          <w:szCs w:val="48"/>
        </w:rPr>
      </w:pPr>
      <w:r w:rsidRPr="008569E0">
        <w:rPr>
          <w:rFonts w:eastAsia="BatangChe"/>
          <w:b/>
          <w:i/>
          <w:color w:val="000000"/>
          <w:sz w:val="48"/>
          <w:szCs w:val="48"/>
        </w:rPr>
        <w:t>Financial Literacy</w:t>
      </w:r>
    </w:p>
    <w:p w:rsidR="007F11F4" w:rsidRPr="008569E0" w:rsidRDefault="007F11F4" w:rsidP="007F11F4">
      <w:pPr>
        <w:rPr>
          <w:b/>
          <w:caps/>
          <w:color w:val="000000"/>
          <w:sz w:val="44"/>
          <w:szCs w:val="48"/>
        </w:rPr>
      </w:pPr>
    </w:p>
    <w:p w:rsidR="007F11F4" w:rsidRPr="008569E0" w:rsidRDefault="007F11F4" w:rsidP="007F11F4">
      <w:pPr>
        <w:rPr>
          <w:b/>
          <w:caps/>
          <w:color w:val="000000"/>
          <w:sz w:val="44"/>
          <w:szCs w:val="48"/>
        </w:rPr>
      </w:pPr>
    </w:p>
    <w:p w:rsidR="007F11F4" w:rsidRPr="008569E0" w:rsidRDefault="007F11F4" w:rsidP="007F11F4">
      <w:pPr>
        <w:rPr>
          <w:b/>
          <w:caps/>
          <w:color w:val="000000"/>
          <w:sz w:val="52"/>
          <w:szCs w:val="48"/>
        </w:rPr>
      </w:pPr>
    </w:p>
    <w:p w:rsidR="007F11F4" w:rsidRPr="008569E0" w:rsidRDefault="007F11F4" w:rsidP="00CE4568">
      <w:pPr>
        <w:jc w:val="center"/>
        <w:rPr>
          <w:b/>
          <w:color w:val="000000"/>
          <w:sz w:val="44"/>
          <w:szCs w:val="44"/>
          <w:lang w:eastAsia="cs-CZ"/>
        </w:rPr>
      </w:pPr>
      <w:r w:rsidRPr="008569E0">
        <w:rPr>
          <w:b/>
          <w:color w:val="000000"/>
          <w:sz w:val="44"/>
          <w:szCs w:val="44"/>
          <w:lang w:eastAsia="cs-CZ"/>
        </w:rPr>
        <w:t>Volume I</w:t>
      </w:r>
    </w:p>
    <w:p w:rsidR="007F11F4" w:rsidRPr="008569E0" w:rsidRDefault="00CE4568" w:rsidP="007F11F4">
      <w:pPr>
        <w:jc w:val="center"/>
        <w:rPr>
          <w:b/>
          <w:color w:val="000000"/>
          <w:sz w:val="44"/>
          <w:szCs w:val="44"/>
          <w:lang w:eastAsia="cs-CZ"/>
        </w:rPr>
      </w:pPr>
      <w:r>
        <w:rPr>
          <w:b/>
          <w:color w:val="000000"/>
          <w:sz w:val="44"/>
          <w:szCs w:val="44"/>
          <w:lang w:eastAsia="cs-CZ"/>
        </w:rPr>
        <w:t>Key Findings and Recommendations</w:t>
      </w:r>
    </w:p>
    <w:p w:rsidR="007F11F4" w:rsidRPr="008569E0" w:rsidRDefault="007F11F4" w:rsidP="007F11F4">
      <w:pPr>
        <w:rPr>
          <w:color w:val="000000"/>
          <w:sz w:val="44"/>
          <w:szCs w:val="48"/>
          <w:lang w:eastAsia="cs-CZ"/>
        </w:rPr>
      </w:pPr>
    </w:p>
    <w:p w:rsidR="007F11F4" w:rsidRPr="008569E0" w:rsidRDefault="005621D5" w:rsidP="007F11F4">
      <w:pPr>
        <w:jc w:val="center"/>
        <w:rPr>
          <w:color w:val="000000"/>
          <w:sz w:val="28"/>
          <w:szCs w:val="28"/>
          <w:lang w:eastAsia="cs-CZ"/>
        </w:rPr>
      </w:pPr>
      <w:r>
        <w:rPr>
          <w:color w:val="000000"/>
          <w:sz w:val="36"/>
          <w:szCs w:val="36"/>
          <w:lang w:eastAsia="cs-CZ"/>
        </w:rPr>
        <w:t>June</w:t>
      </w:r>
      <w:r w:rsidRPr="008569E0">
        <w:rPr>
          <w:color w:val="000000"/>
          <w:sz w:val="36"/>
          <w:szCs w:val="36"/>
          <w:lang w:eastAsia="cs-CZ"/>
        </w:rPr>
        <w:t xml:space="preserve"> </w:t>
      </w:r>
      <w:r w:rsidR="007F11F4" w:rsidRPr="008569E0">
        <w:rPr>
          <w:color w:val="000000"/>
          <w:sz w:val="36"/>
          <w:szCs w:val="36"/>
          <w:lang w:eastAsia="cs-CZ"/>
        </w:rPr>
        <w:t>2012</w:t>
      </w:r>
    </w:p>
    <w:p w:rsidR="007F11F4" w:rsidRPr="008569E0" w:rsidRDefault="007F11F4" w:rsidP="007F11F4">
      <w:pPr>
        <w:rPr>
          <w:color w:val="000000"/>
          <w:szCs w:val="28"/>
          <w:lang w:eastAsia="cs-CZ"/>
        </w:rPr>
      </w:pPr>
    </w:p>
    <w:p w:rsidR="007F11F4" w:rsidRPr="008569E0" w:rsidRDefault="007F11F4" w:rsidP="007F11F4">
      <w:pPr>
        <w:rPr>
          <w:color w:val="000000"/>
          <w:szCs w:val="28"/>
          <w:lang w:eastAsia="cs-CZ"/>
        </w:rPr>
      </w:pPr>
    </w:p>
    <w:p w:rsidR="007F11F4" w:rsidRPr="008569E0" w:rsidRDefault="007F11F4" w:rsidP="007F11F4">
      <w:pPr>
        <w:rPr>
          <w:color w:val="000000"/>
          <w:szCs w:val="28"/>
        </w:rPr>
      </w:pPr>
    </w:p>
    <w:p w:rsidR="007F11F4" w:rsidRPr="008569E0" w:rsidRDefault="007F11F4" w:rsidP="007F11F4">
      <w:pPr>
        <w:rPr>
          <w:color w:val="000000"/>
          <w:szCs w:val="28"/>
        </w:rPr>
      </w:pPr>
    </w:p>
    <w:p w:rsidR="007F11F4" w:rsidRPr="008569E0" w:rsidRDefault="007F11F4" w:rsidP="007F11F4">
      <w:pPr>
        <w:pStyle w:val="Header"/>
        <w:rPr>
          <w:color w:val="000000"/>
          <w:szCs w:val="28"/>
        </w:rPr>
      </w:pPr>
      <w:r w:rsidRPr="008569E0">
        <w:rPr>
          <w:noProof/>
          <w:szCs w:val="28"/>
        </w:rPr>
        <w:drawing>
          <wp:inline distT="0" distB="0" distL="0" distR="0">
            <wp:extent cx="419100" cy="419100"/>
            <wp:effectExtent l="19050" t="0" r="0" b="0"/>
            <wp:docPr id="7" name="Picture 1" descr="http://gsd.worldbank.org/download/wbcub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sd.worldbank.org/download/wbcube-m.gif"/>
                    <pic:cNvPicPr>
                      <a:picLocks noChangeAspect="1" noChangeArrowheads="1"/>
                    </pic:cNvPicPr>
                  </pic:nvPicPr>
                  <pic:blipFill>
                    <a:blip r:embed="rId9" r:link="rId10"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CE4568" w:rsidRDefault="00CE4568" w:rsidP="007F11F4">
      <w:pPr>
        <w:pStyle w:val="Title"/>
        <w:rPr>
          <w:smallCaps/>
          <w:color w:val="000000"/>
          <w:sz w:val="28"/>
          <w:szCs w:val="28"/>
        </w:rPr>
      </w:pPr>
    </w:p>
    <w:p w:rsidR="00344FBD" w:rsidRDefault="007F11F4">
      <w:pPr>
        <w:pStyle w:val="Title"/>
        <w:jc w:val="left"/>
        <w:rPr>
          <w:b w:val="0"/>
          <w:bCs w:val="0"/>
          <w:smallCaps/>
          <w:color w:val="000000"/>
          <w:sz w:val="28"/>
          <w:szCs w:val="28"/>
        </w:rPr>
      </w:pPr>
      <w:r w:rsidRPr="008569E0">
        <w:rPr>
          <w:smallCaps/>
          <w:color w:val="000000"/>
          <w:sz w:val="28"/>
          <w:szCs w:val="28"/>
        </w:rPr>
        <w:t xml:space="preserve">The World Bank </w:t>
      </w:r>
    </w:p>
    <w:p w:rsidR="007F11F4" w:rsidRPr="008569E0" w:rsidRDefault="007F11F4" w:rsidP="007F11F4">
      <w:pPr>
        <w:rPr>
          <w:color w:val="000000"/>
          <w:sz w:val="28"/>
          <w:szCs w:val="28"/>
        </w:rPr>
      </w:pPr>
      <w:r w:rsidRPr="008569E0">
        <w:rPr>
          <w:color w:val="000000"/>
          <w:sz w:val="28"/>
          <w:szCs w:val="28"/>
        </w:rPr>
        <w:t>Financial and Private Sector Development Vice-Presidency</w:t>
      </w:r>
    </w:p>
    <w:p w:rsidR="00057AAD" w:rsidRPr="007F11F4" w:rsidRDefault="007F11F4" w:rsidP="00FF7A74">
      <w:pPr>
        <w:rPr>
          <w:color w:val="000000"/>
          <w:sz w:val="28"/>
          <w:szCs w:val="28"/>
        </w:rPr>
      </w:pPr>
      <w:smartTag w:uri="urn:schemas-microsoft-com:office:smarttags" w:element="City">
        <w:r w:rsidRPr="008569E0">
          <w:rPr>
            <w:color w:val="000000"/>
            <w:sz w:val="28"/>
            <w:szCs w:val="28"/>
          </w:rPr>
          <w:t>Washington</w:t>
        </w:r>
      </w:smartTag>
      <w:r w:rsidRPr="008569E0">
        <w:rPr>
          <w:color w:val="000000"/>
          <w:sz w:val="28"/>
          <w:szCs w:val="28"/>
        </w:rPr>
        <w:t>, DC</w:t>
      </w:r>
      <w:r>
        <w:rPr>
          <w:color w:val="000000"/>
          <w:sz w:val="28"/>
          <w:szCs w:val="28"/>
        </w:rPr>
        <w:t xml:space="preserve"> </w:t>
      </w:r>
      <w:r w:rsidR="00057AAD" w:rsidRPr="00E06713">
        <w:rPr>
          <w:sz w:val="22"/>
          <w:szCs w:val="22"/>
        </w:rPr>
        <w:br w:type="page"/>
      </w:r>
    </w:p>
    <w:p w:rsidR="00057AAD" w:rsidRPr="00E06713" w:rsidRDefault="00057AAD" w:rsidP="00FF7A74">
      <w:pPr>
        <w:jc w:val="both"/>
        <w:rPr>
          <w:sz w:val="22"/>
          <w:szCs w:val="22"/>
        </w:rPr>
      </w:pPr>
      <w:r w:rsidRPr="00E06713">
        <w:rPr>
          <w:sz w:val="22"/>
          <w:szCs w:val="22"/>
        </w:rPr>
        <w:lastRenderedPageBreak/>
        <w:t>This Diagnostic Review is a product of the staff of the International Bank for Reconstruction and Development/ The World Bank. The findings, interpretations, and conclusions expressed herein do not necessarily reflect the views of the Executive Directors of the World Bank or the governments they represent.</w:t>
      </w:r>
    </w:p>
    <w:p w:rsidR="00057AAD" w:rsidRPr="00E06713" w:rsidRDefault="00057AAD" w:rsidP="00FF7A74">
      <w:pPr>
        <w:rPr>
          <w:sz w:val="22"/>
          <w:szCs w:val="22"/>
        </w:rPr>
      </w:pPr>
    </w:p>
    <w:p w:rsidR="00BB71B4" w:rsidRDefault="00BB71B4">
      <w:pPr>
        <w:rPr>
          <w:b/>
          <w:bCs/>
          <w:sz w:val="22"/>
          <w:szCs w:val="22"/>
        </w:rPr>
      </w:pPr>
      <w:bookmarkStart w:id="2" w:name="_Toc137290241"/>
      <w:bookmarkStart w:id="3" w:name="_Toc155358535"/>
      <w:r>
        <w:rPr>
          <w:sz w:val="22"/>
          <w:szCs w:val="22"/>
        </w:rPr>
        <w:br w:type="page"/>
      </w:r>
    </w:p>
    <w:p w:rsidR="00057AAD" w:rsidRPr="00E06713" w:rsidRDefault="00057AAD" w:rsidP="00FF7A74">
      <w:pPr>
        <w:pStyle w:val="Heading2"/>
        <w:rPr>
          <w:sz w:val="22"/>
          <w:szCs w:val="22"/>
          <w:u w:val="none"/>
        </w:rPr>
      </w:pPr>
    </w:p>
    <w:p w:rsidR="007F11F4" w:rsidRPr="008569E0" w:rsidRDefault="007F11F4" w:rsidP="007F11F4">
      <w:pPr>
        <w:jc w:val="center"/>
        <w:rPr>
          <w:b/>
          <w:sz w:val="32"/>
          <w:szCs w:val="28"/>
        </w:rPr>
      </w:pPr>
      <w:r w:rsidRPr="008569E0">
        <w:rPr>
          <w:b/>
          <w:sz w:val="32"/>
          <w:szCs w:val="28"/>
        </w:rPr>
        <w:t>ARMENIA</w:t>
      </w:r>
    </w:p>
    <w:p w:rsidR="007F11F4" w:rsidRPr="008569E0" w:rsidRDefault="007F11F4" w:rsidP="007F11F4">
      <w:pPr>
        <w:jc w:val="center"/>
        <w:rPr>
          <w:b/>
          <w:sz w:val="32"/>
          <w:szCs w:val="28"/>
        </w:rPr>
      </w:pPr>
    </w:p>
    <w:p w:rsidR="007F11F4" w:rsidRPr="008569E0" w:rsidRDefault="007F11F4" w:rsidP="007F11F4">
      <w:pPr>
        <w:jc w:val="center"/>
        <w:rPr>
          <w:b/>
          <w:sz w:val="32"/>
          <w:szCs w:val="28"/>
        </w:rPr>
      </w:pPr>
      <w:r w:rsidRPr="008569E0">
        <w:rPr>
          <w:b/>
          <w:sz w:val="32"/>
          <w:szCs w:val="28"/>
        </w:rPr>
        <w:t>Diagnostic Review of Consumer Protection and</w:t>
      </w:r>
    </w:p>
    <w:p w:rsidR="007F11F4" w:rsidRPr="008569E0" w:rsidRDefault="007F11F4" w:rsidP="007F11F4">
      <w:pPr>
        <w:jc w:val="center"/>
        <w:rPr>
          <w:b/>
          <w:sz w:val="32"/>
          <w:szCs w:val="28"/>
        </w:rPr>
      </w:pPr>
      <w:r w:rsidRPr="008569E0">
        <w:rPr>
          <w:b/>
          <w:sz w:val="32"/>
          <w:szCs w:val="28"/>
        </w:rPr>
        <w:t>Financial Literacy</w:t>
      </w:r>
    </w:p>
    <w:p w:rsidR="00057AAD" w:rsidRPr="00E06713" w:rsidRDefault="00057AAD" w:rsidP="009653B8">
      <w:pPr>
        <w:jc w:val="center"/>
        <w:rPr>
          <w:b/>
          <w:sz w:val="28"/>
          <w:szCs w:val="28"/>
        </w:rPr>
      </w:pPr>
    </w:p>
    <w:p w:rsidR="00057AAD" w:rsidRPr="00B928D7" w:rsidRDefault="00057AAD" w:rsidP="009653B8">
      <w:pPr>
        <w:jc w:val="center"/>
        <w:rPr>
          <w:b/>
          <w:sz w:val="28"/>
        </w:rPr>
      </w:pPr>
      <w:r w:rsidRPr="00B928D7">
        <w:rPr>
          <w:b/>
          <w:sz w:val="28"/>
        </w:rPr>
        <w:t>Volume I – Key Findings and Recommendations</w:t>
      </w:r>
    </w:p>
    <w:p w:rsidR="00057AAD" w:rsidRPr="00E06713" w:rsidRDefault="00057AAD" w:rsidP="00FF7A74">
      <w:pPr>
        <w:pStyle w:val="Heading2"/>
        <w:spacing w:before="0" w:beforeAutospacing="0" w:after="0" w:afterAutospacing="0"/>
        <w:jc w:val="both"/>
        <w:rPr>
          <w:color w:val="000000"/>
          <w:sz w:val="22"/>
          <w:szCs w:val="22"/>
          <w:u w:val="none"/>
        </w:rPr>
      </w:pPr>
    </w:p>
    <w:p w:rsidR="00057AAD" w:rsidRPr="00E06713" w:rsidRDefault="00057AAD" w:rsidP="00FF7A74">
      <w:pPr>
        <w:pStyle w:val="Heading2"/>
        <w:spacing w:before="0" w:beforeAutospacing="0" w:after="0" w:afterAutospacing="0"/>
        <w:jc w:val="both"/>
        <w:rPr>
          <w:color w:val="000000"/>
          <w:sz w:val="22"/>
          <w:szCs w:val="22"/>
          <w:u w:val="none"/>
        </w:rPr>
      </w:pPr>
    </w:p>
    <w:p w:rsidR="00057AAD" w:rsidRPr="00E06713" w:rsidRDefault="00057AAD" w:rsidP="00FF7A74">
      <w:pPr>
        <w:rPr>
          <w:b/>
          <w:bCs/>
          <w:i/>
          <w:iCs/>
          <w:noProof/>
        </w:rPr>
      </w:pPr>
      <w:r w:rsidRPr="00E06713">
        <w:rPr>
          <w:b/>
          <w:bCs/>
          <w:i/>
          <w:iCs/>
          <w:noProof/>
          <w:sz w:val="28"/>
          <w:szCs w:val="28"/>
        </w:rPr>
        <w:t>Contents</w:t>
      </w:r>
    </w:p>
    <w:p w:rsidR="008B7925" w:rsidRDefault="00C21270">
      <w:pPr>
        <w:pStyle w:val="TOC1"/>
        <w:rPr>
          <w:rFonts w:asciiTheme="minorHAnsi" w:eastAsiaTheme="minorEastAsia" w:hAnsiTheme="minorHAnsi" w:cstheme="minorBidi"/>
          <w:noProof/>
          <w:sz w:val="22"/>
          <w:szCs w:val="22"/>
          <w:lang w:val="cs-CZ" w:eastAsia="cs-CZ"/>
        </w:rPr>
      </w:pPr>
      <w:r w:rsidRPr="00E06713">
        <w:rPr>
          <w:b/>
          <w:caps/>
        </w:rPr>
        <w:fldChar w:fldCharType="begin"/>
      </w:r>
      <w:r w:rsidR="00057AAD" w:rsidRPr="00E06713">
        <w:rPr>
          <w:b/>
          <w:caps/>
        </w:rPr>
        <w:instrText xml:space="preserve"> TOC \o "1-3" \h \z \u </w:instrText>
      </w:r>
      <w:r w:rsidRPr="00E06713">
        <w:rPr>
          <w:b/>
          <w:caps/>
        </w:rPr>
        <w:fldChar w:fldCharType="separate"/>
      </w:r>
      <w:hyperlink w:anchor="_Toc331409056" w:history="1">
        <w:r w:rsidR="008B7925" w:rsidRPr="00F54D92">
          <w:rPr>
            <w:rStyle w:val="Hyperlink"/>
            <w:noProof/>
          </w:rPr>
          <w:t>Acronyms and Abbreviation</w:t>
        </w:r>
        <w:r w:rsidR="008B7925">
          <w:rPr>
            <w:noProof/>
            <w:webHidden/>
          </w:rPr>
          <w:tab/>
        </w:r>
        <w:r>
          <w:rPr>
            <w:noProof/>
            <w:webHidden/>
          </w:rPr>
          <w:fldChar w:fldCharType="begin"/>
        </w:r>
        <w:r w:rsidR="008B7925">
          <w:rPr>
            <w:noProof/>
            <w:webHidden/>
          </w:rPr>
          <w:instrText xml:space="preserve"> PAGEREF _Toc331409056 \h </w:instrText>
        </w:r>
        <w:r>
          <w:rPr>
            <w:noProof/>
            <w:webHidden/>
          </w:rPr>
        </w:r>
        <w:r>
          <w:rPr>
            <w:noProof/>
            <w:webHidden/>
          </w:rPr>
          <w:fldChar w:fldCharType="separate"/>
        </w:r>
        <w:r w:rsidR="00072494">
          <w:rPr>
            <w:noProof/>
            <w:webHidden/>
          </w:rPr>
          <w:t>iii</w:t>
        </w:r>
        <w:r>
          <w:rPr>
            <w:noProof/>
            <w:webHidden/>
          </w:rPr>
          <w:fldChar w:fldCharType="end"/>
        </w:r>
      </w:hyperlink>
    </w:p>
    <w:p w:rsidR="008B7925" w:rsidRDefault="00930C64">
      <w:pPr>
        <w:pStyle w:val="TOC1"/>
        <w:rPr>
          <w:rFonts w:asciiTheme="minorHAnsi" w:eastAsiaTheme="minorEastAsia" w:hAnsiTheme="minorHAnsi" w:cstheme="minorBidi"/>
          <w:noProof/>
          <w:sz w:val="22"/>
          <w:szCs w:val="22"/>
          <w:lang w:val="cs-CZ" w:eastAsia="cs-CZ"/>
        </w:rPr>
      </w:pPr>
      <w:hyperlink w:anchor="_Toc331409057" w:history="1">
        <w:r w:rsidR="008B7925" w:rsidRPr="00F54D92">
          <w:rPr>
            <w:rStyle w:val="Hyperlink"/>
            <w:noProof/>
            <w:lang w:eastAsia="cs-CZ"/>
          </w:rPr>
          <w:t>Acknowledgments</w:t>
        </w:r>
        <w:r w:rsidR="008B7925">
          <w:rPr>
            <w:noProof/>
            <w:webHidden/>
          </w:rPr>
          <w:tab/>
        </w:r>
        <w:r w:rsidR="00C21270">
          <w:rPr>
            <w:noProof/>
            <w:webHidden/>
          </w:rPr>
          <w:fldChar w:fldCharType="begin"/>
        </w:r>
        <w:r w:rsidR="008B7925">
          <w:rPr>
            <w:noProof/>
            <w:webHidden/>
          </w:rPr>
          <w:instrText xml:space="preserve"> PAGEREF _Toc331409057 \h </w:instrText>
        </w:r>
        <w:r w:rsidR="00C21270">
          <w:rPr>
            <w:noProof/>
            <w:webHidden/>
          </w:rPr>
        </w:r>
        <w:r w:rsidR="00C21270">
          <w:rPr>
            <w:noProof/>
            <w:webHidden/>
          </w:rPr>
          <w:fldChar w:fldCharType="separate"/>
        </w:r>
        <w:r w:rsidR="00072494">
          <w:rPr>
            <w:noProof/>
            <w:webHidden/>
          </w:rPr>
          <w:t>iv</w:t>
        </w:r>
        <w:r w:rsidR="00C21270">
          <w:rPr>
            <w:noProof/>
            <w:webHidden/>
          </w:rPr>
          <w:fldChar w:fldCharType="end"/>
        </w:r>
      </w:hyperlink>
    </w:p>
    <w:p w:rsidR="008B7925" w:rsidRDefault="00930C64">
      <w:pPr>
        <w:pStyle w:val="TOC1"/>
        <w:rPr>
          <w:rFonts w:asciiTheme="minorHAnsi" w:eastAsiaTheme="minorEastAsia" w:hAnsiTheme="minorHAnsi" w:cstheme="minorBidi"/>
          <w:noProof/>
          <w:sz w:val="22"/>
          <w:szCs w:val="22"/>
          <w:lang w:val="cs-CZ" w:eastAsia="cs-CZ"/>
        </w:rPr>
      </w:pPr>
      <w:hyperlink w:anchor="_Toc331409058" w:history="1">
        <w:r w:rsidR="008B7925" w:rsidRPr="00F54D92">
          <w:rPr>
            <w:rStyle w:val="Hyperlink"/>
            <w:noProof/>
            <w:lang w:eastAsia="cs-CZ"/>
          </w:rPr>
          <w:t>Executive Summary</w:t>
        </w:r>
        <w:r w:rsidR="008B7925">
          <w:rPr>
            <w:noProof/>
            <w:webHidden/>
          </w:rPr>
          <w:tab/>
        </w:r>
        <w:r w:rsidR="00C21270">
          <w:rPr>
            <w:noProof/>
            <w:webHidden/>
          </w:rPr>
          <w:fldChar w:fldCharType="begin"/>
        </w:r>
        <w:r w:rsidR="008B7925">
          <w:rPr>
            <w:noProof/>
            <w:webHidden/>
          </w:rPr>
          <w:instrText xml:space="preserve"> PAGEREF _Toc331409058 \h </w:instrText>
        </w:r>
        <w:r w:rsidR="00C21270">
          <w:rPr>
            <w:noProof/>
            <w:webHidden/>
          </w:rPr>
        </w:r>
        <w:r w:rsidR="00C21270">
          <w:rPr>
            <w:noProof/>
            <w:webHidden/>
          </w:rPr>
          <w:fldChar w:fldCharType="separate"/>
        </w:r>
        <w:r w:rsidR="00072494">
          <w:rPr>
            <w:noProof/>
            <w:webHidden/>
          </w:rPr>
          <w:t>1</w:t>
        </w:r>
        <w:r w:rsidR="00C21270">
          <w:rPr>
            <w:noProof/>
            <w:webHidden/>
          </w:rPr>
          <w:fldChar w:fldCharType="end"/>
        </w:r>
      </w:hyperlink>
    </w:p>
    <w:p w:rsidR="008B7925" w:rsidRDefault="00930C64">
      <w:pPr>
        <w:pStyle w:val="TOC1"/>
        <w:rPr>
          <w:rFonts w:asciiTheme="minorHAnsi" w:eastAsiaTheme="minorEastAsia" w:hAnsiTheme="minorHAnsi" w:cstheme="minorBidi"/>
          <w:noProof/>
          <w:sz w:val="22"/>
          <w:szCs w:val="22"/>
          <w:lang w:val="cs-CZ" w:eastAsia="cs-CZ"/>
        </w:rPr>
      </w:pPr>
      <w:hyperlink w:anchor="_Toc331409059" w:history="1">
        <w:r w:rsidR="008B7925" w:rsidRPr="00F54D92">
          <w:rPr>
            <w:rStyle w:val="Hyperlink"/>
            <w:noProof/>
            <w:lang w:eastAsia="cs-CZ"/>
          </w:rPr>
          <w:t>I.</w:t>
        </w:r>
        <w:r w:rsidR="008B7925">
          <w:rPr>
            <w:rFonts w:asciiTheme="minorHAnsi" w:eastAsiaTheme="minorEastAsia" w:hAnsiTheme="minorHAnsi" w:cstheme="minorBidi"/>
            <w:noProof/>
            <w:sz w:val="22"/>
            <w:szCs w:val="22"/>
            <w:lang w:val="cs-CZ" w:eastAsia="cs-CZ"/>
          </w:rPr>
          <w:tab/>
        </w:r>
        <w:r w:rsidR="008B7925" w:rsidRPr="00F54D92">
          <w:rPr>
            <w:rStyle w:val="Hyperlink"/>
            <w:noProof/>
            <w:lang w:eastAsia="cs-CZ"/>
          </w:rPr>
          <w:t>Background on Armenian Household Finances</w:t>
        </w:r>
        <w:r w:rsidR="008B7925">
          <w:rPr>
            <w:noProof/>
            <w:webHidden/>
          </w:rPr>
          <w:tab/>
        </w:r>
        <w:r w:rsidR="00C21270">
          <w:rPr>
            <w:noProof/>
            <w:webHidden/>
          </w:rPr>
          <w:fldChar w:fldCharType="begin"/>
        </w:r>
        <w:r w:rsidR="008B7925">
          <w:rPr>
            <w:noProof/>
            <w:webHidden/>
          </w:rPr>
          <w:instrText xml:space="preserve"> PAGEREF _Toc331409059 \h </w:instrText>
        </w:r>
        <w:r w:rsidR="00C21270">
          <w:rPr>
            <w:noProof/>
            <w:webHidden/>
          </w:rPr>
        </w:r>
        <w:r w:rsidR="00C21270">
          <w:rPr>
            <w:noProof/>
            <w:webHidden/>
          </w:rPr>
          <w:fldChar w:fldCharType="separate"/>
        </w:r>
        <w:r w:rsidR="00072494">
          <w:rPr>
            <w:noProof/>
            <w:webHidden/>
          </w:rPr>
          <w:t>4</w:t>
        </w:r>
        <w:r w:rsidR="00C21270">
          <w:rPr>
            <w:noProof/>
            <w:webHidden/>
          </w:rPr>
          <w:fldChar w:fldCharType="end"/>
        </w:r>
      </w:hyperlink>
    </w:p>
    <w:p w:rsidR="008B7925" w:rsidRDefault="00930C64">
      <w:pPr>
        <w:pStyle w:val="TOC1"/>
        <w:rPr>
          <w:rFonts w:asciiTheme="minorHAnsi" w:eastAsiaTheme="minorEastAsia" w:hAnsiTheme="minorHAnsi" w:cstheme="minorBidi"/>
          <w:noProof/>
          <w:sz w:val="22"/>
          <w:szCs w:val="22"/>
          <w:lang w:val="cs-CZ" w:eastAsia="cs-CZ"/>
        </w:rPr>
      </w:pPr>
      <w:hyperlink w:anchor="_Toc331409060" w:history="1">
        <w:r w:rsidR="008B7925" w:rsidRPr="00F54D92">
          <w:rPr>
            <w:rStyle w:val="Hyperlink"/>
            <w:noProof/>
            <w:lang w:eastAsia="cs-CZ"/>
          </w:rPr>
          <w:t>II.</w:t>
        </w:r>
        <w:r w:rsidR="008B7925">
          <w:rPr>
            <w:rFonts w:asciiTheme="minorHAnsi" w:eastAsiaTheme="minorEastAsia" w:hAnsiTheme="minorHAnsi" w:cstheme="minorBidi"/>
            <w:noProof/>
            <w:sz w:val="22"/>
            <w:szCs w:val="22"/>
            <w:lang w:val="cs-CZ" w:eastAsia="cs-CZ"/>
          </w:rPr>
          <w:tab/>
        </w:r>
        <w:r w:rsidR="008B7925" w:rsidRPr="00F54D92">
          <w:rPr>
            <w:rStyle w:val="Hyperlink"/>
            <w:noProof/>
            <w:lang w:eastAsia="cs-CZ"/>
          </w:rPr>
          <w:t>Importance of Consumer Protection and Financial Literacy</w:t>
        </w:r>
        <w:r w:rsidR="008B7925">
          <w:rPr>
            <w:noProof/>
            <w:webHidden/>
          </w:rPr>
          <w:tab/>
        </w:r>
        <w:r w:rsidR="00C21270">
          <w:rPr>
            <w:noProof/>
            <w:webHidden/>
          </w:rPr>
          <w:fldChar w:fldCharType="begin"/>
        </w:r>
        <w:r w:rsidR="008B7925">
          <w:rPr>
            <w:noProof/>
            <w:webHidden/>
          </w:rPr>
          <w:instrText xml:space="preserve"> PAGEREF _Toc331409060 \h </w:instrText>
        </w:r>
        <w:r w:rsidR="00C21270">
          <w:rPr>
            <w:noProof/>
            <w:webHidden/>
          </w:rPr>
        </w:r>
        <w:r w:rsidR="00C21270">
          <w:rPr>
            <w:noProof/>
            <w:webHidden/>
          </w:rPr>
          <w:fldChar w:fldCharType="separate"/>
        </w:r>
        <w:r w:rsidR="00072494">
          <w:rPr>
            <w:noProof/>
            <w:webHidden/>
          </w:rPr>
          <w:t>7</w:t>
        </w:r>
        <w:r w:rsidR="00C21270">
          <w:rPr>
            <w:noProof/>
            <w:webHidden/>
          </w:rPr>
          <w:fldChar w:fldCharType="end"/>
        </w:r>
      </w:hyperlink>
    </w:p>
    <w:p w:rsidR="008B7925" w:rsidRDefault="00930C64">
      <w:pPr>
        <w:pStyle w:val="TOC1"/>
        <w:rPr>
          <w:rFonts w:asciiTheme="minorHAnsi" w:eastAsiaTheme="minorEastAsia" w:hAnsiTheme="minorHAnsi" w:cstheme="minorBidi"/>
          <w:noProof/>
          <w:sz w:val="22"/>
          <w:szCs w:val="22"/>
          <w:lang w:val="cs-CZ" w:eastAsia="cs-CZ"/>
        </w:rPr>
      </w:pPr>
      <w:hyperlink w:anchor="_Toc331409061" w:history="1">
        <w:r w:rsidR="008B7925" w:rsidRPr="00F54D92">
          <w:rPr>
            <w:rStyle w:val="Hyperlink"/>
            <w:noProof/>
          </w:rPr>
          <w:t>III.</w:t>
        </w:r>
        <w:r w:rsidR="008B7925">
          <w:rPr>
            <w:rFonts w:asciiTheme="minorHAnsi" w:eastAsiaTheme="minorEastAsia" w:hAnsiTheme="minorHAnsi" w:cstheme="minorBidi"/>
            <w:noProof/>
            <w:sz w:val="22"/>
            <w:szCs w:val="22"/>
            <w:lang w:val="cs-CZ" w:eastAsia="cs-CZ"/>
          </w:rPr>
          <w:tab/>
        </w:r>
        <w:r w:rsidR="008B7925" w:rsidRPr="00F54D92">
          <w:rPr>
            <w:rStyle w:val="Hyperlink"/>
            <w:noProof/>
            <w:lang w:eastAsia="cs-CZ"/>
          </w:rPr>
          <w:t>Consumer Protection and Financial Literacy</w:t>
        </w:r>
        <w:r w:rsidR="008B7925" w:rsidRPr="00F54D92">
          <w:rPr>
            <w:rStyle w:val="Hyperlink"/>
            <w:noProof/>
          </w:rPr>
          <w:t xml:space="preserve"> in Armenia: Existing Policy and Institutional Framework</w:t>
        </w:r>
        <w:r w:rsidR="008B7925">
          <w:rPr>
            <w:noProof/>
            <w:webHidden/>
          </w:rPr>
          <w:tab/>
        </w:r>
        <w:r w:rsidR="00C21270">
          <w:rPr>
            <w:noProof/>
            <w:webHidden/>
          </w:rPr>
          <w:fldChar w:fldCharType="begin"/>
        </w:r>
        <w:r w:rsidR="008B7925">
          <w:rPr>
            <w:noProof/>
            <w:webHidden/>
          </w:rPr>
          <w:instrText xml:space="preserve"> PAGEREF _Toc331409061 \h </w:instrText>
        </w:r>
        <w:r w:rsidR="00C21270">
          <w:rPr>
            <w:noProof/>
            <w:webHidden/>
          </w:rPr>
        </w:r>
        <w:r w:rsidR="00C21270">
          <w:rPr>
            <w:noProof/>
            <w:webHidden/>
          </w:rPr>
          <w:fldChar w:fldCharType="separate"/>
        </w:r>
        <w:r w:rsidR="00072494">
          <w:rPr>
            <w:noProof/>
            <w:webHidden/>
          </w:rPr>
          <w:t>10</w:t>
        </w:r>
        <w:r w:rsidR="00C21270">
          <w:rPr>
            <w:noProof/>
            <w:webHidden/>
          </w:rPr>
          <w:fldChar w:fldCharType="end"/>
        </w:r>
      </w:hyperlink>
    </w:p>
    <w:p w:rsidR="008B7925" w:rsidRDefault="00930C64">
      <w:pPr>
        <w:pStyle w:val="TOC1"/>
        <w:rPr>
          <w:rFonts w:asciiTheme="minorHAnsi" w:eastAsiaTheme="minorEastAsia" w:hAnsiTheme="minorHAnsi" w:cstheme="minorBidi"/>
          <w:noProof/>
          <w:sz w:val="22"/>
          <w:szCs w:val="22"/>
          <w:lang w:val="cs-CZ" w:eastAsia="cs-CZ"/>
        </w:rPr>
      </w:pPr>
      <w:hyperlink w:anchor="_Toc331409062" w:history="1">
        <w:r w:rsidR="008B7925" w:rsidRPr="00F54D92">
          <w:rPr>
            <w:rStyle w:val="Hyperlink"/>
            <w:noProof/>
            <w:lang w:eastAsia="cs-CZ"/>
          </w:rPr>
          <w:t>IV.</w:t>
        </w:r>
        <w:r w:rsidR="008B7925">
          <w:rPr>
            <w:rFonts w:asciiTheme="minorHAnsi" w:eastAsiaTheme="minorEastAsia" w:hAnsiTheme="minorHAnsi" w:cstheme="minorBidi"/>
            <w:noProof/>
            <w:sz w:val="22"/>
            <w:szCs w:val="22"/>
            <w:lang w:val="cs-CZ" w:eastAsia="cs-CZ"/>
          </w:rPr>
          <w:tab/>
        </w:r>
        <w:r w:rsidR="008B7925" w:rsidRPr="00F54D92">
          <w:rPr>
            <w:rStyle w:val="Hyperlink"/>
            <w:noProof/>
            <w:lang w:eastAsia="cs-CZ"/>
          </w:rPr>
          <w:t>Key Findings and Recommendations</w:t>
        </w:r>
        <w:r w:rsidR="008B7925">
          <w:rPr>
            <w:noProof/>
            <w:webHidden/>
          </w:rPr>
          <w:tab/>
        </w:r>
        <w:r w:rsidR="00C21270">
          <w:rPr>
            <w:noProof/>
            <w:webHidden/>
          </w:rPr>
          <w:fldChar w:fldCharType="begin"/>
        </w:r>
        <w:r w:rsidR="008B7925">
          <w:rPr>
            <w:noProof/>
            <w:webHidden/>
          </w:rPr>
          <w:instrText xml:space="preserve"> PAGEREF _Toc331409062 \h </w:instrText>
        </w:r>
        <w:r w:rsidR="00C21270">
          <w:rPr>
            <w:noProof/>
            <w:webHidden/>
          </w:rPr>
        </w:r>
        <w:r w:rsidR="00C21270">
          <w:rPr>
            <w:noProof/>
            <w:webHidden/>
          </w:rPr>
          <w:fldChar w:fldCharType="separate"/>
        </w:r>
        <w:r w:rsidR="00072494">
          <w:rPr>
            <w:noProof/>
            <w:webHidden/>
          </w:rPr>
          <w:t>13</w:t>
        </w:r>
        <w:r w:rsidR="00C21270">
          <w:rPr>
            <w:noProof/>
            <w:webHidden/>
          </w:rPr>
          <w:fldChar w:fldCharType="end"/>
        </w:r>
      </w:hyperlink>
    </w:p>
    <w:p w:rsidR="008B7925" w:rsidRDefault="00930C64">
      <w:pPr>
        <w:pStyle w:val="TOC1"/>
        <w:rPr>
          <w:rFonts w:asciiTheme="minorHAnsi" w:eastAsiaTheme="minorEastAsia" w:hAnsiTheme="minorHAnsi" w:cstheme="minorBidi"/>
          <w:noProof/>
          <w:sz w:val="22"/>
          <w:szCs w:val="22"/>
          <w:lang w:val="cs-CZ" w:eastAsia="cs-CZ"/>
        </w:rPr>
      </w:pPr>
      <w:hyperlink w:anchor="_Toc331409063" w:history="1">
        <w:r w:rsidR="008B7925" w:rsidRPr="00F54D92">
          <w:rPr>
            <w:rStyle w:val="Hyperlink"/>
            <w:i/>
            <w:noProof/>
          </w:rPr>
          <w:t>Institutional Framework</w:t>
        </w:r>
        <w:r w:rsidR="008B7925">
          <w:rPr>
            <w:noProof/>
            <w:webHidden/>
          </w:rPr>
          <w:tab/>
        </w:r>
        <w:r w:rsidR="00C21270">
          <w:rPr>
            <w:noProof/>
            <w:webHidden/>
          </w:rPr>
          <w:fldChar w:fldCharType="begin"/>
        </w:r>
        <w:r w:rsidR="008B7925">
          <w:rPr>
            <w:noProof/>
            <w:webHidden/>
          </w:rPr>
          <w:instrText xml:space="preserve"> PAGEREF _Toc331409063 \h </w:instrText>
        </w:r>
        <w:r w:rsidR="00C21270">
          <w:rPr>
            <w:noProof/>
            <w:webHidden/>
          </w:rPr>
        </w:r>
        <w:r w:rsidR="00C21270">
          <w:rPr>
            <w:noProof/>
            <w:webHidden/>
          </w:rPr>
          <w:fldChar w:fldCharType="separate"/>
        </w:r>
        <w:r w:rsidR="00072494">
          <w:rPr>
            <w:noProof/>
            <w:webHidden/>
          </w:rPr>
          <w:t>13</w:t>
        </w:r>
        <w:r w:rsidR="00C21270">
          <w:rPr>
            <w:noProof/>
            <w:webHidden/>
          </w:rPr>
          <w:fldChar w:fldCharType="end"/>
        </w:r>
      </w:hyperlink>
    </w:p>
    <w:p w:rsidR="008B7925" w:rsidRDefault="00930C64">
      <w:pPr>
        <w:pStyle w:val="TOC1"/>
        <w:rPr>
          <w:rFonts w:asciiTheme="minorHAnsi" w:eastAsiaTheme="minorEastAsia" w:hAnsiTheme="minorHAnsi" w:cstheme="minorBidi"/>
          <w:noProof/>
          <w:sz w:val="22"/>
          <w:szCs w:val="22"/>
          <w:lang w:val="cs-CZ" w:eastAsia="cs-CZ"/>
        </w:rPr>
      </w:pPr>
      <w:hyperlink w:anchor="_Toc331409064" w:history="1">
        <w:r w:rsidR="008B7925" w:rsidRPr="00F54D92">
          <w:rPr>
            <w:rStyle w:val="Hyperlink"/>
            <w:i/>
            <w:noProof/>
          </w:rPr>
          <w:t>Consumer Disclosure</w:t>
        </w:r>
        <w:r w:rsidR="008B7925">
          <w:rPr>
            <w:noProof/>
            <w:webHidden/>
          </w:rPr>
          <w:tab/>
        </w:r>
        <w:r w:rsidR="00C21270">
          <w:rPr>
            <w:noProof/>
            <w:webHidden/>
          </w:rPr>
          <w:fldChar w:fldCharType="begin"/>
        </w:r>
        <w:r w:rsidR="008B7925">
          <w:rPr>
            <w:noProof/>
            <w:webHidden/>
          </w:rPr>
          <w:instrText xml:space="preserve"> PAGEREF _Toc331409064 \h </w:instrText>
        </w:r>
        <w:r w:rsidR="00C21270">
          <w:rPr>
            <w:noProof/>
            <w:webHidden/>
          </w:rPr>
        </w:r>
        <w:r w:rsidR="00C21270">
          <w:rPr>
            <w:noProof/>
            <w:webHidden/>
          </w:rPr>
          <w:fldChar w:fldCharType="separate"/>
        </w:r>
        <w:r w:rsidR="00072494">
          <w:rPr>
            <w:noProof/>
            <w:webHidden/>
          </w:rPr>
          <w:t>15</w:t>
        </w:r>
        <w:r w:rsidR="00C21270">
          <w:rPr>
            <w:noProof/>
            <w:webHidden/>
          </w:rPr>
          <w:fldChar w:fldCharType="end"/>
        </w:r>
      </w:hyperlink>
    </w:p>
    <w:p w:rsidR="008B7925" w:rsidRDefault="00930C64">
      <w:pPr>
        <w:pStyle w:val="TOC1"/>
        <w:rPr>
          <w:rFonts w:asciiTheme="minorHAnsi" w:eastAsiaTheme="minorEastAsia" w:hAnsiTheme="minorHAnsi" w:cstheme="minorBidi"/>
          <w:noProof/>
          <w:sz w:val="22"/>
          <w:szCs w:val="22"/>
          <w:lang w:val="cs-CZ" w:eastAsia="cs-CZ"/>
        </w:rPr>
      </w:pPr>
      <w:hyperlink w:anchor="_Toc331409065" w:history="1">
        <w:r w:rsidR="008B7925" w:rsidRPr="00F54D92">
          <w:rPr>
            <w:rStyle w:val="Hyperlink"/>
            <w:i/>
            <w:noProof/>
          </w:rPr>
          <w:t>Regulation of Business Practices</w:t>
        </w:r>
        <w:r w:rsidR="008B7925">
          <w:rPr>
            <w:noProof/>
            <w:webHidden/>
          </w:rPr>
          <w:tab/>
        </w:r>
        <w:r w:rsidR="00C21270">
          <w:rPr>
            <w:noProof/>
            <w:webHidden/>
          </w:rPr>
          <w:fldChar w:fldCharType="begin"/>
        </w:r>
        <w:r w:rsidR="008B7925">
          <w:rPr>
            <w:noProof/>
            <w:webHidden/>
          </w:rPr>
          <w:instrText xml:space="preserve"> PAGEREF _Toc331409065 \h </w:instrText>
        </w:r>
        <w:r w:rsidR="00C21270">
          <w:rPr>
            <w:noProof/>
            <w:webHidden/>
          </w:rPr>
        </w:r>
        <w:r w:rsidR="00C21270">
          <w:rPr>
            <w:noProof/>
            <w:webHidden/>
          </w:rPr>
          <w:fldChar w:fldCharType="separate"/>
        </w:r>
        <w:r w:rsidR="00072494">
          <w:rPr>
            <w:noProof/>
            <w:webHidden/>
          </w:rPr>
          <w:t>18</w:t>
        </w:r>
        <w:r w:rsidR="00C21270">
          <w:rPr>
            <w:noProof/>
            <w:webHidden/>
          </w:rPr>
          <w:fldChar w:fldCharType="end"/>
        </w:r>
      </w:hyperlink>
    </w:p>
    <w:p w:rsidR="008B7925" w:rsidRDefault="00930C64">
      <w:pPr>
        <w:pStyle w:val="TOC1"/>
        <w:rPr>
          <w:rFonts w:asciiTheme="minorHAnsi" w:eastAsiaTheme="minorEastAsia" w:hAnsiTheme="minorHAnsi" w:cstheme="minorBidi"/>
          <w:noProof/>
          <w:sz w:val="22"/>
          <w:szCs w:val="22"/>
          <w:lang w:val="cs-CZ" w:eastAsia="cs-CZ"/>
        </w:rPr>
      </w:pPr>
      <w:hyperlink w:anchor="_Toc331409066" w:history="1">
        <w:r w:rsidR="008B7925" w:rsidRPr="00F54D92">
          <w:rPr>
            <w:rStyle w:val="Hyperlink"/>
            <w:i/>
            <w:noProof/>
          </w:rPr>
          <w:t>Dispute Resolution Mechanisms</w:t>
        </w:r>
        <w:r w:rsidR="008B7925">
          <w:rPr>
            <w:noProof/>
            <w:webHidden/>
          </w:rPr>
          <w:tab/>
        </w:r>
        <w:r w:rsidR="00C21270">
          <w:rPr>
            <w:noProof/>
            <w:webHidden/>
          </w:rPr>
          <w:fldChar w:fldCharType="begin"/>
        </w:r>
        <w:r w:rsidR="008B7925">
          <w:rPr>
            <w:noProof/>
            <w:webHidden/>
          </w:rPr>
          <w:instrText xml:space="preserve"> PAGEREF _Toc331409066 \h </w:instrText>
        </w:r>
        <w:r w:rsidR="00C21270">
          <w:rPr>
            <w:noProof/>
            <w:webHidden/>
          </w:rPr>
        </w:r>
        <w:r w:rsidR="00C21270">
          <w:rPr>
            <w:noProof/>
            <w:webHidden/>
          </w:rPr>
          <w:fldChar w:fldCharType="separate"/>
        </w:r>
        <w:r w:rsidR="00072494">
          <w:rPr>
            <w:noProof/>
            <w:webHidden/>
          </w:rPr>
          <w:t>20</w:t>
        </w:r>
        <w:r w:rsidR="00C21270">
          <w:rPr>
            <w:noProof/>
            <w:webHidden/>
          </w:rPr>
          <w:fldChar w:fldCharType="end"/>
        </w:r>
      </w:hyperlink>
    </w:p>
    <w:p w:rsidR="008B7925" w:rsidRDefault="00930C64">
      <w:pPr>
        <w:pStyle w:val="TOC1"/>
        <w:rPr>
          <w:rFonts w:asciiTheme="minorHAnsi" w:eastAsiaTheme="minorEastAsia" w:hAnsiTheme="minorHAnsi" w:cstheme="minorBidi"/>
          <w:noProof/>
          <w:sz w:val="22"/>
          <w:szCs w:val="22"/>
          <w:lang w:val="cs-CZ" w:eastAsia="cs-CZ"/>
        </w:rPr>
      </w:pPr>
      <w:hyperlink w:anchor="_Toc331409067" w:history="1">
        <w:r w:rsidR="008B7925" w:rsidRPr="00F54D92">
          <w:rPr>
            <w:rStyle w:val="Hyperlink"/>
            <w:i/>
            <w:noProof/>
          </w:rPr>
          <w:t>Financial Education</w:t>
        </w:r>
        <w:r w:rsidR="008B7925">
          <w:rPr>
            <w:noProof/>
            <w:webHidden/>
          </w:rPr>
          <w:tab/>
        </w:r>
        <w:r w:rsidR="00C21270">
          <w:rPr>
            <w:noProof/>
            <w:webHidden/>
          </w:rPr>
          <w:fldChar w:fldCharType="begin"/>
        </w:r>
        <w:r w:rsidR="008B7925">
          <w:rPr>
            <w:noProof/>
            <w:webHidden/>
          </w:rPr>
          <w:instrText xml:space="preserve"> PAGEREF _Toc331409067 \h </w:instrText>
        </w:r>
        <w:r w:rsidR="00C21270">
          <w:rPr>
            <w:noProof/>
            <w:webHidden/>
          </w:rPr>
        </w:r>
        <w:r w:rsidR="00C21270">
          <w:rPr>
            <w:noProof/>
            <w:webHidden/>
          </w:rPr>
          <w:fldChar w:fldCharType="separate"/>
        </w:r>
        <w:r w:rsidR="00072494">
          <w:rPr>
            <w:noProof/>
            <w:webHidden/>
          </w:rPr>
          <w:t>22</w:t>
        </w:r>
        <w:r w:rsidR="00C21270">
          <w:rPr>
            <w:noProof/>
            <w:webHidden/>
          </w:rPr>
          <w:fldChar w:fldCharType="end"/>
        </w:r>
      </w:hyperlink>
    </w:p>
    <w:p w:rsidR="008B7925" w:rsidRDefault="00930C64">
      <w:pPr>
        <w:pStyle w:val="TOC1"/>
        <w:rPr>
          <w:rFonts w:asciiTheme="minorHAnsi" w:eastAsiaTheme="minorEastAsia" w:hAnsiTheme="minorHAnsi" w:cstheme="minorBidi"/>
          <w:noProof/>
          <w:sz w:val="22"/>
          <w:szCs w:val="22"/>
          <w:lang w:val="cs-CZ" w:eastAsia="cs-CZ"/>
        </w:rPr>
      </w:pPr>
      <w:hyperlink w:anchor="_Toc331409068" w:history="1">
        <w:r w:rsidR="008B7925" w:rsidRPr="00F54D92">
          <w:rPr>
            <w:rStyle w:val="Hyperlink"/>
            <w:noProof/>
            <w:lang w:eastAsia="cs-CZ"/>
          </w:rPr>
          <w:t>V.</w:t>
        </w:r>
        <w:r w:rsidR="008B7925">
          <w:rPr>
            <w:rFonts w:asciiTheme="minorHAnsi" w:eastAsiaTheme="minorEastAsia" w:hAnsiTheme="minorHAnsi" w:cstheme="minorBidi"/>
            <w:noProof/>
            <w:sz w:val="22"/>
            <w:szCs w:val="22"/>
            <w:lang w:val="cs-CZ" w:eastAsia="cs-CZ"/>
          </w:rPr>
          <w:tab/>
        </w:r>
        <w:r w:rsidR="008B7925" w:rsidRPr="00F54D92">
          <w:rPr>
            <w:rStyle w:val="Hyperlink"/>
            <w:noProof/>
            <w:lang w:eastAsia="cs-CZ"/>
          </w:rPr>
          <w:t>List of Recommendations</w:t>
        </w:r>
        <w:r w:rsidR="008B7925">
          <w:rPr>
            <w:noProof/>
            <w:webHidden/>
          </w:rPr>
          <w:tab/>
        </w:r>
        <w:r w:rsidR="00C21270">
          <w:rPr>
            <w:noProof/>
            <w:webHidden/>
          </w:rPr>
          <w:fldChar w:fldCharType="begin"/>
        </w:r>
        <w:r w:rsidR="008B7925">
          <w:rPr>
            <w:noProof/>
            <w:webHidden/>
          </w:rPr>
          <w:instrText xml:space="preserve"> PAGEREF _Toc331409068 \h </w:instrText>
        </w:r>
        <w:r w:rsidR="00C21270">
          <w:rPr>
            <w:noProof/>
            <w:webHidden/>
          </w:rPr>
        </w:r>
        <w:r w:rsidR="00C21270">
          <w:rPr>
            <w:noProof/>
            <w:webHidden/>
          </w:rPr>
          <w:fldChar w:fldCharType="separate"/>
        </w:r>
        <w:r w:rsidR="00072494">
          <w:rPr>
            <w:noProof/>
            <w:webHidden/>
          </w:rPr>
          <w:t>26</w:t>
        </w:r>
        <w:r w:rsidR="00C21270">
          <w:rPr>
            <w:noProof/>
            <w:webHidden/>
          </w:rPr>
          <w:fldChar w:fldCharType="end"/>
        </w:r>
      </w:hyperlink>
    </w:p>
    <w:p w:rsidR="008B7925" w:rsidRDefault="00930C64">
      <w:pPr>
        <w:pStyle w:val="TOC1"/>
        <w:rPr>
          <w:rFonts w:asciiTheme="minorHAnsi" w:eastAsiaTheme="minorEastAsia" w:hAnsiTheme="minorHAnsi" w:cstheme="minorBidi"/>
          <w:noProof/>
          <w:sz w:val="22"/>
          <w:szCs w:val="22"/>
          <w:lang w:val="cs-CZ" w:eastAsia="cs-CZ"/>
        </w:rPr>
      </w:pPr>
      <w:hyperlink w:anchor="_Toc331409069" w:history="1">
        <w:r w:rsidR="008B7925" w:rsidRPr="00F54D92">
          <w:rPr>
            <w:rStyle w:val="Hyperlink"/>
            <w:noProof/>
            <w:lang w:eastAsia="cs-CZ"/>
          </w:rPr>
          <w:t>VI.</w:t>
        </w:r>
        <w:r w:rsidR="008B7925">
          <w:rPr>
            <w:rFonts w:asciiTheme="minorHAnsi" w:eastAsiaTheme="minorEastAsia" w:hAnsiTheme="minorHAnsi" w:cstheme="minorBidi"/>
            <w:noProof/>
            <w:sz w:val="22"/>
            <w:szCs w:val="22"/>
            <w:lang w:val="cs-CZ" w:eastAsia="cs-CZ"/>
          </w:rPr>
          <w:tab/>
        </w:r>
        <w:r w:rsidR="008B7925" w:rsidRPr="00F54D92">
          <w:rPr>
            <w:rStyle w:val="Hyperlink"/>
            <w:noProof/>
            <w:lang w:eastAsia="cs-CZ"/>
          </w:rPr>
          <w:t>The World Bank 2012 Financial Literacy survey preliminary results</w:t>
        </w:r>
        <w:r w:rsidR="008B7925">
          <w:rPr>
            <w:noProof/>
            <w:webHidden/>
          </w:rPr>
          <w:tab/>
        </w:r>
        <w:r w:rsidR="00C21270">
          <w:rPr>
            <w:noProof/>
            <w:webHidden/>
          </w:rPr>
          <w:fldChar w:fldCharType="begin"/>
        </w:r>
        <w:r w:rsidR="008B7925">
          <w:rPr>
            <w:noProof/>
            <w:webHidden/>
          </w:rPr>
          <w:instrText xml:space="preserve"> PAGEREF _Toc331409069 \h </w:instrText>
        </w:r>
        <w:r w:rsidR="00C21270">
          <w:rPr>
            <w:noProof/>
            <w:webHidden/>
          </w:rPr>
        </w:r>
        <w:r w:rsidR="00C21270">
          <w:rPr>
            <w:noProof/>
            <w:webHidden/>
          </w:rPr>
          <w:fldChar w:fldCharType="separate"/>
        </w:r>
        <w:r w:rsidR="00072494">
          <w:rPr>
            <w:noProof/>
            <w:webHidden/>
          </w:rPr>
          <w:t>32</w:t>
        </w:r>
        <w:r w:rsidR="00C21270">
          <w:rPr>
            <w:noProof/>
            <w:webHidden/>
          </w:rPr>
          <w:fldChar w:fldCharType="end"/>
        </w:r>
      </w:hyperlink>
    </w:p>
    <w:p w:rsidR="008B7925" w:rsidRDefault="00930C64">
      <w:pPr>
        <w:pStyle w:val="TOC1"/>
        <w:rPr>
          <w:rFonts w:asciiTheme="minorHAnsi" w:eastAsiaTheme="minorEastAsia" w:hAnsiTheme="minorHAnsi" w:cstheme="minorBidi"/>
          <w:noProof/>
          <w:sz w:val="22"/>
          <w:szCs w:val="22"/>
          <w:lang w:val="cs-CZ" w:eastAsia="cs-CZ"/>
        </w:rPr>
      </w:pPr>
      <w:hyperlink w:anchor="_Toc331409070" w:history="1">
        <w:r w:rsidR="008B7925" w:rsidRPr="00F54D92">
          <w:rPr>
            <w:rStyle w:val="Hyperlink"/>
            <w:noProof/>
            <w:lang w:eastAsia="cs-CZ"/>
          </w:rPr>
          <w:t>VII.</w:t>
        </w:r>
        <w:r w:rsidR="008B7925">
          <w:rPr>
            <w:rFonts w:asciiTheme="minorHAnsi" w:eastAsiaTheme="minorEastAsia" w:hAnsiTheme="minorHAnsi" w:cstheme="minorBidi"/>
            <w:noProof/>
            <w:sz w:val="22"/>
            <w:szCs w:val="22"/>
            <w:lang w:val="cs-CZ" w:eastAsia="cs-CZ"/>
          </w:rPr>
          <w:tab/>
        </w:r>
        <w:r w:rsidR="008B7925" w:rsidRPr="00F54D92">
          <w:rPr>
            <w:rStyle w:val="Hyperlink"/>
            <w:noProof/>
            <w:lang w:eastAsia="cs-CZ"/>
          </w:rPr>
          <w:t>References</w:t>
        </w:r>
        <w:r w:rsidR="008B7925">
          <w:rPr>
            <w:noProof/>
            <w:webHidden/>
          </w:rPr>
          <w:tab/>
        </w:r>
        <w:r w:rsidR="00C21270">
          <w:rPr>
            <w:noProof/>
            <w:webHidden/>
          </w:rPr>
          <w:fldChar w:fldCharType="begin"/>
        </w:r>
        <w:r w:rsidR="008B7925">
          <w:rPr>
            <w:noProof/>
            <w:webHidden/>
          </w:rPr>
          <w:instrText xml:space="preserve"> PAGEREF _Toc331409070 \h </w:instrText>
        </w:r>
        <w:r w:rsidR="00C21270">
          <w:rPr>
            <w:noProof/>
            <w:webHidden/>
          </w:rPr>
        </w:r>
        <w:r w:rsidR="00C21270">
          <w:rPr>
            <w:noProof/>
            <w:webHidden/>
          </w:rPr>
          <w:fldChar w:fldCharType="separate"/>
        </w:r>
        <w:r w:rsidR="00072494">
          <w:rPr>
            <w:noProof/>
            <w:webHidden/>
          </w:rPr>
          <w:t>34</w:t>
        </w:r>
        <w:r w:rsidR="00C21270">
          <w:rPr>
            <w:noProof/>
            <w:webHidden/>
          </w:rPr>
          <w:fldChar w:fldCharType="end"/>
        </w:r>
      </w:hyperlink>
    </w:p>
    <w:p w:rsidR="00057AAD" w:rsidRDefault="00C21270">
      <w:pPr>
        <w:pStyle w:val="TableofFigures"/>
        <w:rPr>
          <w:b/>
          <w:caps/>
        </w:rPr>
      </w:pPr>
      <w:r w:rsidRPr="00E06713">
        <w:rPr>
          <w:b/>
          <w:caps/>
        </w:rPr>
        <w:fldChar w:fldCharType="end"/>
      </w:r>
    </w:p>
    <w:p w:rsidR="00E604F4" w:rsidRPr="00E604F4" w:rsidRDefault="00E604F4" w:rsidP="003032DA">
      <w:pPr>
        <w:jc w:val="center"/>
      </w:pPr>
    </w:p>
    <w:p w:rsidR="00057AAD" w:rsidRPr="00E06713" w:rsidRDefault="00057AAD" w:rsidP="004530B9">
      <w:pPr>
        <w:pStyle w:val="TOC2"/>
        <w:rPr>
          <w:rStyle w:val="Hyperlink"/>
          <w:color w:val="auto"/>
        </w:rPr>
      </w:pPr>
    </w:p>
    <w:p w:rsidR="007F11F4" w:rsidRPr="008569E0" w:rsidRDefault="00057AAD" w:rsidP="007F11F4">
      <w:pPr>
        <w:rPr>
          <w:rStyle w:val="Hyperlink"/>
          <w:noProof/>
        </w:rPr>
      </w:pPr>
      <w:r w:rsidRPr="00E06713">
        <w:rPr>
          <w:caps/>
          <w:noProof/>
          <w:color w:val="000000"/>
        </w:rPr>
        <w:br w:type="page"/>
      </w:r>
      <w:bookmarkStart w:id="4" w:name="_Toc263494672"/>
      <w:bookmarkStart w:id="5" w:name="_Toc157329314"/>
      <w:bookmarkStart w:id="6" w:name="_Toc165296248"/>
      <w:bookmarkEnd w:id="2"/>
      <w:bookmarkEnd w:id="3"/>
    </w:p>
    <w:p w:rsidR="007F11F4" w:rsidRDefault="007F11F4" w:rsidP="007F11F4">
      <w:pPr>
        <w:pStyle w:val="Heading1"/>
      </w:pPr>
      <w:bookmarkStart w:id="7" w:name="_Toc308689139"/>
      <w:bookmarkStart w:id="8" w:name="_Toc317607646"/>
      <w:bookmarkStart w:id="9" w:name="_Toc318280972"/>
      <w:bookmarkStart w:id="10" w:name="_Toc318280990"/>
      <w:bookmarkStart w:id="11" w:name="_Toc331409056"/>
      <w:r w:rsidRPr="00B75C16">
        <w:lastRenderedPageBreak/>
        <w:t>Acronyms and Abbreviation</w:t>
      </w:r>
      <w:bookmarkEnd w:id="7"/>
      <w:bookmarkEnd w:id="8"/>
      <w:bookmarkEnd w:id="9"/>
      <w:bookmarkEnd w:id="10"/>
      <w:bookmarkEnd w:id="11"/>
    </w:p>
    <w:p w:rsidR="007F11F4" w:rsidRPr="00B75C16" w:rsidRDefault="007F11F4" w:rsidP="007F11F4"/>
    <w:tbl>
      <w:tblPr>
        <w:tblW w:w="7859" w:type="dxa"/>
        <w:tblInd w:w="95" w:type="dxa"/>
        <w:tblLook w:val="04A0" w:firstRow="1" w:lastRow="0" w:firstColumn="1" w:lastColumn="0" w:noHBand="0" w:noVBand="1"/>
      </w:tblPr>
      <w:tblGrid>
        <w:gridCol w:w="1377"/>
        <w:gridCol w:w="6482"/>
      </w:tblGrid>
      <w:tr w:rsidR="007F11F4" w:rsidRPr="00B75C16" w:rsidTr="00556493">
        <w:trPr>
          <w:trHeight w:val="301"/>
        </w:trPr>
        <w:tc>
          <w:tcPr>
            <w:tcW w:w="1377" w:type="dxa"/>
            <w:tcBorders>
              <w:top w:val="nil"/>
              <w:left w:val="nil"/>
              <w:bottom w:val="nil"/>
              <w:right w:val="nil"/>
            </w:tcBorders>
            <w:shd w:val="clear" w:color="auto" w:fill="auto"/>
            <w:noWrap/>
            <w:hideMark/>
          </w:tcPr>
          <w:p w:rsidR="007F11F4" w:rsidRDefault="007F11F4" w:rsidP="00556493">
            <w:pPr>
              <w:rPr>
                <w:color w:val="000000"/>
                <w:sz w:val="22"/>
                <w:szCs w:val="22"/>
              </w:rPr>
            </w:pPr>
            <w:r>
              <w:rPr>
                <w:color w:val="000000"/>
                <w:sz w:val="22"/>
                <w:szCs w:val="22"/>
              </w:rPr>
              <w:t>AMD</w:t>
            </w:r>
          </w:p>
          <w:p w:rsidR="007F11F4" w:rsidRDefault="007F11F4" w:rsidP="00556493">
            <w:pPr>
              <w:rPr>
                <w:color w:val="000000"/>
                <w:sz w:val="22"/>
                <w:szCs w:val="22"/>
              </w:rPr>
            </w:pPr>
            <w:r>
              <w:rPr>
                <w:color w:val="000000"/>
                <w:sz w:val="22"/>
                <w:szCs w:val="22"/>
              </w:rPr>
              <w:t>AMMP</w:t>
            </w:r>
          </w:p>
          <w:p w:rsidR="007F11F4" w:rsidRDefault="007F11F4" w:rsidP="00556493">
            <w:pPr>
              <w:rPr>
                <w:color w:val="000000"/>
                <w:sz w:val="22"/>
                <w:szCs w:val="22"/>
              </w:rPr>
            </w:pPr>
            <w:r>
              <w:rPr>
                <w:color w:val="000000"/>
                <w:sz w:val="22"/>
                <w:szCs w:val="22"/>
              </w:rPr>
              <w:t>ATM</w:t>
            </w:r>
          </w:p>
          <w:p w:rsidR="007F11F4" w:rsidRPr="00B75C16" w:rsidRDefault="007F11F4" w:rsidP="00556493">
            <w:pPr>
              <w:rPr>
                <w:color w:val="000000"/>
                <w:sz w:val="22"/>
                <w:szCs w:val="22"/>
              </w:rPr>
            </w:pPr>
            <w:r>
              <w:rPr>
                <w:color w:val="000000"/>
                <w:sz w:val="22"/>
                <w:szCs w:val="22"/>
              </w:rPr>
              <w:t>CBA</w:t>
            </w:r>
          </w:p>
        </w:tc>
        <w:tc>
          <w:tcPr>
            <w:tcW w:w="6482" w:type="dxa"/>
            <w:tcBorders>
              <w:top w:val="nil"/>
              <w:left w:val="nil"/>
              <w:bottom w:val="nil"/>
              <w:right w:val="nil"/>
            </w:tcBorders>
            <w:shd w:val="clear" w:color="auto" w:fill="auto"/>
            <w:noWrap/>
            <w:hideMark/>
          </w:tcPr>
          <w:p w:rsidR="007F11F4" w:rsidRDefault="007F11F4" w:rsidP="00556493">
            <w:pPr>
              <w:rPr>
                <w:color w:val="000000"/>
                <w:sz w:val="22"/>
                <w:szCs w:val="22"/>
              </w:rPr>
            </w:pPr>
            <w:r>
              <w:rPr>
                <w:color w:val="000000"/>
                <w:sz w:val="22"/>
                <w:szCs w:val="22"/>
              </w:rPr>
              <w:t>Armenian Drams</w:t>
            </w:r>
          </w:p>
          <w:p w:rsidR="007F11F4" w:rsidRDefault="007F11F4" w:rsidP="00556493">
            <w:pPr>
              <w:rPr>
                <w:color w:val="000000"/>
                <w:sz w:val="22"/>
                <w:szCs w:val="22"/>
                <w:lang w:val="en-GB"/>
              </w:rPr>
            </w:pPr>
            <w:r w:rsidRPr="009A4A63">
              <w:rPr>
                <w:color w:val="000000"/>
                <w:sz w:val="22"/>
                <w:szCs w:val="22"/>
              </w:rPr>
              <w:t xml:space="preserve">Association of Mortgage Market Participants </w:t>
            </w:r>
          </w:p>
          <w:p w:rsidR="007F11F4" w:rsidRDefault="007F11F4" w:rsidP="00556493">
            <w:pPr>
              <w:rPr>
                <w:color w:val="000000"/>
                <w:sz w:val="22"/>
                <w:szCs w:val="22"/>
                <w:lang w:val="en-GB"/>
              </w:rPr>
            </w:pPr>
            <w:r>
              <w:rPr>
                <w:color w:val="000000"/>
                <w:sz w:val="22"/>
                <w:szCs w:val="22"/>
                <w:lang w:val="en-GB"/>
              </w:rPr>
              <w:t>Automatic Teller Machine</w:t>
            </w:r>
          </w:p>
          <w:p w:rsidR="007F11F4" w:rsidRPr="00B75C16" w:rsidRDefault="007F11F4" w:rsidP="00556493">
            <w:pPr>
              <w:rPr>
                <w:color w:val="000000"/>
                <w:sz w:val="22"/>
                <w:szCs w:val="22"/>
              </w:rPr>
            </w:pPr>
            <w:r>
              <w:rPr>
                <w:color w:val="000000"/>
                <w:sz w:val="22"/>
                <w:szCs w:val="22"/>
                <w:lang w:val="en-GB"/>
              </w:rPr>
              <w:t>Central Bank of Armenia</w:t>
            </w:r>
          </w:p>
        </w:tc>
      </w:tr>
      <w:tr w:rsidR="007F11F4" w:rsidRPr="00B75C16" w:rsidTr="00556493">
        <w:trPr>
          <w:trHeight w:val="301"/>
        </w:trPr>
        <w:tc>
          <w:tcPr>
            <w:tcW w:w="1377" w:type="dxa"/>
            <w:tcBorders>
              <w:top w:val="nil"/>
              <w:left w:val="nil"/>
              <w:bottom w:val="nil"/>
              <w:right w:val="nil"/>
            </w:tcBorders>
            <w:shd w:val="clear" w:color="auto" w:fill="auto"/>
            <w:noWrap/>
            <w:hideMark/>
          </w:tcPr>
          <w:p w:rsidR="007F11F4" w:rsidRDefault="007F11F4" w:rsidP="00556493">
            <w:pPr>
              <w:rPr>
                <w:color w:val="000000"/>
                <w:sz w:val="22"/>
                <w:szCs w:val="22"/>
              </w:rPr>
            </w:pPr>
            <w:r>
              <w:rPr>
                <w:color w:val="000000"/>
                <w:sz w:val="22"/>
                <w:szCs w:val="22"/>
              </w:rPr>
              <w:t>CIU</w:t>
            </w:r>
          </w:p>
          <w:p w:rsidR="007F11F4" w:rsidRDefault="007F11F4" w:rsidP="00556493">
            <w:pPr>
              <w:rPr>
                <w:color w:val="000000"/>
                <w:sz w:val="22"/>
                <w:szCs w:val="22"/>
              </w:rPr>
            </w:pPr>
            <w:r>
              <w:rPr>
                <w:color w:val="000000"/>
                <w:sz w:val="22"/>
                <w:szCs w:val="22"/>
              </w:rPr>
              <w:t>CMTPLI</w:t>
            </w:r>
          </w:p>
          <w:p w:rsidR="007F11F4" w:rsidRDefault="007F11F4" w:rsidP="00556493">
            <w:pPr>
              <w:rPr>
                <w:color w:val="000000"/>
                <w:sz w:val="22"/>
                <w:szCs w:val="22"/>
              </w:rPr>
            </w:pPr>
            <w:r>
              <w:rPr>
                <w:color w:val="000000"/>
                <w:sz w:val="22"/>
                <w:szCs w:val="22"/>
              </w:rPr>
              <w:t>CPMC</w:t>
            </w:r>
          </w:p>
          <w:p w:rsidR="007F11F4" w:rsidRDefault="007F11F4" w:rsidP="00556493">
            <w:pPr>
              <w:rPr>
                <w:color w:val="000000"/>
                <w:sz w:val="22"/>
                <w:szCs w:val="22"/>
              </w:rPr>
            </w:pPr>
            <w:r>
              <w:rPr>
                <w:color w:val="000000"/>
                <w:sz w:val="22"/>
                <w:szCs w:val="22"/>
              </w:rPr>
              <w:t>EU</w:t>
            </w:r>
          </w:p>
          <w:p w:rsidR="007F11F4" w:rsidRDefault="007F11F4" w:rsidP="00556493">
            <w:pPr>
              <w:rPr>
                <w:color w:val="000000"/>
                <w:sz w:val="22"/>
                <w:szCs w:val="22"/>
              </w:rPr>
            </w:pPr>
            <w:r>
              <w:rPr>
                <w:color w:val="000000"/>
                <w:sz w:val="22"/>
                <w:szCs w:val="22"/>
              </w:rPr>
              <w:t>FSM</w:t>
            </w:r>
          </w:p>
          <w:p w:rsidR="007F11F4" w:rsidRDefault="007F11F4" w:rsidP="00556493">
            <w:pPr>
              <w:rPr>
                <w:color w:val="000000"/>
                <w:sz w:val="22"/>
                <w:szCs w:val="22"/>
              </w:rPr>
            </w:pPr>
            <w:r>
              <w:rPr>
                <w:color w:val="000000"/>
                <w:sz w:val="22"/>
                <w:szCs w:val="22"/>
              </w:rPr>
              <w:t>FX</w:t>
            </w:r>
          </w:p>
          <w:p w:rsidR="007F11F4" w:rsidRDefault="007F11F4" w:rsidP="00556493">
            <w:pPr>
              <w:rPr>
                <w:color w:val="000000"/>
                <w:sz w:val="22"/>
                <w:szCs w:val="22"/>
              </w:rPr>
            </w:pPr>
            <w:r>
              <w:rPr>
                <w:color w:val="000000"/>
                <w:sz w:val="22"/>
                <w:szCs w:val="22"/>
              </w:rPr>
              <w:t>GDP</w:t>
            </w:r>
          </w:p>
          <w:p w:rsidR="007F11F4" w:rsidRDefault="007F11F4" w:rsidP="00556493">
            <w:pPr>
              <w:rPr>
                <w:color w:val="000000"/>
                <w:sz w:val="22"/>
                <w:szCs w:val="22"/>
              </w:rPr>
            </w:pPr>
            <w:r>
              <w:rPr>
                <w:color w:val="000000"/>
                <w:sz w:val="22"/>
                <w:szCs w:val="22"/>
              </w:rPr>
              <w:t>IC</w:t>
            </w:r>
          </w:p>
          <w:p w:rsidR="007F11F4" w:rsidRDefault="007F11F4" w:rsidP="00556493">
            <w:pPr>
              <w:rPr>
                <w:color w:val="000000"/>
                <w:sz w:val="22"/>
                <w:szCs w:val="22"/>
              </w:rPr>
            </w:pPr>
            <w:r>
              <w:rPr>
                <w:color w:val="000000"/>
                <w:sz w:val="22"/>
                <w:szCs w:val="22"/>
              </w:rPr>
              <w:t>LIIA</w:t>
            </w:r>
          </w:p>
          <w:p w:rsidR="007F11F4" w:rsidRDefault="007F11F4" w:rsidP="00556493">
            <w:pPr>
              <w:rPr>
                <w:color w:val="000000"/>
                <w:sz w:val="22"/>
                <w:szCs w:val="22"/>
              </w:rPr>
            </w:pPr>
            <w:r>
              <w:rPr>
                <w:color w:val="000000"/>
                <w:sz w:val="22"/>
                <w:szCs w:val="22"/>
              </w:rPr>
              <w:t>MoES</w:t>
            </w:r>
          </w:p>
          <w:p w:rsidR="007F11F4" w:rsidRDefault="007F11F4" w:rsidP="00556493">
            <w:pPr>
              <w:rPr>
                <w:color w:val="000000"/>
                <w:sz w:val="22"/>
                <w:szCs w:val="22"/>
              </w:rPr>
            </w:pPr>
            <w:r>
              <w:rPr>
                <w:color w:val="000000"/>
                <w:sz w:val="22"/>
                <w:szCs w:val="22"/>
              </w:rPr>
              <w:t>MTPL</w:t>
            </w:r>
          </w:p>
          <w:p w:rsidR="007F11F4" w:rsidRDefault="007F11F4" w:rsidP="00556493">
            <w:pPr>
              <w:rPr>
                <w:color w:val="000000"/>
                <w:sz w:val="22"/>
                <w:szCs w:val="22"/>
              </w:rPr>
            </w:pPr>
            <w:r>
              <w:rPr>
                <w:color w:val="000000"/>
                <w:sz w:val="22"/>
                <w:szCs w:val="22"/>
              </w:rPr>
              <w:t>NGO</w:t>
            </w:r>
          </w:p>
          <w:p w:rsidR="007F11F4" w:rsidRDefault="007F11F4" w:rsidP="00556493">
            <w:pPr>
              <w:rPr>
                <w:color w:val="000000"/>
                <w:sz w:val="22"/>
                <w:szCs w:val="22"/>
              </w:rPr>
            </w:pPr>
            <w:r>
              <w:rPr>
                <w:color w:val="000000"/>
                <w:sz w:val="22"/>
                <w:szCs w:val="22"/>
              </w:rPr>
              <w:t>NPL</w:t>
            </w:r>
          </w:p>
          <w:p w:rsidR="007F11F4" w:rsidRDefault="007F11F4" w:rsidP="00556493">
            <w:pPr>
              <w:rPr>
                <w:color w:val="000000"/>
                <w:sz w:val="22"/>
                <w:szCs w:val="22"/>
              </w:rPr>
            </w:pPr>
            <w:r>
              <w:rPr>
                <w:color w:val="000000"/>
                <w:sz w:val="22"/>
                <w:szCs w:val="22"/>
              </w:rPr>
              <w:t>LFMS</w:t>
            </w:r>
          </w:p>
          <w:p w:rsidR="007F11F4" w:rsidRPr="00B75C16" w:rsidRDefault="007F11F4" w:rsidP="00556493">
            <w:pPr>
              <w:rPr>
                <w:color w:val="000000"/>
                <w:sz w:val="22"/>
                <w:szCs w:val="22"/>
              </w:rPr>
            </w:pPr>
            <w:r>
              <w:rPr>
                <w:color w:val="000000"/>
                <w:sz w:val="22"/>
                <w:szCs w:val="22"/>
              </w:rPr>
              <w:t>LIF</w:t>
            </w:r>
          </w:p>
        </w:tc>
        <w:tc>
          <w:tcPr>
            <w:tcW w:w="6482" w:type="dxa"/>
            <w:tcBorders>
              <w:top w:val="nil"/>
              <w:left w:val="nil"/>
              <w:bottom w:val="nil"/>
              <w:right w:val="nil"/>
            </w:tcBorders>
            <w:shd w:val="clear" w:color="auto" w:fill="auto"/>
            <w:noWrap/>
            <w:hideMark/>
          </w:tcPr>
          <w:p w:rsidR="007F11F4" w:rsidRDefault="007F11F4" w:rsidP="00556493">
            <w:pPr>
              <w:rPr>
                <w:color w:val="000000"/>
                <w:sz w:val="22"/>
                <w:szCs w:val="22"/>
              </w:rPr>
            </w:pPr>
            <w:r>
              <w:rPr>
                <w:color w:val="000000"/>
                <w:sz w:val="22"/>
                <w:szCs w:val="22"/>
              </w:rPr>
              <w:t>Collective Investment Undertaking</w:t>
            </w:r>
          </w:p>
          <w:p w:rsidR="007F11F4" w:rsidRDefault="007F11F4" w:rsidP="00556493">
            <w:pPr>
              <w:rPr>
                <w:color w:val="000000"/>
                <w:sz w:val="22"/>
                <w:szCs w:val="22"/>
              </w:rPr>
            </w:pPr>
            <w:r w:rsidRPr="00883B34">
              <w:rPr>
                <w:color w:val="000000"/>
                <w:sz w:val="22"/>
                <w:szCs w:val="22"/>
              </w:rPr>
              <w:t>Compulsory Motor</w:t>
            </w:r>
            <w:r>
              <w:rPr>
                <w:color w:val="000000"/>
                <w:sz w:val="22"/>
                <w:szCs w:val="22"/>
              </w:rPr>
              <w:t xml:space="preserve"> </w:t>
            </w:r>
            <w:r w:rsidRPr="00883B34">
              <w:rPr>
                <w:color w:val="000000"/>
                <w:sz w:val="22"/>
                <w:szCs w:val="22"/>
              </w:rPr>
              <w:t>Third Party Liability Insurance</w:t>
            </w:r>
          </w:p>
          <w:p w:rsidR="007F11F4" w:rsidRDefault="007F11F4" w:rsidP="00556493">
            <w:pPr>
              <w:rPr>
                <w:color w:val="000000"/>
                <w:sz w:val="22"/>
                <w:szCs w:val="22"/>
              </w:rPr>
            </w:pPr>
            <w:r>
              <w:rPr>
                <w:color w:val="000000"/>
                <w:sz w:val="22"/>
                <w:szCs w:val="22"/>
              </w:rPr>
              <w:t>Consumer Protection and Market Conduct</w:t>
            </w:r>
          </w:p>
          <w:p w:rsidR="007F11F4" w:rsidRDefault="007F11F4" w:rsidP="00556493">
            <w:pPr>
              <w:rPr>
                <w:color w:val="000000"/>
                <w:sz w:val="22"/>
                <w:szCs w:val="22"/>
              </w:rPr>
            </w:pPr>
            <w:r>
              <w:rPr>
                <w:color w:val="000000"/>
                <w:sz w:val="22"/>
                <w:szCs w:val="22"/>
              </w:rPr>
              <w:t>European Union</w:t>
            </w:r>
          </w:p>
          <w:p w:rsidR="007F11F4" w:rsidRDefault="007F11F4" w:rsidP="00556493">
            <w:pPr>
              <w:rPr>
                <w:color w:val="000000"/>
                <w:sz w:val="22"/>
                <w:szCs w:val="22"/>
              </w:rPr>
            </w:pPr>
            <w:r>
              <w:rPr>
                <w:color w:val="000000"/>
                <w:sz w:val="22"/>
                <w:szCs w:val="22"/>
              </w:rPr>
              <w:t>Financial System Mediator</w:t>
            </w:r>
          </w:p>
          <w:p w:rsidR="007F11F4" w:rsidRDefault="007F11F4" w:rsidP="00556493">
            <w:pPr>
              <w:rPr>
                <w:color w:val="000000"/>
                <w:sz w:val="22"/>
                <w:szCs w:val="22"/>
              </w:rPr>
            </w:pPr>
            <w:r>
              <w:rPr>
                <w:color w:val="000000"/>
                <w:sz w:val="22"/>
                <w:szCs w:val="22"/>
              </w:rPr>
              <w:t>Foreign Exchange</w:t>
            </w:r>
          </w:p>
          <w:p w:rsidR="007F11F4" w:rsidRDefault="007F11F4" w:rsidP="00556493">
            <w:pPr>
              <w:rPr>
                <w:color w:val="000000"/>
                <w:sz w:val="22"/>
                <w:szCs w:val="22"/>
              </w:rPr>
            </w:pPr>
            <w:r>
              <w:rPr>
                <w:color w:val="000000"/>
                <w:sz w:val="22"/>
                <w:szCs w:val="22"/>
              </w:rPr>
              <w:t>Gross Domestic Product</w:t>
            </w:r>
          </w:p>
          <w:p w:rsidR="007F11F4" w:rsidRDefault="007F11F4" w:rsidP="00556493">
            <w:pPr>
              <w:rPr>
                <w:color w:val="000000"/>
                <w:sz w:val="22"/>
                <w:szCs w:val="22"/>
              </w:rPr>
            </w:pPr>
            <w:r>
              <w:rPr>
                <w:color w:val="000000"/>
                <w:sz w:val="22"/>
                <w:szCs w:val="22"/>
              </w:rPr>
              <w:t>Investment Companies</w:t>
            </w:r>
          </w:p>
          <w:p w:rsidR="007F11F4" w:rsidRDefault="007F11F4" w:rsidP="00556493">
            <w:pPr>
              <w:rPr>
                <w:color w:val="000000"/>
                <w:sz w:val="22"/>
                <w:szCs w:val="22"/>
              </w:rPr>
            </w:pPr>
            <w:r>
              <w:rPr>
                <w:color w:val="000000"/>
                <w:sz w:val="22"/>
                <w:szCs w:val="22"/>
              </w:rPr>
              <w:t>Law on Insurance and Insurance Activities</w:t>
            </w:r>
          </w:p>
          <w:p w:rsidR="007F11F4" w:rsidRDefault="007F11F4" w:rsidP="00556493">
            <w:pPr>
              <w:rPr>
                <w:color w:val="000000"/>
                <w:sz w:val="22"/>
                <w:szCs w:val="22"/>
              </w:rPr>
            </w:pPr>
            <w:r>
              <w:rPr>
                <w:color w:val="000000"/>
                <w:sz w:val="22"/>
                <w:szCs w:val="22"/>
              </w:rPr>
              <w:t>Ministry of Education and Science</w:t>
            </w:r>
          </w:p>
          <w:p w:rsidR="007F11F4" w:rsidRDefault="007F11F4" w:rsidP="00556493">
            <w:pPr>
              <w:rPr>
                <w:color w:val="000000"/>
                <w:sz w:val="22"/>
                <w:szCs w:val="22"/>
              </w:rPr>
            </w:pPr>
            <w:r>
              <w:rPr>
                <w:color w:val="000000"/>
                <w:sz w:val="22"/>
                <w:szCs w:val="22"/>
              </w:rPr>
              <w:t>Motor third party liability</w:t>
            </w:r>
          </w:p>
          <w:p w:rsidR="007F11F4" w:rsidRPr="00C62E73" w:rsidRDefault="007F11F4" w:rsidP="00556493">
            <w:pPr>
              <w:rPr>
                <w:color w:val="000000"/>
                <w:sz w:val="22"/>
                <w:szCs w:val="22"/>
              </w:rPr>
            </w:pPr>
            <w:r w:rsidRPr="00C62E73">
              <w:rPr>
                <w:color w:val="000000"/>
                <w:sz w:val="22"/>
                <w:szCs w:val="22"/>
              </w:rPr>
              <w:t>Non-governmental organization</w:t>
            </w:r>
          </w:p>
          <w:p w:rsidR="007F11F4" w:rsidRDefault="007F11F4" w:rsidP="00556493">
            <w:pPr>
              <w:rPr>
                <w:color w:val="000000"/>
                <w:sz w:val="22"/>
                <w:szCs w:val="22"/>
              </w:rPr>
            </w:pPr>
            <w:r w:rsidRPr="00361429">
              <w:rPr>
                <w:color w:val="000000"/>
                <w:sz w:val="22"/>
                <w:szCs w:val="22"/>
              </w:rPr>
              <w:t>Nonperforming Loan</w:t>
            </w:r>
          </w:p>
          <w:p w:rsidR="007F11F4" w:rsidRDefault="007F11F4" w:rsidP="00556493">
            <w:pPr>
              <w:rPr>
                <w:color w:val="000000"/>
                <w:sz w:val="22"/>
                <w:szCs w:val="22"/>
              </w:rPr>
            </w:pPr>
            <w:r>
              <w:rPr>
                <w:color w:val="000000"/>
                <w:sz w:val="22"/>
                <w:szCs w:val="22"/>
              </w:rPr>
              <w:t>Law on Financial System Mediator</w:t>
            </w:r>
          </w:p>
          <w:p w:rsidR="007F11F4" w:rsidRPr="00B75C16" w:rsidRDefault="007F11F4" w:rsidP="00556493">
            <w:pPr>
              <w:rPr>
                <w:color w:val="000000"/>
                <w:sz w:val="22"/>
                <w:szCs w:val="22"/>
              </w:rPr>
            </w:pPr>
            <w:r>
              <w:rPr>
                <w:color w:val="000000"/>
                <w:sz w:val="22"/>
                <w:szCs w:val="22"/>
              </w:rPr>
              <w:t>Law on Investment Funds</w:t>
            </w:r>
          </w:p>
        </w:tc>
      </w:tr>
      <w:tr w:rsidR="007F11F4" w:rsidRPr="00B75C16" w:rsidTr="00556493">
        <w:trPr>
          <w:trHeight w:val="301"/>
        </w:trPr>
        <w:tc>
          <w:tcPr>
            <w:tcW w:w="1377" w:type="dxa"/>
            <w:tcBorders>
              <w:top w:val="nil"/>
              <w:left w:val="nil"/>
              <w:bottom w:val="nil"/>
              <w:right w:val="nil"/>
            </w:tcBorders>
            <w:shd w:val="clear" w:color="auto" w:fill="auto"/>
            <w:noWrap/>
            <w:hideMark/>
          </w:tcPr>
          <w:p w:rsidR="007F11F4" w:rsidRDefault="007F11F4" w:rsidP="00556493">
            <w:pPr>
              <w:rPr>
                <w:color w:val="000000"/>
                <w:sz w:val="22"/>
                <w:szCs w:val="22"/>
              </w:rPr>
            </w:pPr>
            <w:r>
              <w:rPr>
                <w:color w:val="000000"/>
                <w:sz w:val="22"/>
                <w:szCs w:val="22"/>
              </w:rPr>
              <w:t>LIIA</w:t>
            </w:r>
          </w:p>
          <w:p w:rsidR="007F11F4" w:rsidRPr="00B75C16" w:rsidRDefault="007F11F4" w:rsidP="00556493">
            <w:pPr>
              <w:rPr>
                <w:color w:val="000000"/>
                <w:sz w:val="22"/>
                <w:szCs w:val="22"/>
              </w:rPr>
            </w:pPr>
            <w:r>
              <w:rPr>
                <w:color w:val="000000"/>
                <w:sz w:val="22"/>
                <w:szCs w:val="22"/>
              </w:rPr>
              <w:t>LSM</w:t>
            </w:r>
          </w:p>
        </w:tc>
        <w:tc>
          <w:tcPr>
            <w:tcW w:w="6482" w:type="dxa"/>
            <w:tcBorders>
              <w:top w:val="nil"/>
              <w:left w:val="nil"/>
              <w:bottom w:val="nil"/>
              <w:right w:val="nil"/>
            </w:tcBorders>
            <w:shd w:val="clear" w:color="auto" w:fill="auto"/>
            <w:noWrap/>
            <w:hideMark/>
          </w:tcPr>
          <w:p w:rsidR="007F11F4" w:rsidRDefault="007F11F4" w:rsidP="00556493">
            <w:pPr>
              <w:rPr>
                <w:color w:val="000000"/>
                <w:sz w:val="22"/>
                <w:szCs w:val="22"/>
              </w:rPr>
            </w:pPr>
            <w:r>
              <w:rPr>
                <w:color w:val="000000"/>
                <w:sz w:val="22"/>
                <w:szCs w:val="22"/>
              </w:rPr>
              <w:t>Law on Insurance and Insurance Activities</w:t>
            </w:r>
          </w:p>
          <w:p w:rsidR="007F11F4" w:rsidRPr="00B75C16" w:rsidRDefault="007F11F4" w:rsidP="00556493">
            <w:pPr>
              <w:rPr>
                <w:color w:val="000000"/>
                <w:sz w:val="22"/>
                <w:szCs w:val="22"/>
              </w:rPr>
            </w:pPr>
            <w:r>
              <w:rPr>
                <w:color w:val="000000"/>
                <w:sz w:val="22"/>
                <w:szCs w:val="22"/>
              </w:rPr>
              <w:t>Law on Securities Market</w:t>
            </w:r>
          </w:p>
        </w:tc>
      </w:tr>
      <w:tr w:rsidR="007F11F4" w:rsidRPr="00B75C16" w:rsidTr="00556493">
        <w:trPr>
          <w:trHeight w:val="301"/>
        </w:trPr>
        <w:tc>
          <w:tcPr>
            <w:tcW w:w="1377" w:type="dxa"/>
            <w:tcBorders>
              <w:top w:val="nil"/>
              <w:left w:val="nil"/>
              <w:bottom w:val="nil"/>
              <w:right w:val="nil"/>
            </w:tcBorders>
            <w:shd w:val="clear" w:color="auto" w:fill="auto"/>
            <w:noWrap/>
            <w:hideMark/>
          </w:tcPr>
          <w:p w:rsidR="007F11F4" w:rsidRPr="00B75C16" w:rsidRDefault="007F11F4" w:rsidP="00556493">
            <w:pPr>
              <w:rPr>
                <w:color w:val="000000"/>
                <w:sz w:val="22"/>
                <w:szCs w:val="22"/>
              </w:rPr>
            </w:pPr>
            <w:r>
              <w:rPr>
                <w:color w:val="000000"/>
                <w:sz w:val="22"/>
                <w:szCs w:val="22"/>
              </w:rPr>
              <w:t>PCR</w:t>
            </w:r>
          </w:p>
        </w:tc>
        <w:tc>
          <w:tcPr>
            <w:tcW w:w="6482" w:type="dxa"/>
            <w:tcBorders>
              <w:top w:val="nil"/>
              <w:left w:val="nil"/>
              <w:bottom w:val="nil"/>
              <w:right w:val="nil"/>
            </w:tcBorders>
            <w:shd w:val="clear" w:color="auto" w:fill="auto"/>
            <w:noWrap/>
            <w:hideMark/>
          </w:tcPr>
          <w:p w:rsidR="007F11F4" w:rsidRPr="00B75C16" w:rsidRDefault="007F11F4" w:rsidP="00556493">
            <w:pPr>
              <w:rPr>
                <w:color w:val="000000"/>
                <w:sz w:val="22"/>
                <w:szCs w:val="22"/>
              </w:rPr>
            </w:pPr>
            <w:r>
              <w:rPr>
                <w:color w:val="000000"/>
                <w:sz w:val="22"/>
                <w:szCs w:val="22"/>
              </w:rPr>
              <w:t>Protection of Consumers' Rights</w:t>
            </w:r>
          </w:p>
        </w:tc>
      </w:tr>
      <w:tr w:rsidR="007F11F4" w:rsidRPr="00B75C16" w:rsidTr="00556493">
        <w:trPr>
          <w:trHeight w:val="301"/>
        </w:trPr>
        <w:tc>
          <w:tcPr>
            <w:tcW w:w="1377" w:type="dxa"/>
            <w:tcBorders>
              <w:top w:val="nil"/>
              <w:left w:val="nil"/>
              <w:bottom w:val="nil"/>
              <w:right w:val="nil"/>
            </w:tcBorders>
            <w:shd w:val="clear" w:color="auto" w:fill="auto"/>
            <w:noWrap/>
            <w:hideMark/>
          </w:tcPr>
          <w:p w:rsidR="007F11F4" w:rsidRDefault="007F11F4" w:rsidP="00556493">
            <w:pPr>
              <w:rPr>
                <w:color w:val="000000"/>
                <w:sz w:val="22"/>
                <w:szCs w:val="22"/>
              </w:rPr>
            </w:pPr>
            <w:r>
              <w:rPr>
                <w:color w:val="000000"/>
                <w:sz w:val="22"/>
                <w:szCs w:val="22"/>
              </w:rPr>
              <w:t>UBA</w:t>
            </w:r>
          </w:p>
          <w:p w:rsidR="007F11F4" w:rsidRPr="009A4A63" w:rsidRDefault="007F11F4" w:rsidP="00556493">
            <w:pPr>
              <w:rPr>
                <w:color w:val="000000"/>
                <w:sz w:val="22"/>
                <w:szCs w:val="22"/>
              </w:rPr>
            </w:pPr>
            <w:r>
              <w:rPr>
                <w:color w:val="000000"/>
                <w:sz w:val="22"/>
                <w:szCs w:val="22"/>
              </w:rPr>
              <w:t>UCO</w:t>
            </w:r>
          </w:p>
        </w:tc>
        <w:tc>
          <w:tcPr>
            <w:tcW w:w="6482" w:type="dxa"/>
            <w:tcBorders>
              <w:top w:val="nil"/>
              <w:left w:val="nil"/>
              <w:bottom w:val="nil"/>
              <w:right w:val="nil"/>
            </w:tcBorders>
            <w:shd w:val="clear" w:color="auto" w:fill="auto"/>
            <w:noWrap/>
            <w:hideMark/>
          </w:tcPr>
          <w:p w:rsidR="007F11F4" w:rsidRDefault="007F11F4" w:rsidP="00556493">
            <w:pPr>
              <w:rPr>
                <w:color w:val="000000"/>
                <w:sz w:val="22"/>
                <w:szCs w:val="22"/>
              </w:rPr>
            </w:pPr>
            <w:r w:rsidRPr="00DD48EF">
              <w:rPr>
                <w:color w:val="000000"/>
                <w:sz w:val="22"/>
                <w:szCs w:val="22"/>
              </w:rPr>
              <w:t>Union of Banks of Armenia</w:t>
            </w:r>
          </w:p>
          <w:p w:rsidR="007F11F4" w:rsidRPr="009A4A63" w:rsidRDefault="007F11F4" w:rsidP="00556493">
            <w:pPr>
              <w:rPr>
                <w:color w:val="000000"/>
                <w:sz w:val="22"/>
                <w:szCs w:val="22"/>
              </w:rPr>
            </w:pPr>
            <w:r w:rsidRPr="009A4A63">
              <w:rPr>
                <w:color w:val="000000"/>
                <w:sz w:val="22"/>
                <w:szCs w:val="22"/>
              </w:rPr>
              <w:t>Union of Credit Organizations</w:t>
            </w:r>
          </w:p>
        </w:tc>
      </w:tr>
      <w:tr w:rsidR="007F11F4" w:rsidRPr="00B75C16" w:rsidTr="00556493">
        <w:trPr>
          <w:trHeight w:val="301"/>
        </w:trPr>
        <w:tc>
          <w:tcPr>
            <w:tcW w:w="1377" w:type="dxa"/>
            <w:tcBorders>
              <w:top w:val="nil"/>
              <w:left w:val="nil"/>
              <w:bottom w:val="nil"/>
              <w:right w:val="nil"/>
            </w:tcBorders>
            <w:shd w:val="clear" w:color="auto" w:fill="auto"/>
            <w:noWrap/>
            <w:hideMark/>
          </w:tcPr>
          <w:p w:rsidR="007F11F4" w:rsidRPr="00B75C16" w:rsidRDefault="007F11F4" w:rsidP="00556493">
            <w:pPr>
              <w:rPr>
                <w:color w:val="000000"/>
                <w:sz w:val="22"/>
                <w:szCs w:val="22"/>
              </w:rPr>
            </w:pPr>
          </w:p>
        </w:tc>
        <w:tc>
          <w:tcPr>
            <w:tcW w:w="6482" w:type="dxa"/>
            <w:tcBorders>
              <w:top w:val="nil"/>
              <w:left w:val="nil"/>
              <w:bottom w:val="nil"/>
              <w:right w:val="nil"/>
            </w:tcBorders>
            <w:shd w:val="clear" w:color="auto" w:fill="auto"/>
            <w:noWrap/>
            <w:hideMark/>
          </w:tcPr>
          <w:p w:rsidR="007F11F4" w:rsidRPr="00B75C16" w:rsidRDefault="007F11F4" w:rsidP="00556493">
            <w:pPr>
              <w:rPr>
                <w:color w:val="000000"/>
                <w:sz w:val="22"/>
                <w:szCs w:val="22"/>
              </w:rPr>
            </w:pPr>
          </w:p>
        </w:tc>
      </w:tr>
      <w:tr w:rsidR="007F11F4" w:rsidRPr="00B75C16" w:rsidTr="00556493">
        <w:trPr>
          <w:trHeight w:val="301"/>
        </w:trPr>
        <w:tc>
          <w:tcPr>
            <w:tcW w:w="1377" w:type="dxa"/>
            <w:tcBorders>
              <w:top w:val="nil"/>
              <w:left w:val="nil"/>
              <w:bottom w:val="nil"/>
              <w:right w:val="nil"/>
            </w:tcBorders>
            <w:shd w:val="clear" w:color="auto" w:fill="auto"/>
            <w:noWrap/>
            <w:hideMark/>
          </w:tcPr>
          <w:p w:rsidR="007F11F4" w:rsidRPr="00B75C16" w:rsidRDefault="007F11F4" w:rsidP="00556493">
            <w:pPr>
              <w:rPr>
                <w:color w:val="000000"/>
                <w:sz w:val="22"/>
                <w:szCs w:val="22"/>
              </w:rPr>
            </w:pPr>
          </w:p>
        </w:tc>
        <w:tc>
          <w:tcPr>
            <w:tcW w:w="6482" w:type="dxa"/>
            <w:tcBorders>
              <w:top w:val="nil"/>
              <w:left w:val="nil"/>
              <w:bottom w:val="nil"/>
              <w:right w:val="nil"/>
            </w:tcBorders>
            <w:shd w:val="clear" w:color="auto" w:fill="auto"/>
            <w:noWrap/>
            <w:hideMark/>
          </w:tcPr>
          <w:p w:rsidR="007F11F4" w:rsidRPr="00B75C16" w:rsidRDefault="007F11F4" w:rsidP="00556493">
            <w:pPr>
              <w:rPr>
                <w:color w:val="000000"/>
                <w:sz w:val="22"/>
                <w:szCs w:val="22"/>
              </w:rPr>
            </w:pPr>
          </w:p>
        </w:tc>
      </w:tr>
      <w:tr w:rsidR="007F11F4" w:rsidRPr="00B75C16" w:rsidTr="00556493">
        <w:trPr>
          <w:trHeight w:val="301"/>
        </w:trPr>
        <w:tc>
          <w:tcPr>
            <w:tcW w:w="1377" w:type="dxa"/>
            <w:tcBorders>
              <w:top w:val="nil"/>
              <w:left w:val="nil"/>
              <w:bottom w:val="nil"/>
              <w:right w:val="nil"/>
            </w:tcBorders>
            <w:shd w:val="clear" w:color="auto" w:fill="auto"/>
            <w:noWrap/>
            <w:hideMark/>
          </w:tcPr>
          <w:p w:rsidR="007F11F4" w:rsidRPr="00B75C16" w:rsidRDefault="007F11F4" w:rsidP="00556493">
            <w:pPr>
              <w:rPr>
                <w:color w:val="000000"/>
                <w:sz w:val="22"/>
                <w:szCs w:val="22"/>
              </w:rPr>
            </w:pPr>
          </w:p>
        </w:tc>
        <w:tc>
          <w:tcPr>
            <w:tcW w:w="6482" w:type="dxa"/>
            <w:tcBorders>
              <w:top w:val="nil"/>
              <w:left w:val="nil"/>
              <w:bottom w:val="nil"/>
              <w:right w:val="nil"/>
            </w:tcBorders>
            <w:shd w:val="clear" w:color="auto" w:fill="auto"/>
            <w:noWrap/>
            <w:hideMark/>
          </w:tcPr>
          <w:p w:rsidR="007F11F4" w:rsidRPr="00B75C16" w:rsidRDefault="007F11F4" w:rsidP="00556493">
            <w:pPr>
              <w:rPr>
                <w:color w:val="000000"/>
                <w:sz w:val="22"/>
                <w:szCs w:val="22"/>
              </w:rPr>
            </w:pPr>
          </w:p>
        </w:tc>
      </w:tr>
      <w:tr w:rsidR="007F11F4" w:rsidRPr="00B75C16" w:rsidTr="00556493">
        <w:trPr>
          <w:trHeight w:val="301"/>
        </w:trPr>
        <w:tc>
          <w:tcPr>
            <w:tcW w:w="1377" w:type="dxa"/>
            <w:tcBorders>
              <w:top w:val="nil"/>
              <w:left w:val="nil"/>
              <w:bottom w:val="nil"/>
              <w:right w:val="nil"/>
            </w:tcBorders>
            <w:shd w:val="clear" w:color="auto" w:fill="auto"/>
            <w:noWrap/>
            <w:hideMark/>
          </w:tcPr>
          <w:p w:rsidR="007F11F4" w:rsidRPr="00B75C16" w:rsidRDefault="007F11F4" w:rsidP="00556493">
            <w:pPr>
              <w:rPr>
                <w:color w:val="000000"/>
                <w:sz w:val="22"/>
                <w:szCs w:val="22"/>
              </w:rPr>
            </w:pPr>
          </w:p>
        </w:tc>
        <w:tc>
          <w:tcPr>
            <w:tcW w:w="6482" w:type="dxa"/>
            <w:tcBorders>
              <w:top w:val="nil"/>
              <w:left w:val="nil"/>
              <w:bottom w:val="nil"/>
              <w:right w:val="nil"/>
            </w:tcBorders>
            <w:shd w:val="clear" w:color="auto" w:fill="auto"/>
            <w:noWrap/>
            <w:hideMark/>
          </w:tcPr>
          <w:p w:rsidR="007F11F4" w:rsidRPr="00B75C16" w:rsidRDefault="007F11F4" w:rsidP="00556493">
            <w:pPr>
              <w:rPr>
                <w:color w:val="000000"/>
                <w:sz w:val="22"/>
                <w:szCs w:val="22"/>
              </w:rPr>
            </w:pPr>
          </w:p>
        </w:tc>
      </w:tr>
      <w:tr w:rsidR="007F11F4" w:rsidRPr="00B75C16" w:rsidTr="00556493">
        <w:trPr>
          <w:trHeight w:val="301"/>
        </w:trPr>
        <w:tc>
          <w:tcPr>
            <w:tcW w:w="1377" w:type="dxa"/>
            <w:tcBorders>
              <w:top w:val="nil"/>
              <w:left w:val="nil"/>
              <w:bottom w:val="nil"/>
              <w:right w:val="nil"/>
            </w:tcBorders>
            <w:shd w:val="clear" w:color="auto" w:fill="auto"/>
            <w:noWrap/>
            <w:hideMark/>
          </w:tcPr>
          <w:p w:rsidR="007F11F4" w:rsidRPr="00B75C16" w:rsidRDefault="007F11F4" w:rsidP="00556493">
            <w:pPr>
              <w:rPr>
                <w:color w:val="000000"/>
                <w:sz w:val="22"/>
                <w:szCs w:val="22"/>
              </w:rPr>
            </w:pPr>
          </w:p>
        </w:tc>
        <w:tc>
          <w:tcPr>
            <w:tcW w:w="6482" w:type="dxa"/>
            <w:tcBorders>
              <w:top w:val="nil"/>
              <w:left w:val="nil"/>
              <w:bottom w:val="nil"/>
              <w:right w:val="nil"/>
            </w:tcBorders>
            <w:shd w:val="clear" w:color="auto" w:fill="auto"/>
            <w:noWrap/>
            <w:hideMark/>
          </w:tcPr>
          <w:p w:rsidR="007F11F4" w:rsidRPr="00C62E73" w:rsidRDefault="007F11F4" w:rsidP="00556493">
            <w:pPr>
              <w:rPr>
                <w:color w:val="000000"/>
                <w:sz w:val="22"/>
                <w:szCs w:val="22"/>
              </w:rPr>
            </w:pPr>
            <w:r w:rsidRPr="00C62E73">
              <w:rPr>
                <w:bCs/>
                <w:color w:val="000000"/>
                <w:sz w:val="22"/>
                <w:szCs w:val="22"/>
              </w:rPr>
              <w:t>n.a.</w:t>
            </w:r>
            <w:r w:rsidRPr="00C62E73">
              <w:rPr>
                <w:bCs/>
                <w:color w:val="000000"/>
                <w:sz w:val="22"/>
                <w:szCs w:val="22"/>
              </w:rPr>
              <w:tab/>
              <w:t>Not Available</w:t>
            </w:r>
          </w:p>
          <w:p w:rsidR="007F11F4" w:rsidRPr="00C62E73" w:rsidRDefault="007F11F4" w:rsidP="00556493">
            <w:pPr>
              <w:rPr>
                <w:color w:val="000000"/>
                <w:sz w:val="22"/>
                <w:szCs w:val="22"/>
              </w:rPr>
            </w:pPr>
            <w:r w:rsidRPr="00C62E73">
              <w:rPr>
                <w:color w:val="000000"/>
                <w:sz w:val="22"/>
                <w:szCs w:val="22"/>
              </w:rPr>
              <w:t xml:space="preserve">$1 =     </w:t>
            </w:r>
            <w:r>
              <w:rPr>
                <w:color w:val="000000"/>
                <w:sz w:val="22"/>
                <w:szCs w:val="22"/>
              </w:rPr>
              <w:t xml:space="preserve">389.79 </w:t>
            </w:r>
            <w:r w:rsidRPr="00C62E73">
              <w:rPr>
                <w:color w:val="000000"/>
                <w:sz w:val="22"/>
                <w:szCs w:val="22"/>
              </w:rPr>
              <w:t>AMD (</w:t>
            </w:r>
            <w:r>
              <w:rPr>
                <w:color w:val="000000"/>
                <w:sz w:val="22"/>
                <w:szCs w:val="22"/>
              </w:rPr>
              <w:t xml:space="preserve">8 </w:t>
            </w:r>
            <w:r w:rsidRPr="00C62E73">
              <w:rPr>
                <w:color w:val="000000"/>
                <w:sz w:val="22"/>
                <w:szCs w:val="22"/>
              </w:rPr>
              <w:t>March 2012)</w:t>
            </w:r>
          </w:p>
          <w:p w:rsidR="007F11F4" w:rsidRPr="00B75C16" w:rsidRDefault="007F11F4" w:rsidP="00556493">
            <w:pPr>
              <w:rPr>
                <w:color w:val="000000"/>
                <w:sz w:val="22"/>
                <w:szCs w:val="22"/>
              </w:rPr>
            </w:pPr>
          </w:p>
        </w:tc>
      </w:tr>
    </w:tbl>
    <w:p w:rsidR="007F11F4" w:rsidRDefault="007F11F4" w:rsidP="007F11F4">
      <w:pPr>
        <w:pStyle w:val="Heading1"/>
        <w:jc w:val="center"/>
        <w:rPr>
          <w:rFonts w:ascii="Times New Roman" w:hAnsi="Times New Roman" w:cs="Times New Roman"/>
          <w:sz w:val="28"/>
          <w:lang w:eastAsia="cs-CZ"/>
        </w:rPr>
      </w:pPr>
    </w:p>
    <w:p w:rsidR="007F11F4" w:rsidRDefault="007F11F4" w:rsidP="007F11F4">
      <w:pPr>
        <w:rPr>
          <w:kern w:val="32"/>
          <w:szCs w:val="32"/>
          <w:lang w:eastAsia="cs-CZ"/>
        </w:rPr>
      </w:pPr>
      <w:r>
        <w:rPr>
          <w:lang w:eastAsia="cs-CZ"/>
        </w:rPr>
        <w:br w:type="page"/>
      </w:r>
    </w:p>
    <w:p w:rsidR="00057AAD" w:rsidRPr="002E65C8" w:rsidRDefault="00057AAD" w:rsidP="007F11F4">
      <w:pPr>
        <w:pStyle w:val="Heading1"/>
        <w:jc w:val="center"/>
        <w:rPr>
          <w:rFonts w:ascii="Times New Roman" w:hAnsi="Times New Roman" w:cs="Times New Roman"/>
          <w:sz w:val="28"/>
        </w:rPr>
      </w:pPr>
      <w:bookmarkStart w:id="12" w:name="_Toc331409057"/>
      <w:r w:rsidRPr="002E65C8">
        <w:rPr>
          <w:rFonts w:ascii="Times New Roman" w:hAnsi="Times New Roman" w:cs="Times New Roman"/>
          <w:sz w:val="28"/>
          <w:lang w:eastAsia="cs-CZ"/>
        </w:rPr>
        <w:lastRenderedPageBreak/>
        <w:t>Acknowledgments</w:t>
      </w:r>
      <w:bookmarkEnd w:id="4"/>
      <w:bookmarkEnd w:id="12"/>
    </w:p>
    <w:p w:rsidR="00057AAD" w:rsidRPr="00E06713" w:rsidRDefault="00057AAD" w:rsidP="00FF7A74">
      <w:pPr>
        <w:jc w:val="both"/>
        <w:rPr>
          <w:color w:val="000000"/>
          <w:sz w:val="22"/>
          <w:szCs w:val="22"/>
        </w:rPr>
      </w:pPr>
    </w:p>
    <w:p w:rsidR="00E14CDE" w:rsidRDefault="00057AAD" w:rsidP="00E14CDE">
      <w:pPr>
        <w:jc w:val="both"/>
        <w:rPr>
          <w:sz w:val="22"/>
        </w:rPr>
      </w:pPr>
      <w:bookmarkStart w:id="13" w:name="_Toc155358536"/>
      <w:r w:rsidRPr="00E06713">
        <w:rPr>
          <w:color w:val="000000"/>
          <w:sz w:val="22"/>
          <w:szCs w:val="22"/>
        </w:rPr>
        <w:t xml:space="preserve">This Diagnostic Review was prepared by a team led by </w:t>
      </w:r>
      <w:r w:rsidR="00E14CDE" w:rsidRPr="006F6AC9">
        <w:rPr>
          <w:sz w:val="22"/>
        </w:rPr>
        <w:t>Susan Rutledge (Head of World Bank’s Global CPFL Program), and comprised Richard Symonds (capital markets), Tomas Prouza (banking), Deborah Senn (insurance), Juan Carlos Izaguirre (no</w:t>
      </w:r>
      <w:r w:rsidR="00E14CDE">
        <w:rPr>
          <w:sz w:val="22"/>
        </w:rPr>
        <w:t xml:space="preserve">n-bank credit institutions), </w:t>
      </w:r>
      <w:r w:rsidR="00E14CDE" w:rsidRPr="006F6AC9">
        <w:rPr>
          <w:sz w:val="22"/>
        </w:rPr>
        <w:t>Johanna Jaeger (financial education</w:t>
      </w:r>
      <w:r w:rsidR="00E14CDE">
        <w:rPr>
          <w:sz w:val="22"/>
        </w:rPr>
        <w:t>) and</w:t>
      </w:r>
      <w:r w:rsidR="00E14CDE" w:rsidRPr="006F6AC9">
        <w:rPr>
          <w:sz w:val="22"/>
        </w:rPr>
        <w:t xml:space="preserve"> Edgar Karapetyan</w:t>
      </w:r>
      <w:r w:rsidR="00E14CDE">
        <w:rPr>
          <w:sz w:val="22"/>
        </w:rPr>
        <w:t xml:space="preserve"> (project consultant). </w:t>
      </w:r>
      <w:r w:rsidR="00E14CDE" w:rsidRPr="006F6AC9">
        <w:rPr>
          <w:sz w:val="22"/>
        </w:rPr>
        <w:t xml:space="preserve">Nelli Khachatryan from the Yerevan Office also supported the mission. </w:t>
      </w:r>
      <w:r w:rsidR="00E14CDE">
        <w:rPr>
          <w:sz w:val="22"/>
        </w:rPr>
        <w:t>Jean-Michel Happi, Country Manager, provided overall guidance to the team.</w:t>
      </w:r>
      <w:r w:rsidR="00E04BAB">
        <w:rPr>
          <w:sz w:val="22"/>
        </w:rPr>
        <w:t xml:space="preserve"> Volume I of the Review was written by Tomas Prouza, Volume II was compiled from the submission of all team members. </w:t>
      </w:r>
    </w:p>
    <w:p w:rsidR="00057AAD" w:rsidRPr="00E06713" w:rsidRDefault="00057AAD" w:rsidP="00FB4297">
      <w:pPr>
        <w:autoSpaceDE w:val="0"/>
        <w:autoSpaceDN w:val="0"/>
        <w:adjustRightInd w:val="0"/>
        <w:jc w:val="both"/>
        <w:rPr>
          <w:color w:val="000000"/>
          <w:sz w:val="22"/>
          <w:szCs w:val="22"/>
        </w:rPr>
      </w:pPr>
    </w:p>
    <w:p w:rsidR="00057AAD" w:rsidRPr="00E06713" w:rsidRDefault="00057AAD" w:rsidP="00FB4297">
      <w:pPr>
        <w:autoSpaceDE w:val="0"/>
        <w:autoSpaceDN w:val="0"/>
        <w:adjustRightInd w:val="0"/>
        <w:jc w:val="both"/>
        <w:rPr>
          <w:color w:val="000000"/>
          <w:sz w:val="22"/>
          <w:szCs w:val="22"/>
        </w:rPr>
      </w:pPr>
      <w:r w:rsidRPr="00E06713">
        <w:rPr>
          <w:color w:val="000000"/>
          <w:sz w:val="22"/>
          <w:szCs w:val="22"/>
        </w:rPr>
        <w:t xml:space="preserve">Peer review comments were received from </w:t>
      </w:r>
      <w:r w:rsidR="005621D5" w:rsidRPr="005621D5">
        <w:rPr>
          <w:color w:val="000000"/>
          <w:sz w:val="22"/>
          <w:szCs w:val="22"/>
        </w:rPr>
        <w:t>Arabela Aprahamian (ECSPF), Rafe Mazer (CGAP) and Leyla Castillo (FFIMS)</w:t>
      </w:r>
      <w:r w:rsidR="005621D5">
        <w:rPr>
          <w:color w:val="000000"/>
          <w:sz w:val="22"/>
          <w:szCs w:val="22"/>
        </w:rPr>
        <w:t>.</w:t>
      </w:r>
    </w:p>
    <w:p w:rsidR="00057AAD" w:rsidRPr="00E06713" w:rsidRDefault="00057AAD" w:rsidP="00FB4297">
      <w:pPr>
        <w:autoSpaceDE w:val="0"/>
        <w:autoSpaceDN w:val="0"/>
        <w:adjustRightInd w:val="0"/>
        <w:jc w:val="both"/>
        <w:rPr>
          <w:color w:val="000000"/>
          <w:sz w:val="22"/>
          <w:szCs w:val="22"/>
        </w:rPr>
      </w:pPr>
      <w:r w:rsidRPr="00E06713">
        <w:rPr>
          <w:color w:val="000000"/>
          <w:sz w:val="22"/>
          <w:szCs w:val="22"/>
        </w:rPr>
        <w:t xml:space="preserve"> </w:t>
      </w:r>
      <w:bookmarkEnd w:id="13"/>
    </w:p>
    <w:p w:rsidR="00057AAD" w:rsidRPr="00E06713" w:rsidRDefault="00057AAD" w:rsidP="00FF7A74">
      <w:pPr>
        <w:autoSpaceDE w:val="0"/>
        <w:autoSpaceDN w:val="0"/>
        <w:adjustRightInd w:val="0"/>
        <w:jc w:val="both"/>
        <w:rPr>
          <w:color w:val="000000"/>
          <w:sz w:val="22"/>
          <w:szCs w:val="22"/>
        </w:rPr>
      </w:pPr>
      <w:bookmarkStart w:id="14" w:name="_Toc137290242"/>
      <w:bookmarkStart w:id="15" w:name="_Toc155358537"/>
      <w:r w:rsidRPr="00E06713">
        <w:rPr>
          <w:color w:val="000000"/>
          <w:sz w:val="22"/>
          <w:szCs w:val="22"/>
        </w:rPr>
        <w:t xml:space="preserve">The team expresses its appreciation to the </w:t>
      </w:r>
      <w:r w:rsidR="00E14CDE">
        <w:rPr>
          <w:color w:val="000000"/>
          <w:sz w:val="22"/>
          <w:szCs w:val="22"/>
        </w:rPr>
        <w:t>Armenian</w:t>
      </w:r>
      <w:r w:rsidRPr="00E06713">
        <w:rPr>
          <w:color w:val="000000"/>
          <w:sz w:val="22"/>
          <w:szCs w:val="22"/>
        </w:rPr>
        <w:t xml:space="preserve"> authorities for their cooperation and collaboration during the preparation of the Review</w:t>
      </w:r>
      <w:bookmarkEnd w:id="14"/>
      <w:bookmarkEnd w:id="15"/>
      <w:r w:rsidRPr="00E06713">
        <w:rPr>
          <w:color w:val="000000"/>
          <w:sz w:val="22"/>
          <w:szCs w:val="22"/>
        </w:rPr>
        <w:t>. The project team would like to thank all those who so generously contributed to the final report.</w:t>
      </w:r>
    </w:p>
    <w:p w:rsidR="00057AAD" w:rsidRPr="00E06713" w:rsidRDefault="00057AAD" w:rsidP="00FF7A74">
      <w:pPr>
        <w:autoSpaceDE w:val="0"/>
        <w:autoSpaceDN w:val="0"/>
        <w:adjustRightInd w:val="0"/>
        <w:jc w:val="both"/>
        <w:rPr>
          <w:color w:val="000000"/>
          <w:sz w:val="22"/>
          <w:szCs w:val="22"/>
        </w:rPr>
      </w:pPr>
    </w:p>
    <w:p w:rsidR="00057AAD" w:rsidRPr="00E06713" w:rsidRDefault="00057AAD" w:rsidP="00FF7A74">
      <w:pPr>
        <w:autoSpaceDE w:val="0"/>
        <w:autoSpaceDN w:val="0"/>
        <w:adjustRightInd w:val="0"/>
        <w:jc w:val="both"/>
        <w:rPr>
          <w:color w:val="000000"/>
          <w:sz w:val="22"/>
          <w:szCs w:val="22"/>
        </w:rPr>
      </w:pPr>
    </w:p>
    <w:p w:rsidR="00057AAD" w:rsidRPr="00E06713" w:rsidRDefault="00057AAD" w:rsidP="00437385">
      <w:pPr>
        <w:pStyle w:val="Heading1"/>
        <w:rPr>
          <w:rFonts w:ascii="Times New Roman" w:hAnsi="Times New Roman" w:cs="Times New Roman"/>
          <w:i/>
          <w:iCs/>
          <w:sz w:val="22"/>
          <w:szCs w:val="22"/>
          <w:lang w:eastAsia="cs-CZ"/>
        </w:rPr>
        <w:sectPr w:rsidR="00057AAD" w:rsidRPr="00E06713" w:rsidSect="00B671D4">
          <w:footerReference w:type="default" r:id="rId11"/>
          <w:footerReference w:type="first" r:id="rId12"/>
          <w:pgSz w:w="12240" w:h="15840" w:code="1"/>
          <w:pgMar w:top="1440" w:right="1800" w:bottom="1440" w:left="1800" w:header="720" w:footer="720" w:gutter="0"/>
          <w:pgNumType w:fmt="lowerRoman" w:start="1"/>
          <w:cols w:space="720"/>
          <w:titlePg/>
          <w:docGrid w:linePitch="360"/>
        </w:sectPr>
      </w:pPr>
    </w:p>
    <w:p w:rsidR="00057AAD" w:rsidRPr="002E65C8" w:rsidRDefault="00057AAD" w:rsidP="002E65C8">
      <w:pPr>
        <w:pStyle w:val="Heading1"/>
        <w:jc w:val="center"/>
        <w:rPr>
          <w:rFonts w:ascii="Times New Roman" w:hAnsi="Times New Roman" w:cs="Times New Roman"/>
          <w:sz w:val="28"/>
          <w:lang w:eastAsia="cs-CZ"/>
        </w:rPr>
      </w:pPr>
      <w:bookmarkStart w:id="16" w:name="_Toc263494674"/>
      <w:bookmarkStart w:id="17" w:name="_Toc331409058"/>
      <w:r w:rsidRPr="002E65C8">
        <w:rPr>
          <w:rFonts w:ascii="Times New Roman" w:hAnsi="Times New Roman" w:cs="Times New Roman"/>
          <w:sz w:val="28"/>
          <w:lang w:eastAsia="cs-CZ"/>
        </w:rPr>
        <w:lastRenderedPageBreak/>
        <w:t>Executive Summary</w:t>
      </w:r>
      <w:bookmarkEnd w:id="5"/>
      <w:bookmarkEnd w:id="6"/>
      <w:bookmarkEnd w:id="16"/>
      <w:bookmarkEnd w:id="17"/>
    </w:p>
    <w:p w:rsidR="00057AAD" w:rsidRPr="00E06713" w:rsidRDefault="00057AAD" w:rsidP="00FF7A74">
      <w:pPr>
        <w:jc w:val="both"/>
        <w:rPr>
          <w:sz w:val="22"/>
          <w:szCs w:val="22"/>
        </w:rPr>
      </w:pPr>
    </w:p>
    <w:p w:rsidR="00D71CE6" w:rsidRPr="00D56C4F" w:rsidRDefault="00D71CE6" w:rsidP="00254D6F">
      <w:pPr>
        <w:pStyle w:val="BodyText"/>
        <w:numPr>
          <w:ilvl w:val="0"/>
          <w:numId w:val="5"/>
        </w:numPr>
        <w:tabs>
          <w:tab w:val="left" w:pos="360"/>
          <w:tab w:val="left" w:pos="630"/>
        </w:tabs>
        <w:suppressAutoHyphens/>
        <w:spacing w:before="0" w:after="0" w:line="240" w:lineRule="auto"/>
        <w:ind w:left="0" w:firstLine="0"/>
        <w:rPr>
          <w:color w:val="000000"/>
          <w:sz w:val="22"/>
          <w:szCs w:val="22"/>
        </w:rPr>
      </w:pPr>
      <w:r>
        <w:rPr>
          <w:b/>
          <w:sz w:val="22"/>
          <w:szCs w:val="22"/>
        </w:rPr>
        <w:t>The key objectives of this Review are twofold:</w:t>
      </w:r>
      <w:r w:rsidRPr="00D71CE6">
        <w:rPr>
          <w:b/>
          <w:sz w:val="22"/>
          <w:szCs w:val="22"/>
        </w:rPr>
        <w:t xml:space="preserve"> (i) to assess the existing financial consumer protection framework, by reviewing laws, regulations and practices in </w:t>
      </w:r>
      <w:r w:rsidR="00E14CDE">
        <w:rPr>
          <w:b/>
          <w:sz w:val="22"/>
          <w:szCs w:val="22"/>
        </w:rPr>
        <w:t>Armenia</w:t>
      </w:r>
      <w:r w:rsidRPr="00D71CE6">
        <w:rPr>
          <w:b/>
          <w:sz w:val="22"/>
          <w:szCs w:val="22"/>
        </w:rPr>
        <w:t xml:space="preserve"> compared to international good practices; and (ii) to provide recommendations on ways to improve consumer protection </w:t>
      </w:r>
      <w:r w:rsidR="00747C84">
        <w:rPr>
          <w:b/>
          <w:sz w:val="22"/>
          <w:szCs w:val="22"/>
        </w:rPr>
        <w:t xml:space="preserve">and financial literacy </w:t>
      </w:r>
      <w:r w:rsidRPr="00D71CE6">
        <w:rPr>
          <w:b/>
          <w:sz w:val="22"/>
          <w:szCs w:val="22"/>
        </w:rPr>
        <w:t xml:space="preserve">in </w:t>
      </w:r>
      <w:r w:rsidR="00E14CDE">
        <w:rPr>
          <w:b/>
          <w:sz w:val="22"/>
          <w:szCs w:val="22"/>
        </w:rPr>
        <w:t>Armenia</w:t>
      </w:r>
      <w:r w:rsidRPr="00D71CE6">
        <w:rPr>
          <w:b/>
          <w:sz w:val="22"/>
          <w:szCs w:val="22"/>
        </w:rPr>
        <w:t xml:space="preserve">. </w:t>
      </w:r>
      <w:r w:rsidR="00747C84">
        <w:rPr>
          <w:sz w:val="22"/>
          <w:szCs w:val="22"/>
        </w:rPr>
        <w:t>T</w:t>
      </w:r>
      <w:r w:rsidR="00747C84" w:rsidRPr="00E06713">
        <w:rPr>
          <w:bCs/>
          <w:sz w:val="22"/>
          <w:szCs w:val="22"/>
        </w:rPr>
        <w:t>he Review is based on compliance with a set of Good Practices developed using international benchmarks</w:t>
      </w:r>
      <w:r w:rsidR="006703BF">
        <w:rPr>
          <w:bCs/>
          <w:sz w:val="22"/>
          <w:szCs w:val="22"/>
        </w:rPr>
        <w:t>,</w:t>
      </w:r>
      <w:r w:rsidR="00747C84" w:rsidRPr="00E06713">
        <w:rPr>
          <w:bCs/>
          <w:sz w:val="22"/>
          <w:szCs w:val="22"/>
        </w:rPr>
        <w:t xml:space="preserve"> </w:t>
      </w:r>
      <w:r w:rsidR="00747C84" w:rsidRPr="00E06713">
        <w:rPr>
          <w:color w:val="000000"/>
          <w:sz w:val="22"/>
          <w:szCs w:val="22"/>
        </w:rPr>
        <w:t>such as the principles released by the Basel Committee, IOSCO and IAIS, as well as the OECD recommendations for financial education and awareness on pensions, insurance, and credit products.</w:t>
      </w:r>
      <w:r w:rsidR="00747C84" w:rsidRPr="00E06713">
        <w:rPr>
          <w:rStyle w:val="FootnoteReference"/>
          <w:color w:val="000000"/>
          <w:sz w:val="22"/>
          <w:szCs w:val="22"/>
        </w:rPr>
        <w:footnoteReference w:id="1"/>
      </w:r>
    </w:p>
    <w:p w:rsidR="00D56C4F" w:rsidRPr="00D71CE6" w:rsidRDefault="00D56C4F" w:rsidP="00D56C4F">
      <w:pPr>
        <w:pStyle w:val="BodyText"/>
        <w:tabs>
          <w:tab w:val="left" w:pos="360"/>
          <w:tab w:val="left" w:pos="630"/>
        </w:tabs>
        <w:suppressAutoHyphens/>
        <w:spacing w:before="0" w:after="0" w:line="240" w:lineRule="auto"/>
        <w:rPr>
          <w:color w:val="000000"/>
          <w:sz w:val="22"/>
          <w:szCs w:val="22"/>
        </w:rPr>
      </w:pPr>
    </w:p>
    <w:p w:rsidR="00747C84" w:rsidRDefault="00747C84" w:rsidP="0073520A">
      <w:pPr>
        <w:pStyle w:val="BodyText"/>
        <w:numPr>
          <w:ilvl w:val="0"/>
          <w:numId w:val="5"/>
        </w:numPr>
        <w:tabs>
          <w:tab w:val="left" w:pos="360"/>
        </w:tabs>
        <w:suppressAutoHyphens/>
        <w:spacing w:before="0" w:after="0" w:line="240" w:lineRule="auto"/>
        <w:ind w:left="0" w:firstLine="0"/>
        <w:rPr>
          <w:color w:val="000000"/>
          <w:sz w:val="22"/>
          <w:szCs w:val="22"/>
        </w:rPr>
      </w:pPr>
      <w:r w:rsidRPr="00FF6631">
        <w:rPr>
          <w:b/>
          <w:sz w:val="22"/>
          <w:szCs w:val="22"/>
        </w:rPr>
        <w:t xml:space="preserve">The Review </w:t>
      </w:r>
      <w:r w:rsidR="00FF6631" w:rsidRPr="00FF6631">
        <w:rPr>
          <w:b/>
          <w:sz w:val="22"/>
          <w:szCs w:val="22"/>
        </w:rPr>
        <w:t xml:space="preserve">provides a detailed </w:t>
      </w:r>
      <w:r w:rsidRPr="00FF6631">
        <w:rPr>
          <w:b/>
          <w:color w:val="000000"/>
          <w:sz w:val="22"/>
          <w:szCs w:val="22"/>
        </w:rPr>
        <w:t>assess</w:t>
      </w:r>
      <w:r w:rsidR="00FF6631" w:rsidRPr="00FF6631">
        <w:rPr>
          <w:b/>
          <w:color w:val="000000"/>
          <w:sz w:val="22"/>
          <w:szCs w:val="22"/>
        </w:rPr>
        <w:t>ment of</w:t>
      </w:r>
      <w:r w:rsidRPr="00FF6631">
        <w:rPr>
          <w:b/>
          <w:color w:val="000000"/>
          <w:sz w:val="22"/>
          <w:szCs w:val="22"/>
        </w:rPr>
        <w:t xml:space="preserve"> the institutional, legal and regulatory framework </w:t>
      </w:r>
      <w:r w:rsidR="00FF6631" w:rsidRPr="00FF6631">
        <w:rPr>
          <w:b/>
          <w:color w:val="000000"/>
          <w:sz w:val="22"/>
          <w:szCs w:val="22"/>
        </w:rPr>
        <w:t xml:space="preserve">in </w:t>
      </w:r>
      <w:r w:rsidRPr="00FF6631">
        <w:rPr>
          <w:b/>
          <w:color w:val="000000"/>
          <w:sz w:val="22"/>
          <w:szCs w:val="22"/>
        </w:rPr>
        <w:t>four financial segments, namely</w:t>
      </w:r>
      <w:r w:rsidRPr="00FF6631">
        <w:rPr>
          <w:b/>
          <w:sz w:val="22"/>
          <w:szCs w:val="22"/>
        </w:rPr>
        <w:t xml:space="preserve"> </w:t>
      </w:r>
      <w:r w:rsidRPr="00FF6631">
        <w:rPr>
          <w:b/>
          <w:color w:val="000000"/>
          <w:sz w:val="22"/>
          <w:szCs w:val="22"/>
        </w:rPr>
        <w:t>banking, non-bank credit institutions, securities and insurance</w:t>
      </w:r>
      <w:r w:rsidR="00FF6631" w:rsidRPr="00FF6631">
        <w:rPr>
          <w:b/>
          <w:color w:val="000000"/>
          <w:sz w:val="22"/>
          <w:szCs w:val="22"/>
        </w:rPr>
        <w:t>.</w:t>
      </w:r>
      <w:r w:rsidRPr="00E06713">
        <w:rPr>
          <w:color w:val="000000"/>
          <w:sz w:val="22"/>
          <w:szCs w:val="22"/>
        </w:rPr>
        <w:t xml:space="preserve"> Volume I summarizes the key findings and recommendations of the Review and Volume II </w:t>
      </w:r>
      <w:r w:rsidR="00FF6631">
        <w:rPr>
          <w:color w:val="000000"/>
          <w:sz w:val="22"/>
          <w:szCs w:val="22"/>
        </w:rPr>
        <w:t>presents a detailed assessment of each financial segment compared to the Good Practices</w:t>
      </w:r>
      <w:r w:rsidRPr="00E06713">
        <w:rPr>
          <w:color w:val="000000"/>
          <w:sz w:val="22"/>
          <w:szCs w:val="22"/>
        </w:rPr>
        <w:t xml:space="preserve">. Volume II also includes </w:t>
      </w:r>
      <w:r w:rsidR="00E14CDE">
        <w:rPr>
          <w:color w:val="000000"/>
          <w:sz w:val="22"/>
          <w:szCs w:val="22"/>
        </w:rPr>
        <w:t xml:space="preserve">an </w:t>
      </w:r>
      <w:r w:rsidRPr="00E06713">
        <w:rPr>
          <w:color w:val="000000"/>
          <w:sz w:val="22"/>
          <w:szCs w:val="22"/>
        </w:rPr>
        <w:t>annex that anal</w:t>
      </w:r>
      <w:r>
        <w:rPr>
          <w:color w:val="000000"/>
          <w:sz w:val="22"/>
          <w:szCs w:val="22"/>
        </w:rPr>
        <w:t>yze</w:t>
      </w:r>
      <w:r w:rsidR="00E14CDE">
        <w:rPr>
          <w:color w:val="000000"/>
          <w:sz w:val="22"/>
          <w:szCs w:val="22"/>
        </w:rPr>
        <w:t>s</w:t>
      </w:r>
      <w:r>
        <w:rPr>
          <w:color w:val="000000"/>
          <w:sz w:val="22"/>
          <w:szCs w:val="22"/>
        </w:rPr>
        <w:t xml:space="preserve"> </w:t>
      </w:r>
      <w:r w:rsidR="00FF6631">
        <w:rPr>
          <w:color w:val="000000"/>
          <w:sz w:val="22"/>
          <w:szCs w:val="22"/>
        </w:rPr>
        <w:t>and provide</w:t>
      </w:r>
      <w:r w:rsidR="00E14CDE">
        <w:rPr>
          <w:color w:val="000000"/>
          <w:sz w:val="22"/>
          <w:szCs w:val="22"/>
        </w:rPr>
        <w:t>s</w:t>
      </w:r>
      <w:r w:rsidR="00FF6631">
        <w:rPr>
          <w:color w:val="000000"/>
          <w:sz w:val="22"/>
          <w:szCs w:val="22"/>
        </w:rPr>
        <w:t xml:space="preserve"> recommendations on </w:t>
      </w:r>
      <w:r w:rsidR="00E14CDE">
        <w:rPr>
          <w:color w:val="000000"/>
          <w:sz w:val="22"/>
          <w:szCs w:val="22"/>
        </w:rPr>
        <w:t>financial education</w:t>
      </w:r>
      <w:r w:rsidRPr="00E06713">
        <w:rPr>
          <w:color w:val="000000"/>
          <w:sz w:val="22"/>
          <w:szCs w:val="22"/>
        </w:rPr>
        <w:t xml:space="preserve">. </w:t>
      </w:r>
    </w:p>
    <w:p w:rsidR="00747C84" w:rsidRDefault="00747C84" w:rsidP="00FF6631">
      <w:pPr>
        <w:pStyle w:val="ListParagraph"/>
        <w:ind w:left="0"/>
        <w:rPr>
          <w:b/>
          <w:sz w:val="22"/>
          <w:szCs w:val="22"/>
        </w:rPr>
      </w:pPr>
    </w:p>
    <w:p w:rsidR="009D628F" w:rsidRDefault="009D628F" w:rsidP="00463C5C">
      <w:pPr>
        <w:pStyle w:val="BodyText"/>
        <w:numPr>
          <w:ilvl w:val="0"/>
          <w:numId w:val="5"/>
        </w:numPr>
        <w:tabs>
          <w:tab w:val="left" w:pos="360"/>
          <w:tab w:val="left" w:pos="630"/>
        </w:tabs>
        <w:suppressAutoHyphens/>
        <w:spacing w:before="0" w:after="0" w:line="240" w:lineRule="auto"/>
        <w:ind w:left="0" w:firstLine="0"/>
        <w:rPr>
          <w:color w:val="000000"/>
          <w:sz w:val="22"/>
          <w:szCs w:val="22"/>
        </w:rPr>
      </w:pPr>
      <w:r>
        <w:rPr>
          <w:b/>
          <w:color w:val="000000"/>
          <w:sz w:val="22"/>
          <w:szCs w:val="22"/>
        </w:rPr>
        <w:t>Many</w:t>
      </w:r>
      <w:r w:rsidR="006703BF" w:rsidRPr="00271367">
        <w:rPr>
          <w:b/>
          <w:color w:val="000000"/>
          <w:sz w:val="22"/>
          <w:szCs w:val="22"/>
        </w:rPr>
        <w:t xml:space="preserve"> </w:t>
      </w:r>
      <w:r w:rsidR="00C46379" w:rsidRPr="00271367">
        <w:rPr>
          <w:b/>
          <w:color w:val="000000"/>
          <w:sz w:val="22"/>
          <w:szCs w:val="22"/>
        </w:rPr>
        <w:t>key</w:t>
      </w:r>
      <w:r w:rsidR="006703BF" w:rsidRPr="00271367">
        <w:rPr>
          <w:b/>
          <w:color w:val="000000"/>
          <w:sz w:val="22"/>
          <w:szCs w:val="22"/>
        </w:rPr>
        <w:t xml:space="preserve"> steps have </w:t>
      </w:r>
      <w:r>
        <w:rPr>
          <w:b/>
          <w:color w:val="000000"/>
          <w:sz w:val="22"/>
          <w:szCs w:val="22"/>
        </w:rPr>
        <w:t xml:space="preserve">already </w:t>
      </w:r>
      <w:r w:rsidR="006703BF" w:rsidRPr="00271367">
        <w:rPr>
          <w:b/>
          <w:color w:val="000000"/>
          <w:sz w:val="22"/>
          <w:szCs w:val="22"/>
        </w:rPr>
        <w:t xml:space="preserve">been taken </w:t>
      </w:r>
      <w:r w:rsidR="00C46379" w:rsidRPr="00271367">
        <w:rPr>
          <w:b/>
          <w:color w:val="000000"/>
          <w:sz w:val="22"/>
          <w:szCs w:val="22"/>
        </w:rPr>
        <w:t>in</w:t>
      </w:r>
      <w:r w:rsidR="006703BF" w:rsidRPr="00271367">
        <w:rPr>
          <w:b/>
          <w:color w:val="000000"/>
          <w:sz w:val="22"/>
          <w:szCs w:val="22"/>
        </w:rPr>
        <w:t xml:space="preserve"> financial consumer protection, </w:t>
      </w:r>
      <w:r w:rsidR="00C46379" w:rsidRPr="00271367">
        <w:rPr>
          <w:b/>
          <w:color w:val="000000"/>
          <w:sz w:val="22"/>
          <w:szCs w:val="22"/>
        </w:rPr>
        <w:t xml:space="preserve">especially at the </w:t>
      </w:r>
      <w:r>
        <w:rPr>
          <w:b/>
          <w:color w:val="000000"/>
          <w:sz w:val="22"/>
          <w:szCs w:val="22"/>
        </w:rPr>
        <w:t xml:space="preserve">regulatory and </w:t>
      </w:r>
      <w:r w:rsidR="00C46379" w:rsidRPr="00271367">
        <w:rPr>
          <w:b/>
          <w:color w:val="000000"/>
          <w:sz w:val="22"/>
          <w:szCs w:val="22"/>
        </w:rPr>
        <w:t>institutional level</w:t>
      </w:r>
      <w:r>
        <w:rPr>
          <w:b/>
          <w:color w:val="000000"/>
          <w:sz w:val="22"/>
          <w:szCs w:val="22"/>
        </w:rPr>
        <w:t>s</w:t>
      </w:r>
      <w:r w:rsidR="006703BF" w:rsidRPr="00271367">
        <w:rPr>
          <w:b/>
          <w:color w:val="000000"/>
          <w:sz w:val="22"/>
          <w:szCs w:val="22"/>
        </w:rPr>
        <w:t xml:space="preserve">. </w:t>
      </w:r>
      <w:r w:rsidRPr="009D628F">
        <w:rPr>
          <w:color w:val="000000"/>
          <w:sz w:val="22"/>
          <w:szCs w:val="22"/>
        </w:rPr>
        <w:t xml:space="preserve">The Central Bank of the Republic of Armenia (CBA) is the institution tasked with complete regulation and supervision of the Armenian financial market, including pawn shops and foreign exchange bureaus. The CBA is also responsible for developing, implementing and enforcing financial consumer protection policy in Armenia. </w:t>
      </w:r>
      <w:r>
        <w:rPr>
          <w:color w:val="000000"/>
          <w:sz w:val="22"/>
          <w:szCs w:val="22"/>
        </w:rPr>
        <w:t xml:space="preserve">The consumer protection agenda is handled by the </w:t>
      </w:r>
      <w:r w:rsidRPr="009D628F">
        <w:rPr>
          <w:color w:val="000000"/>
          <w:sz w:val="22"/>
          <w:szCs w:val="22"/>
        </w:rPr>
        <w:t>Consumer Protection and Market Conduct (CPMC) Division</w:t>
      </w:r>
      <w:r>
        <w:rPr>
          <w:color w:val="000000"/>
          <w:sz w:val="22"/>
          <w:szCs w:val="22"/>
        </w:rPr>
        <w:t xml:space="preserve">, part of the </w:t>
      </w:r>
      <w:r w:rsidRPr="009D628F">
        <w:rPr>
          <w:color w:val="000000"/>
          <w:sz w:val="22"/>
          <w:szCs w:val="22"/>
        </w:rPr>
        <w:t>Financial System Stability and Development department of the CBA</w:t>
      </w:r>
      <w:r>
        <w:rPr>
          <w:color w:val="000000"/>
          <w:sz w:val="22"/>
          <w:szCs w:val="22"/>
        </w:rPr>
        <w:t xml:space="preserve">. Mandate of the CPMC Division is based on the CBA objective to </w:t>
      </w:r>
      <w:r w:rsidRPr="009D628F">
        <w:rPr>
          <w:color w:val="000000"/>
          <w:sz w:val="22"/>
          <w:szCs w:val="22"/>
        </w:rPr>
        <w:t>"ensure essential conditions for protection of rights and lawful interests of the financial system consumers"</w:t>
      </w:r>
      <w:r>
        <w:rPr>
          <w:color w:val="000000"/>
          <w:sz w:val="22"/>
          <w:szCs w:val="22"/>
        </w:rPr>
        <w:t xml:space="preserve"> which is in line with the requirement to have a </w:t>
      </w:r>
      <w:r w:rsidRPr="009D628F">
        <w:rPr>
          <w:color w:val="000000"/>
          <w:sz w:val="22"/>
          <w:szCs w:val="22"/>
        </w:rPr>
        <w:t>strong financial consumer protection framework</w:t>
      </w:r>
      <w:r>
        <w:rPr>
          <w:color w:val="000000"/>
          <w:sz w:val="22"/>
          <w:szCs w:val="22"/>
        </w:rPr>
        <w:t xml:space="preserve"> – but adequate resources need to be made available for the task</w:t>
      </w:r>
      <w:r w:rsidRPr="009D628F">
        <w:rPr>
          <w:color w:val="000000"/>
          <w:sz w:val="22"/>
          <w:szCs w:val="22"/>
        </w:rPr>
        <w:t>.</w:t>
      </w:r>
      <w:r>
        <w:rPr>
          <w:rStyle w:val="FootnoteReference"/>
          <w:color w:val="000000"/>
          <w:sz w:val="22"/>
          <w:szCs w:val="22"/>
        </w:rPr>
        <w:footnoteReference w:id="2"/>
      </w:r>
      <w:r>
        <w:rPr>
          <w:color w:val="000000"/>
          <w:sz w:val="22"/>
          <w:szCs w:val="22"/>
        </w:rPr>
        <w:t xml:space="preserve"> </w:t>
      </w:r>
    </w:p>
    <w:p w:rsidR="009D628F" w:rsidRDefault="009D628F" w:rsidP="009D628F">
      <w:pPr>
        <w:pStyle w:val="ListParagraph"/>
        <w:rPr>
          <w:color w:val="000000"/>
          <w:sz w:val="22"/>
          <w:szCs w:val="22"/>
        </w:rPr>
      </w:pPr>
    </w:p>
    <w:p w:rsidR="00747351" w:rsidRDefault="00747351" w:rsidP="00747351">
      <w:pPr>
        <w:pStyle w:val="BodyText"/>
        <w:numPr>
          <w:ilvl w:val="0"/>
          <w:numId w:val="5"/>
        </w:numPr>
        <w:tabs>
          <w:tab w:val="left" w:pos="360"/>
          <w:tab w:val="left" w:pos="630"/>
        </w:tabs>
        <w:suppressAutoHyphens/>
        <w:spacing w:before="0" w:after="0" w:line="240" w:lineRule="auto"/>
        <w:ind w:left="0" w:firstLine="0"/>
        <w:rPr>
          <w:bCs/>
          <w:sz w:val="22"/>
          <w:szCs w:val="22"/>
        </w:rPr>
      </w:pPr>
      <w:r w:rsidRPr="00E06713">
        <w:rPr>
          <w:b/>
          <w:bCs/>
          <w:sz w:val="22"/>
          <w:szCs w:val="22"/>
        </w:rPr>
        <w:t xml:space="preserve">To improve consumer confidence in financial institutions in </w:t>
      </w:r>
      <w:r w:rsidR="0065722A">
        <w:rPr>
          <w:b/>
          <w:bCs/>
          <w:sz w:val="22"/>
          <w:szCs w:val="22"/>
        </w:rPr>
        <w:t>Armenia</w:t>
      </w:r>
      <w:r w:rsidRPr="00E06713">
        <w:rPr>
          <w:b/>
          <w:bCs/>
          <w:sz w:val="22"/>
          <w:szCs w:val="22"/>
        </w:rPr>
        <w:t xml:space="preserve">, the Review proposes five key </w:t>
      </w:r>
      <w:r>
        <w:rPr>
          <w:b/>
          <w:bCs/>
          <w:sz w:val="22"/>
          <w:szCs w:val="22"/>
        </w:rPr>
        <w:t>measures to</w:t>
      </w:r>
      <w:r w:rsidRPr="00E06713">
        <w:rPr>
          <w:b/>
          <w:bCs/>
          <w:sz w:val="22"/>
          <w:szCs w:val="22"/>
        </w:rPr>
        <w:t xml:space="preserve"> streng</w:t>
      </w:r>
      <w:r>
        <w:rPr>
          <w:b/>
          <w:bCs/>
          <w:sz w:val="22"/>
          <w:szCs w:val="22"/>
        </w:rPr>
        <w:t>then</w:t>
      </w:r>
      <w:r w:rsidRPr="00E06713">
        <w:rPr>
          <w:b/>
          <w:bCs/>
          <w:sz w:val="22"/>
          <w:szCs w:val="22"/>
        </w:rPr>
        <w:t xml:space="preserve"> </w:t>
      </w:r>
      <w:r w:rsidR="00C87488">
        <w:rPr>
          <w:b/>
          <w:bCs/>
          <w:sz w:val="22"/>
          <w:szCs w:val="22"/>
        </w:rPr>
        <w:t xml:space="preserve">the position of </w:t>
      </w:r>
      <w:r w:rsidRPr="00E06713">
        <w:rPr>
          <w:b/>
          <w:bCs/>
          <w:sz w:val="22"/>
          <w:szCs w:val="22"/>
        </w:rPr>
        <w:t>consumer</w:t>
      </w:r>
      <w:r w:rsidR="00C87488">
        <w:rPr>
          <w:b/>
          <w:bCs/>
          <w:sz w:val="22"/>
          <w:szCs w:val="22"/>
        </w:rPr>
        <w:t>s</w:t>
      </w:r>
      <w:r w:rsidRPr="00E06713">
        <w:rPr>
          <w:bCs/>
          <w:sz w:val="22"/>
          <w:szCs w:val="22"/>
        </w:rPr>
        <w:t xml:space="preserve">. These are: </w:t>
      </w:r>
      <w:r w:rsidR="003D0D1F">
        <w:rPr>
          <w:bCs/>
          <w:sz w:val="22"/>
          <w:szCs w:val="22"/>
        </w:rPr>
        <w:t>(i</w:t>
      </w:r>
      <w:r w:rsidR="003D0D1F" w:rsidRPr="00E06713">
        <w:rPr>
          <w:bCs/>
          <w:sz w:val="22"/>
          <w:szCs w:val="22"/>
        </w:rPr>
        <w:t xml:space="preserve">) </w:t>
      </w:r>
      <w:r w:rsidR="003D0D1F">
        <w:rPr>
          <w:bCs/>
          <w:sz w:val="22"/>
          <w:szCs w:val="22"/>
        </w:rPr>
        <w:t xml:space="preserve">strengthen the </w:t>
      </w:r>
      <w:r w:rsidR="003D0D1F" w:rsidRPr="00E06713">
        <w:rPr>
          <w:bCs/>
          <w:sz w:val="22"/>
          <w:szCs w:val="22"/>
        </w:rPr>
        <w:t xml:space="preserve">institutional framework for consumer protection and financial literacy; </w:t>
      </w:r>
      <w:r w:rsidRPr="00E06713">
        <w:rPr>
          <w:bCs/>
          <w:sz w:val="22"/>
          <w:szCs w:val="22"/>
        </w:rPr>
        <w:t>(i</w:t>
      </w:r>
      <w:r w:rsidR="003D0D1F">
        <w:rPr>
          <w:bCs/>
          <w:sz w:val="22"/>
          <w:szCs w:val="22"/>
        </w:rPr>
        <w:t>i</w:t>
      </w:r>
      <w:r w:rsidRPr="00E06713">
        <w:rPr>
          <w:bCs/>
          <w:sz w:val="22"/>
          <w:szCs w:val="22"/>
        </w:rPr>
        <w:t xml:space="preserve">) </w:t>
      </w:r>
      <w:r>
        <w:rPr>
          <w:bCs/>
          <w:sz w:val="22"/>
          <w:szCs w:val="22"/>
        </w:rPr>
        <w:t xml:space="preserve">improve </w:t>
      </w:r>
      <w:r w:rsidRPr="00E06713">
        <w:rPr>
          <w:bCs/>
          <w:sz w:val="22"/>
          <w:szCs w:val="22"/>
        </w:rPr>
        <w:t xml:space="preserve">disclosure of information for financial consumers; (iii) </w:t>
      </w:r>
      <w:r>
        <w:rPr>
          <w:bCs/>
          <w:sz w:val="22"/>
          <w:szCs w:val="22"/>
        </w:rPr>
        <w:t xml:space="preserve">develop </w:t>
      </w:r>
      <w:r w:rsidRPr="00E06713">
        <w:rPr>
          <w:bCs/>
          <w:sz w:val="22"/>
          <w:szCs w:val="22"/>
        </w:rPr>
        <w:t xml:space="preserve">regulation of business practices of financial institutions; (iv) </w:t>
      </w:r>
      <w:r w:rsidR="0065722A">
        <w:rPr>
          <w:bCs/>
          <w:sz w:val="22"/>
          <w:szCs w:val="22"/>
        </w:rPr>
        <w:t>upgrade</w:t>
      </w:r>
      <w:r>
        <w:rPr>
          <w:bCs/>
          <w:sz w:val="22"/>
          <w:szCs w:val="22"/>
        </w:rPr>
        <w:t xml:space="preserve"> </w:t>
      </w:r>
      <w:r w:rsidRPr="00E06713">
        <w:rPr>
          <w:bCs/>
          <w:sz w:val="22"/>
          <w:szCs w:val="22"/>
        </w:rPr>
        <w:t xml:space="preserve">dispute resolution mechanisms for consumers; and (v) </w:t>
      </w:r>
      <w:r w:rsidR="00113B9D">
        <w:rPr>
          <w:bCs/>
          <w:sz w:val="22"/>
          <w:szCs w:val="22"/>
        </w:rPr>
        <w:t xml:space="preserve">develop a multi-stakeholder </w:t>
      </w:r>
      <w:r w:rsidRPr="00E06713">
        <w:rPr>
          <w:bCs/>
          <w:sz w:val="22"/>
          <w:szCs w:val="22"/>
        </w:rPr>
        <w:t xml:space="preserve">financial education program for </w:t>
      </w:r>
      <w:r w:rsidR="00113B9D">
        <w:rPr>
          <w:bCs/>
          <w:sz w:val="22"/>
          <w:szCs w:val="22"/>
        </w:rPr>
        <w:t>consumers</w:t>
      </w:r>
      <w:r w:rsidR="003D0D1F">
        <w:rPr>
          <w:bCs/>
          <w:sz w:val="22"/>
          <w:szCs w:val="22"/>
        </w:rPr>
        <w:t>.</w:t>
      </w:r>
    </w:p>
    <w:p w:rsidR="00463C5C" w:rsidRDefault="00463C5C" w:rsidP="00463C5C">
      <w:pPr>
        <w:pStyle w:val="ListParagraph"/>
        <w:rPr>
          <w:color w:val="000000"/>
          <w:sz w:val="22"/>
          <w:szCs w:val="22"/>
        </w:rPr>
      </w:pPr>
    </w:p>
    <w:p w:rsidR="003D0D1F" w:rsidRPr="00E06713" w:rsidRDefault="003D0D1F" w:rsidP="003D0D1F">
      <w:pPr>
        <w:pStyle w:val="BodyText"/>
        <w:numPr>
          <w:ilvl w:val="0"/>
          <w:numId w:val="5"/>
        </w:numPr>
        <w:tabs>
          <w:tab w:val="left" w:pos="360"/>
          <w:tab w:val="left" w:pos="630"/>
        </w:tabs>
        <w:suppressAutoHyphens/>
        <w:spacing w:before="0" w:after="0" w:line="240" w:lineRule="auto"/>
        <w:ind w:left="0" w:firstLine="0"/>
        <w:rPr>
          <w:bCs/>
          <w:sz w:val="22"/>
          <w:szCs w:val="22"/>
        </w:rPr>
      </w:pPr>
      <w:r>
        <w:rPr>
          <w:b/>
          <w:bCs/>
          <w:sz w:val="22"/>
          <w:szCs w:val="22"/>
        </w:rPr>
        <w:t>R</w:t>
      </w:r>
      <w:r w:rsidRPr="00E06713">
        <w:rPr>
          <w:b/>
          <w:bCs/>
          <w:sz w:val="22"/>
          <w:szCs w:val="22"/>
        </w:rPr>
        <w:t xml:space="preserve">egarding the </w:t>
      </w:r>
      <w:r w:rsidRPr="00984E90">
        <w:rPr>
          <w:b/>
          <w:bCs/>
          <w:sz w:val="22"/>
          <w:szCs w:val="22"/>
          <w:u w:val="single"/>
        </w:rPr>
        <w:t>institutional framework</w:t>
      </w:r>
      <w:r w:rsidRPr="00E06713">
        <w:rPr>
          <w:b/>
          <w:bCs/>
          <w:sz w:val="22"/>
          <w:szCs w:val="22"/>
        </w:rPr>
        <w:t xml:space="preserve">, </w:t>
      </w:r>
      <w:r w:rsidR="00A2548A">
        <w:rPr>
          <w:b/>
          <w:bCs/>
          <w:sz w:val="22"/>
          <w:szCs w:val="22"/>
        </w:rPr>
        <w:t>adequate resources need to be allocated to the consumer protection team and modern supervisory tools should be made available</w:t>
      </w:r>
      <w:r w:rsidRPr="00E06713">
        <w:rPr>
          <w:b/>
          <w:bCs/>
          <w:sz w:val="22"/>
          <w:szCs w:val="22"/>
        </w:rPr>
        <w:t xml:space="preserve">. </w:t>
      </w:r>
      <w:r w:rsidR="00A2548A" w:rsidRPr="00A2548A">
        <w:rPr>
          <w:bCs/>
          <w:sz w:val="22"/>
          <w:szCs w:val="22"/>
        </w:rPr>
        <w:t>The</w:t>
      </w:r>
      <w:r w:rsidR="00A2548A">
        <w:rPr>
          <w:b/>
          <w:bCs/>
          <w:sz w:val="22"/>
          <w:szCs w:val="22"/>
        </w:rPr>
        <w:t xml:space="preserve"> </w:t>
      </w:r>
      <w:r w:rsidR="00A2548A">
        <w:rPr>
          <w:color w:val="000000"/>
          <w:sz w:val="22"/>
          <w:szCs w:val="22"/>
        </w:rPr>
        <w:lastRenderedPageBreak/>
        <w:t xml:space="preserve">CPMC Division is staffed with only four people but with the new tasks it should take on an institutional needs assessment should be conducted to define proper staffing levels and position within the CBA's organizational structure. The team should also be able to use supervisory tools such as mystery shopping. </w:t>
      </w:r>
    </w:p>
    <w:p w:rsidR="003D0D1F" w:rsidRPr="00E06713" w:rsidRDefault="003D0D1F" w:rsidP="003D0D1F">
      <w:pPr>
        <w:pStyle w:val="BodyText"/>
        <w:tabs>
          <w:tab w:val="left" w:pos="360"/>
          <w:tab w:val="left" w:pos="630"/>
        </w:tabs>
        <w:suppressAutoHyphens/>
        <w:spacing w:before="0" w:after="0" w:line="240" w:lineRule="auto"/>
        <w:rPr>
          <w:bCs/>
          <w:sz w:val="22"/>
          <w:szCs w:val="22"/>
        </w:rPr>
      </w:pPr>
    </w:p>
    <w:p w:rsidR="0073520A" w:rsidRPr="00693793" w:rsidRDefault="00A2548A" w:rsidP="003D0D1F">
      <w:pPr>
        <w:pStyle w:val="BodyText"/>
        <w:numPr>
          <w:ilvl w:val="0"/>
          <w:numId w:val="5"/>
        </w:numPr>
        <w:tabs>
          <w:tab w:val="left" w:pos="360"/>
        </w:tabs>
        <w:suppressAutoHyphens/>
        <w:spacing w:before="0" w:after="0" w:line="240" w:lineRule="auto"/>
        <w:ind w:left="0" w:firstLine="0"/>
        <w:rPr>
          <w:color w:val="000000"/>
          <w:sz w:val="22"/>
          <w:szCs w:val="22"/>
        </w:rPr>
      </w:pPr>
      <w:r>
        <w:rPr>
          <w:b/>
          <w:bCs/>
          <w:sz w:val="22"/>
          <w:szCs w:val="22"/>
        </w:rPr>
        <w:t>Consumer organizations should be strengthened and motivated to assist the CBA in market monitoring</w:t>
      </w:r>
      <w:r w:rsidR="003D0D1F" w:rsidRPr="00E06713">
        <w:rPr>
          <w:b/>
          <w:bCs/>
          <w:sz w:val="22"/>
          <w:szCs w:val="22"/>
        </w:rPr>
        <w:t>.</w:t>
      </w:r>
      <w:r w:rsidR="003D0D1F" w:rsidRPr="00E06713">
        <w:rPr>
          <w:bCs/>
          <w:sz w:val="22"/>
          <w:szCs w:val="22"/>
        </w:rPr>
        <w:t xml:space="preserve"> </w:t>
      </w:r>
      <w:r>
        <w:rPr>
          <w:bCs/>
          <w:sz w:val="22"/>
          <w:szCs w:val="22"/>
        </w:rPr>
        <w:t xml:space="preserve">There are currently no consumer organizations that would focus </w:t>
      </w:r>
      <w:r w:rsidR="00102F66">
        <w:rPr>
          <w:bCs/>
          <w:sz w:val="22"/>
          <w:szCs w:val="22"/>
        </w:rPr>
        <w:t xml:space="preserve">primarily </w:t>
      </w:r>
      <w:r>
        <w:rPr>
          <w:bCs/>
          <w:sz w:val="22"/>
          <w:szCs w:val="22"/>
        </w:rPr>
        <w:t xml:space="preserve">on financial services. The </w:t>
      </w:r>
      <w:r w:rsidR="00102F66">
        <w:rPr>
          <w:bCs/>
          <w:sz w:val="22"/>
          <w:szCs w:val="22"/>
        </w:rPr>
        <w:t xml:space="preserve">World Bank and other international organizations could provide further recommendations on how the NGO sector could be strengthened up and the </w:t>
      </w:r>
      <w:r>
        <w:rPr>
          <w:bCs/>
          <w:sz w:val="22"/>
          <w:szCs w:val="22"/>
        </w:rPr>
        <w:t xml:space="preserve">CBA </w:t>
      </w:r>
      <w:r w:rsidR="00102F66">
        <w:rPr>
          <w:bCs/>
          <w:sz w:val="22"/>
          <w:szCs w:val="22"/>
        </w:rPr>
        <w:t xml:space="preserve">could </w:t>
      </w:r>
      <w:r>
        <w:rPr>
          <w:bCs/>
          <w:sz w:val="22"/>
          <w:szCs w:val="22"/>
        </w:rPr>
        <w:t xml:space="preserve">provide training and resources to interested consumer NGOs and </w:t>
      </w:r>
      <w:r w:rsidR="00310F23">
        <w:rPr>
          <w:bCs/>
          <w:sz w:val="22"/>
          <w:szCs w:val="22"/>
        </w:rPr>
        <w:t>support their work</w:t>
      </w:r>
      <w:r>
        <w:rPr>
          <w:bCs/>
          <w:sz w:val="22"/>
          <w:szCs w:val="22"/>
        </w:rPr>
        <w:t xml:space="preserve"> that would complement its own activities (e.g. monitoring of advertising, </w:t>
      </w:r>
      <w:r w:rsidR="00693793">
        <w:rPr>
          <w:bCs/>
          <w:sz w:val="22"/>
          <w:szCs w:val="22"/>
        </w:rPr>
        <w:t xml:space="preserve">collecting information on business practices, etc.). </w:t>
      </w:r>
    </w:p>
    <w:p w:rsidR="00693793" w:rsidRDefault="00693793" w:rsidP="00693793">
      <w:pPr>
        <w:pStyle w:val="ListParagraph"/>
        <w:rPr>
          <w:color w:val="000000"/>
          <w:sz w:val="22"/>
          <w:szCs w:val="22"/>
        </w:rPr>
      </w:pPr>
    </w:p>
    <w:p w:rsidR="00693793" w:rsidRDefault="00693793" w:rsidP="003D0D1F">
      <w:pPr>
        <w:pStyle w:val="BodyText"/>
        <w:numPr>
          <w:ilvl w:val="0"/>
          <w:numId w:val="5"/>
        </w:numPr>
        <w:tabs>
          <w:tab w:val="left" w:pos="360"/>
        </w:tabs>
        <w:suppressAutoHyphens/>
        <w:spacing w:before="0" w:after="0" w:line="240" w:lineRule="auto"/>
        <w:ind w:left="0" w:firstLine="0"/>
        <w:rPr>
          <w:color w:val="000000"/>
          <w:sz w:val="22"/>
          <w:szCs w:val="22"/>
        </w:rPr>
      </w:pPr>
      <w:r w:rsidRPr="00693793">
        <w:rPr>
          <w:b/>
          <w:color w:val="000000"/>
          <w:sz w:val="22"/>
          <w:szCs w:val="22"/>
        </w:rPr>
        <w:t>Self-regulation through codes of conduct should be supported.</w:t>
      </w:r>
      <w:r>
        <w:rPr>
          <w:color w:val="000000"/>
          <w:sz w:val="22"/>
          <w:szCs w:val="22"/>
        </w:rPr>
        <w:t xml:space="preserve"> The CBA should encourage financial sector associations to upgrade or develop codes of conduct that would build on existing consumer protection regulations and further strengthen the position of the consumers. </w:t>
      </w:r>
    </w:p>
    <w:p w:rsidR="0066398E" w:rsidRDefault="0066398E" w:rsidP="0066398E">
      <w:pPr>
        <w:pStyle w:val="ListParagraph"/>
        <w:rPr>
          <w:color w:val="000000"/>
          <w:sz w:val="22"/>
          <w:szCs w:val="22"/>
        </w:rPr>
      </w:pPr>
    </w:p>
    <w:p w:rsidR="008F4CCB" w:rsidRDefault="003D0D1F" w:rsidP="008F4CCB">
      <w:pPr>
        <w:pStyle w:val="BodyText"/>
        <w:numPr>
          <w:ilvl w:val="0"/>
          <w:numId w:val="5"/>
        </w:numPr>
        <w:tabs>
          <w:tab w:val="left" w:pos="360"/>
        </w:tabs>
        <w:suppressAutoHyphens/>
        <w:spacing w:before="0" w:after="0" w:line="240" w:lineRule="auto"/>
        <w:ind w:left="0" w:firstLine="0"/>
        <w:rPr>
          <w:bCs/>
          <w:sz w:val="22"/>
          <w:szCs w:val="22"/>
        </w:rPr>
      </w:pPr>
      <w:r w:rsidRPr="008F4CCB">
        <w:rPr>
          <w:b/>
          <w:bCs/>
          <w:sz w:val="22"/>
          <w:szCs w:val="22"/>
        </w:rPr>
        <w:t xml:space="preserve">In terms of </w:t>
      </w:r>
      <w:r w:rsidRPr="008F4CCB">
        <w:rPr>
          <w:b/>
          <w:bCs/>
          <w:sz w:val="22"/>
          <w:szCs w:val="22"/>
          <w:u w:val="single"/>
        </w:rPr>
        <w:t>consumer disclosure</w:t>
      </w:r>
      <w:r w:rsidR="00493AB6" w:rsidRPr="008F4CCB">
        <w:rPr>
          <w:b/>
          <w:bCs/>
          <w:sz w:val="22"/>
          <w:szCs w:val="22"/>
        </w:rPr>
        <w:t xml:space="preserve">, </w:t>
      </w:r>
      <w:r w:rsidRPr="008F4CCB">
        <w:rPr>
          <w:b/>
          <w:bCs/>
          <w:sz w:val="22"/>
          <w:szCs w:val="22"/>
        </w:rPr>
        <w:t xml:space="preserve">the </w:t>
      </w:r>
      <w:r w:rsidR="00693793">
        <w:rPr>
          <w:b/>
          <w:bCs/>
          <w:sz w:val="22"/>
          <w:szCs w:val="22"/>
        </w:rPr>
        <w:t>CBA</w:t>
      </w:r>
      <w:r w:rsidRPr="008F4CCB">
        <w:rPr>
          <w:b/>
          <w:bCs/>
          <w:sz w:val="22"/>
          <w:szCs w:val="22"/>
        </w:rPr>
        <w:t xml:space="preserve"> should </w:t>
      </w:r>
      <w:r w:rsidR="00984E90" w:rsidRPr="008F4CCB">
        <w:rPr>
          <w:b/>
          <w:bCs/>
          <w:sz w:val="22"/>
          <w:szCs w:val="22"/>
        </w:rPr>
        <w:t xml:space="preserve">issue regulations </w:t>
      </w:r>
      <w:r w:rsidR="00662588" w:rsidRPr="008F4CCB">
        <w:rPr>
          <w:b/>
          <w:bCs/>
          <w:sz w:val="22"/>
          <w:szCs w:val="22"/>
        </w:rPr>
        <w:t xml:space="preserve">that </w:t>
      </w:r>
      <w:r w:rsidRPr="008F4CCB">
        <w:rPr>
          <w:b/>
          <w:bCs/>
          <w:sz w:val="22"/>
          <w:szCs w:val="22"/>
        </w:rPr>
        <w:t>require financial institutions to provide clear, understandable</w:t>
      </w:r>
      <w:r w:rsidR="00356977" w:rsidRPr="008F4CCB">
        <w:rPr>
          <w:b/>
          <w:bCs/>
          <w:sz w:val="22"/>
          <w:szCs w:val="22"/>
        </w:rPr>
        <w:t>, timely</w:t>
      </w:r>
      <w:r w:rsidR="00693793">
        <w:rPr>
          <w:b/>
          <w:bCs/>
          <w:sz w:val="22"/>
          <w:szCs w:val="22"/>
        </w:rPr>
        <w:t>, comparable</w:t>
      </w:r>
      <w:r w:rsidR="00356977" w:rsidRPr="008F4CCB">
        <w:rPr>
          <w:b/>
          <w:bCs/>
          <w:sz w:val="22"/>
          <w:szCs w:val="22"/>
        </w:rPr>
        <w:t xml:space="preserve"> and</w:t>
      </w:r>
      <w:r w:rsidRPr="008F4CCB">
        <w:rPr>
          <w:b/>
          <w:bCs/>
          <w:sz w:val="22"/>
          <w:szCs w:val="22"/>
        </w:rPr>
        <w:t xml:space="preserve"> </w:t>
      </w:r>
      <w:r w:rsidR="00356977" w:rsidRPr="008F4CCB">
        <w:rPr>
          <w:b/>
          <w:bCs/>
          <w:sz w:val="22"/>
          <w:szCs w:val="22"/>
        </w:rPr>
        <w:t xml:space="preserve">standardized </w:t>
      </w:r>
      <w:r w:rsidR="00493AB6" w:rsidRPr="008F4CCB">
        <w:rPr>
          <w:b/>
          <w:bCs/>
          <w:sz w:val="22"/>
          <w:szCs w:val="22"/>
        </w:rPr>
        <w:t xml:space="preserve">information </w:t>
      </w:r>
      <w:r w:rsidRPr="008F4CCB">
        <w:rPr>
          <w:b/>
          <w:bCs/>
          <w:sz w:val="22"/>
          <w:szCs w:val="22"/>
        </w:rPr>
        <w:t>to consumers</w:t>
      </w:r>
      <w:r w:rsidR="008F4CCB" w:rsidRPr="008F4CCB">
        <w:rPr>
          <w:b/>
          <w:bCs/>
          <w:sz w:val="22"/>
          <w:szCs w:val="22"/>
        </w:rPr>
        <w:t>.</w:t>
      </w:r>
      <w:r w:rsidR="00356977" w:rsidRPr="008F4CCB">
        <w:rPr>
          <w:b/>
          <w:bCs/>
          <w:sz w:val="22"/>
          <w:szCs w:val="22"/>
        </w:rPr>
        <w:t xml:space="preserve"> </w:t>
      </w:r>
      <w:r w:rsidR="00356977" w:rsidRPr="008F4CCB">
        <w:rPr>
          <w:bCs/>
          <w:sz w:val="22"/>
          <w:szCs w:val="22"/>
        </w:rPr>
        <w:t xml:space="preserve">The </w:t>
      </w:r>
      <w:r w:rsidR="00693793">
        <w:rPr>
          <w:bCs/>
          <w:sz w:val="22"/>
          <w:szCs w:val="22"/>
        </w:rPr>
        <w:t>CBA</w:t>
      </w:r>
      <w:r w:rsidR="00356977" w:rsidRPr="008F4CCB">
        <w:rPr>
          <w:bCs/>
          <w:sz w:val="22"/>
          <w:szCs w:val="22"/>
        </w:rPr>
        <w:t xml:space="preserve"> should require all financial institutions to disclose the effective price or cost of financial products</w:t>
      </w:r>
      <w:r w:rsidR="008F4CCB" w:rsidRPr="008F4CCB">
        <w:rPr>
          <w:bCs/>
          <w:sz w:val="22"/>
          <w:szCs w:val="22"/>
        </w:rPr>
        <w:t>,</w:t>
      </w:r>
      <w:r w:rsidR="00356977" w:rsidRPr="008F4CCB">
        <w:rPr>
          <w:bCs/>
          <w:sz w:val="22"/>
          <w:szCs w:val="22"/>
        </w:rPr>
        <w:t xml:space="preserve"> using standard calculation methods, in all advertising, marketing and sales materials. All financial </w:t>
      </w:r>
      <w:r w:rsidR="008F4CCB" w:rsidRPr="008F4CCB">
        <w:rPr>
          <w:bCs/>
          <w:sz w:val="22"/>
          <w:szCs w:val="22"/>
        </w:rPr>
        <w:t xml:space="preserve">institutions </w:t>
      </w:r>
      <w:r w:rsidR="00356977" w:rsidRPr="008F4CCB">
        <w:rPr>
          <w:bCs/>
          <w:sz w:val="22"/>
          <w:szCs w:val="22"/>
        </w:rPr>
        <w:t xml:space="preserve">should also be </w:t>
      </w:r>
      <w:r w:rsidR="008F4CCB" w:rsidRPr="008F4CCB">
        <w:rPr>
          <w:bCs/>
          <w:sz w:val="22"/>
          <w:szCs w:val="22"/>
        </w:rPr>
        <w:t>required to provide consumers</w:t>
      </w:r>
      <w:r w:rsidR="00356977" w:rsidRPr="008F4CCB">
        <w:rPr>
          <w:bCs/>
          <w:sz w:val="22"/>
          <w:szCs w:val="22"/>
        </w:rPr>
        <w:t xml:space="preserve"> with a simple, short and standard</w:t>
      </w:r>
      <w:r w:rsidR="00693793">
        <w:rPr>
          <w:bCs/>
          <w:sz w:val="22"/>
          <w:szCs w:val="22"/>
        </w:rPr>
        <w:t>ized</w:t>
      </w:r>
      <w:r w:rsidR="00356977" w:rsidRPr="008F4CCB">
        <w:rPr>
          <w:bCs/>
          <w:sz w:val="22"/>
          <w:szCs w:val="22"/>
        </w:rPr>
        <w:t xml:space="preserve"> </w:t>
      </w:r>
      <w:r w:rsidR="00693793">
        <w:rPr>
          <w:bCs/>
          <w:sz w:val="22"/>
          <w:szCs w:val="22"/>
        </w:rPr>
        <w:t>"</w:t>
      </w:r>
      <w:r w:rsidR="00356977" w:rsidRPr="008F4CCB">
        <w:rPr>
          <w:bCs/>
          <w:sz w:val="22"/>
          <w:szCs w:val="22"/>
        </w:rPr>
        <w:t>key facts statement</w:t>
      </w:r>
      <w:r w:rsidR="00693793">
        <w:rPr>
          <w:bCs/>
          <w:sz w:val="22"/>
          <w:szCs w:val="22"/>
        </w:rPr>
        <w:t>"</w:t>
      </w:r>
      <w:r w:rsidR="00356977" w:rsidRPr="008F4CCB">
        <w:rPr>
          <w:bCs/>
          <w:sz w:val="22"/>
          <w:szCs w:val="22"/>
        </w:rPr>
        <w:t xml:space="preserve"> that summarizes the key terms and conditions of each financial contract. </w:t>
      </w:r>
      <w:r w:rsidR="008F4CCB" w:rsidRPr="008F4CCB">
        <w:rPr>
          <w:bCs/>
          <w:sz w:val="22"/>
          <w:szCs w:val="22"/>
        </w:rPr>
        <w:t xml:space="preserve">Consumers should also have access to full information on financial products or services they acquire, including terms and conditions, contract notes, insurance policies, notifications of changes in contract terms, statements of personal investment advice, periodic account statements, etc. </w:t>
      </w:r>
    </w:p>
    <w:p w:rsidR="008F4CCB" w:rsidRPr="008F4CCB" w:rsidRDefault="008F4CCB" w:rsidP="008F4CCB">
      <w:pPr>
        <w:pStyle w:val="BodyText"/>
        <w:tabs>
          <w:tab w:val="left" w:pos="360"/>
        </w:tabs>
        <w:suppressAutoHyphens/>
        <w:spacing w:before="0" w:after="0" w:line="240" w:lineRule="auto"/>
        <w:rPr>
          <w:bCs/>
          <w:sz w:val="22"/>
          <w:szCs w:val="22"/>
        </w:rPr>
      </w:pPr>
    </w:p>
    <w:p w:rsidR="00057AAD" w:rsidRPr="008F4CCB" w:rsidRDefault="008F4CCB" w:rsidP="00312FB6">
      <w:pPr>
        <w:pStyle w:val="BodyText"/>
        <w:numPr>
          <w:ilvl w:val="0"/>
          <w:numId w:val="5"/>
        </w:numPr>
        <w:tabs>
          <w:tab w:val="left" w:pos="360"/>
          <w:tab w:val="left" w:pos="4211"/>
        </w:tabs>
        <w:suppressAutoHyphens/>
        <w:spacing w:before="0" w:after="0" w:line="240" w:lineRule="auto"/>
        <w:ind w:left="0" w:firstLine="0"/>
        <w:rPr>
          <w:bCs/>
          <w:sz w:val="22"/>
          <w:szCs w:val="22"/>
        </w:rPr>
      </w:pPr>
      <w:r w:rsidRPr="008F4CCB">
        <w:rPr>
          <w:b/>
          <w:bCs/>
          <w:sz w:val="22"/>
          <w:szCs w:val="22"/>
        </w:rPr>
        <w:t xml:space="preserve">The </w:t>
      </w:r>
      <w:r w:rsidR="00693793">
        <w:rPr>
          <w:b/>
          <w:bCs/>
          <w:sz w:val="22"/>
          <w:szCs w:val="22"/>
        </w:rPr>
        <w:t>CBA</w:t>
      </w:r>
      <w:r w:rsidRPr="008F4CCB">
        <w:rPr>
          <w:b/>
          <w:bCs/>
          <w:sz w:val="22"/>
          <w:szCs w:val="22"/>
        </w:rPr>
        <w:t xml:space="preserve"> should also publish information to help consumers make well-informed decisions. </w:t>
      </w:r>
      <w:r w:rsidRPr="008F4CCB">
        <w:rPr>
          <w:bCs/>
          <w:sz w:val="22"/>
          <w:szCs w:val="22"/>
        </w:rPr>
        <w:t xml:space="preserve">The </w:t>
      </w:r>
      <w:r w:rsidR="00693793">
        <w:rPr>
          <w:bCs/>
          <w:sz w:val="22"/>
          <w:szCs w:val="22"/>
        </w:rPr>
        <w:t>CBA</w:t>
      </w:r>
      <w:r w:rsidRPr="008F4CCB">
        <w:rPr>
          <w:bCs/>
          <w:sz w:val="22"/>
          <w:szCs w:val="22"/>
        </w:rPr>
        <w:t xml:space="preserve"> could publish tariff surveys that include information on interest rates, fees, charges and commissions charged for the same service by different financial institutions.</w:t>
      </w:r>
      <w:r>
        <w:rPr>
          <w:bCs/>
          <w:sz w:val="22"/>
          <w:szCs w:val="22"/>
        </w:rPr>
        <w:t xml:space="preserve"> </w:t>
      </w:r>
      <w:r w:rsidR="00493AB6" w:rsidRPr="008F4CCB">
        <w:rPr>
          <w:bCs/>
          <w:sz w:val="22"/>
          <w:szCs w:val="22"/>
        </w:rPr>
        <w:t xml:space="preserve">In </w:t>
      </w:r>
      <w:r>
        <w:rPr>
          <w:bCs/>
          <w:sz w:val="22"/>
          <w:szCs w:val="22"/>
        </w:rPr>
        <w:t xml:space="preserve">several </w:t>
      </w:r>
      <w:r w:rsidR="00493AB6" w:rsidRPr="008F4CCB">
        <w:rPr>
          <w:bCs/>
          <w:sz w:val="22"/>
          <w:szCs w:val="22"/>
        </w:rPr>
        <w:t xml:space="preserve">countries the promotion of clear, standardized and comparable disclosure to consumers have proven to be an effective mechanism to promote competition, bringing down the cost of financial products and services. </w:t>
      </w:r>
      <w:r w:rsidR="00AB266B">
        <w:rPr>
          <w:bCs/>
          <w:sz w:val="22"/>
          <w:szCs w:val="22"/>
        </w:rPr>
        <w:t xml:space="preserve">The </w:t>
      </w:r>
      <w:r w:rsidR="00693793">
        <w:rPr>
          <w:bCs/>
          <w:sz w:val="22"/>
          <w:szCs w:val="22"/>
        </w:rPr>
        <w:t>CBA</w:t>
      </w:r>
      <w:r w:rsidR="00AB266B">
        <w:rPr>
          <w:bCs/>
          <w:sz w:val="22"/>
          <w:szCs w:val="22"/>
        </w:rPr>
        <w:t xml:space="preserve"> could also prepare a glossary of key financial terms.</w:t>
      </w:r>
      <w:r w:rsidR="00AB266B" w:rsidRPr="00AB266B">
        <w:rPr>
          <w:bCs/>
          <w:sz w:val="22"/>
          <w:szCs w:val="22"/>
        </w:rPr>
        <w:t xml:space="preserve"> </w:t>
      </w:r>
      <w:r w:rsidR="00AB266B" w:rsidRPr="008F4CCB">
        <w:rPr>
          <w:bCs/>
          <w:sz w:val="22"/>
          <w:szCs w:val="22"/>
        </w:rPr>
        <w:t xml:space="preserve">For the </w:t>
      </w:r>
      <w:r w:rsidR="00AB266B">
        <w:rPr>
          <w:bCs/>
          <w:sz w:val="22"/>
          <w:szCs w:val="22"/>
        </w:rPr>
        <w:t xml:space="preserve">implementation of </w:t>
      </w:r>
      <w:r w:rsidR="00AB266B" w:rsidRPr="008F4CCB">
        <w:rPr>
          <w:bCs/>
          <w:sz w:val="22"/>
          <w:szCs w:val="22"/>
        </w:rPr>
        <w:t xml:space="preserve">consumer disclosure </w:t>
      </w:r>
      <w:r w:rsidR="00AB266B">
        <w:rPr>
          <w:bCs/>
          <w:sz w:val="22"/>
          <w:szCs w:val="22"/>
        </w:rPr>
        <w:t>measures</w:t>
      </w:r>
      <w:r w:rsidR="00AB266B" w:rsidRPr="008F4CCB">
        <w:rPr>
          <w:bCs/>
          <w:sz w:val="22"/>
          <w:szCs w:val="22"/>
        </w:rPr>
        <w:t xml:space="preserve">, it </w:t>
      </w:r>
      <w:r w:rsidR="00693793">
        <w:rPr>
          <w:bCs/>
          <w:sz w:val="22"/>
          <w:szCs w:val="22"/>
        </w:rPr>
        <w:t>would</w:t>
      </w:r>
      <w:r w:rsidR="00AB266B" w:rsidRPr="008F4CCB">
        <w:rPr>
          <w:bCs/>
          <w:sz w:val="22"/>
          <w:szCs w:val="22"/>
        </w:rPr>
        <w:t xml:space="preserve"> be useful to have feedback not only from the financial industry but also from consumers</w:t>
      </w:r>
      <w:r w:rsidR="00693793">
        <w:rPr>
          <w:bCs/>
          <w:sz w:val="22"/>
          <w:szCs w:val="22"/>
        </w:rPr>
        <w:t xml:space="preserve"> – possibly through consumer testing – </w:t>
      </w:r>
      <w:r w:rsidR="00AB266B">
        <w:rPr>
          <w:bCs/>
          <w:sz w:val="22"/>
          <w:szCs w:val="22"/>
        </w:rPr>
        <w:t>to make sure that they clearly understand the information presented to them</w:t>
      </w:r>
      <w:r w:rsidR="00AB266B" w:rsidRPr="008F4CCB">
        <w:rPr>
          <w:bCs/>
          <w:sz w:val="22"/>
          <w:szCs w:val="22"/>
        </w:rPr>
        <w:t>.</w:t>
      </w:r>
    </w:p>
    <w:p w:rsidR="00057AAD" w:rsidRPr="00E06713" w:rsidRDefault="00057AAD" w:rsidP="00312FB6">
      <w:pPr>
        <w:pStyle w:val="BodyText"/>
        <w:tabs>
          <w:tab w:val="left" w:pos="360"/>
          <w:tab w:val="left" w:pos="630"/>
        </w:tabs>
        <w:suppressAutoHyphens/>
        <w:spacing w:before="0" w:after="0" w:line="240" w:lineRule="auto"/>
        <w:rPr>
          <w:bCs/>
          <w:sz w:val="22"/>
          <w:szCs w:val="22"/>
        </w:rPr>
      </w:pPr>
    </w:p>
    <w:p w:rsidR="00057AAD" w:rsidRPr="000D642B" w:rsidRDefault="00AB266B" w:rsidP="0075507A">
      <w:pPr>
        <w:pStyle w:val="BodyText"/>
        <w:numPr>
          <w:ilvl w:val="0"/>
          <w:numId w:val="5"/>
        </w:numPr>
        <w:tabs>
          <w:tab w:val="left" w:pos="360"/>
          <w:tab w:val="left" w:pos="630"/>
        </w:tabs>
        <w:suppressAutoHyphens/>
        <w:spacing w:before="0" w:after="0" w:line="240" w:lineRule="auto"/>
        <w:ind w:left="0" w:firstLine="0"/>
        <w:rPr>
          <w:b/>
          <w:bCs/>
          <w:sz w:val="22"/>
          <w:szCs w:val="22"/>
        </w:rPr>
      </w:pPr>
      <w:r w:rsidRPr="00693793">
        <w:rPr>
          <w:b/>
          <w:bCs/>
          <w:sz w:val="22"/>
          <w:szCs w:val="22"/>
        </w:rPr>
        <w:t xml:space="preserve">In the area of </w:t>
      </w:r>
      <w:r w:rsidRPr="00693793">
        <w:rPr>
          <w:b/>
          <w:bCs/>
          <w:sz w:val="22"/>
          <w:szCs w:val="22"/>
          <w:u w:val="single"/>
        </w:rPr>
        <w:t>regulation of business practices</w:t>
      </w:r>
      <w:r w:rsidR="00057AAD" w:rsidRPr="00693793">
        <w:rPr>
          <w:b/>
          <w:bCs/>
          <w:sz w:val="22"/>
          <w:szCs w:val="22"/>
        </w:rPr>
        <w:t xml:space="preserve">, </w:t>
      </w:r>
      <w:r w:rsidR="00693793">
        <w:rPr>
          <w:b/>
          <w:bCs/>
          <w:sz w:val="22"/>
          <w:szCs w:val="22"/>
        </w:rPr>
        <w:t>t</w:t>
      </w:r>
      <w:r w:rsidR="00057AAD" w:rsidRPr="00693793">
        <w:rPr>
          <w:b/>
          <w:bCs/>
          <w:sz w:val="22"/>
          <w:szCs w:val="22"/>
        </w:rPr>
        <w:t xml:space="preserve">he </w:t>
      </w:r>
      <w:r w:rsidR="00693793">
        <w:rPr>
          <w:b/>
          <w:bCs/>
          <w:sz w:val="22"/>
          <w:szCs w:val="22"/>
        </w:rPr>
        <w:t>CBA should require that sales agents are well trained and should test them regularly</w:t>
      </w:r>
      <w:r w:rsidR="00057AAD" w:rsidRPr="00693793">
        <w:rPr>
          <w:b/>
          <w:bCs/>
          <w:sz w:val="22"/>
          <w:szCs w:val="22"/>
        </w:rPr>
        <w:t xml:space="preserve">. </w:t>
      </w:r>
      <w:r w:rsidR="00057AAD" w:rsidRPr="00693793">
        <w:rPr>
          <w:bCs/>
          <w:sz w:val="22"/>
          <w:szCs w:val="22"/>
        </w:rPr>
        <w:t>The</w:t>
      </w:r>
      <w:r w:rsidR="000D642B">
        <w:rPr>
          <w:bCs/>
          <w:sz w:val="22"/>
          <w:szCs w:val="22"/>
        </w:rPr>
        <w:t xml:space="preserve"> point-of-sale staff plays a very significant role in ensuring that consumers make informed decisions. Therefore, requirements should be set for the knowledge of the sales staff and they should be tested regularly with the CBA supervising the testing. </w:t>
      </w:r>
    </w:p>
    <w:p w:rsidR="000D642B" w:rsidRDefault="000D642B" w:rsidP="000D642B">
      <w:pPr>
        <w:pStyle w:val="ListParagraph"/>
        <w:rPr>
          <w:b/>
          <w:bCs/>
          <w:sz w:val="22"/>
          <w:szCs w:val="22"/>
        </w:rPr>
      </w:pPr>
    </w:p>
    <w:p w:rsidR="000D642B" w:rsidRPr="00693793" w:rsidRDefault="000D642B" w:rsidP="0075507A">
      <w:pPr>
        <w:pStyle w:val="BodyText"/>
        <w:numPr>
          <w:ilvl w:val="0"/>
          <w:numId w:val="5"/>
        </w:numPr>
        <w:tabs>
          <w:tab w:val="left" w:pos="360"/>
          <w:tab w:val="left" w:pos="630"/>
        </w:tabs>
        <w:suppressAutoHyphens/>
        <w:spacing w:before="0" w:after="0" w:line="240" w:lineRule="auto"/>
        <w:ind w:left="0" w:firstLine="0"/>
        <w:rPr>
          <w:b/>
          <w:bCs/>
          <w:sz w:val="22"/>
          <w:szCs w:val="22"/>
        </w:rPr>
      </w:pPr>
      <w:r>
        <w:rPr>
          <w:b/>
          <w:bCs/>
          <w:sz w:val="22"/>
          <w:szCs w:val="22"/>
        </w:rPr>
        <w:t xml:space="preserve">Advertising needs to be regulated and monitored properly to ensure that consumers are not mislead. </w:t>
      </w:r>
      <w:r>
        <w:rPr>
          <w:bCs/>
          <w:sz w:val="22"/>
          <w:szCs w:val="22"/>
        </w:rPr>
        <w:t xml:space="preserve">The CBA needs sufficient capacity to monitor advertising of financial institutions and should also introduce rules on the content of advertising (e.g. using APR rather than nominal interest rate for consumer credit, naming the CBA as the regulator, etc.). </w:t>
      </w:r>
    </w:p>
    <w:p w:rsidR="00057AAD" w:rsidRPr="00E06713" w:rsidRDefault="00057AAD" w:rsidP="00AB266B">
      <w:pPr>
        <w:pStyle w:val="ListParagraph"/>
        <w:ind w:left="0"/>
        <w:rPr>
          <w:b/>
          <w:bCs/>
          <w:sz w:val="22"/>
          <w:szCs w:val="22"/>
        </w:rPr>
      </w:pPr>
    </w:p>
    <w:p w:rsidR="00057AAD" w:rsidRPr="00356355" w:rsidRDefault="000D642B" w:rsidP="006C02E7">
      <w:pPr>
        <w:pStyle w:val="BodyText"/>
        <w:numPr>
          <w:ilvl w:val="0"/>
          <w:numId w:val="5"/>
        </w:numPr>
        <w:tabs>
          <w:tab w:val="left" w:pos="360"/>
          <w:tab w:val="left" w:pos="630"/>
        </w:tabs>
        <w:suppressAutoHyphens/>
        <w:spacing w:before="0" w:after="0" w:line="240" w:lineRule="auto"/>
        <w:ind w:left="0" w:firstLine="0"/>
        <w:rPr>
          <w:color w:val="000000"/>
          <w:sz w:val="22"/>
          <w:szCs w:val="22"/>
        </w:rPr>
      </w:pPr>
      <w:r>
        <w:rPr>
          <w:b/>
          <w:bCs/>
          <w:sz w:val="22"/>
          <w:szCs w:val="22"/>
        </w:rPr>
        <w:lastRenderedPageBreak/>
        <w:t>In the area of</w:t>
      </w:r>
      <w:r w:rsidR="00057AAD" w:rsidRPr="00E06713">
        <w:rPr>
          <w:b/>
          <w:bCs/>
          <w:sz w:val="22"/>
          <w:szCs w:val="22"/>
        </w:rPr>
        <w:t xml:space="preserve"> </w:t>
      </w:r>
      <w:r w:rsidR="00057AAD" w:rsidRPr="00637B70">
        <w:rPr>
          <w:b/>
          <w:bCs/>
          <w:sz w:val="22"/>
          <w:szCs w:val="22"/>
          <w:u w:val="single"/>
        </w:rPr>
        <w:t>complaints and disputes</w:t>
      </w:r>
      <w:r w:rsidR="00057AAD" w:rsidRPr="00E06713">
        <w:rPr>
          <w:b/>
          <w:bCs/>
          <w:sz w:val="22"/>
          <w:szCs w:val="22"/>
        </w:rPr>
        <w:t xml:space="preserve"> </w:t>
      </w:r>
      <w:r>
        <w:rPr>
          <w:b/>
          <w:bCs/>
          <w:sz w:val="22"/>
          <w:szCs w:val="22"/>
        </w:rPr>
        <w:t>Armenia has developed a very effective Financial System Mediator</w:t>
      </w:r>
      <w:r w:rsidR="00057AAD" w:rsidRPr="00E06713">
        <w:rPr>
          <w:b/>
          <w:bCs/>
          <w:sz w:val="22"/>
          <w:szCs w:val="22"/>
        </w:rPr>
        <w:t xml:space="preserve">. </w:t>
      </w:r>
      <w:r w:rsidR="000B689D" w:rsidRPr="000B689D">
        <w:rPr>
          <w:bCs/>
          <w:sz w:val="22"/>
          <w:szCs w:val="22"/>
        </w:rPr>
        <w:t xml:space="preserve">However, </w:t>
      </w:r>
      <w:r w:rsidR="000B689D">
        <w:rPr>
          <w:bCs/>
          <w:sz w:val="22"/>
          <w:szCs w:val="22"/>
        </w:rPr>
        <w:t>its services are currently available only to private individuals but should also be made available to</w:t>
      </w:r>
      <w:r w:rsidR="000B689D" w:rsidRPr="000B689D">
        <w:rPr>
          <w:bCs/>
          <w:sz w:val="22"/>
          <w:szCs w:val="22"/>
        </w:rPr>
        <w:t xml:space="preserve"> sole entrepreneurs, mi</w:t>
      </w:r>
      <w:r w:rsidR="000B689D">
        <w:rPr>
          <w:bCs/>
          <w:sz w:val="22"/>
          <w:szCs w:val="22"/>
        </w:rPr>
        <w:t>cro- and small-size businesses</w:t>
      </w:r>
      <w:r w:rsidR="000B689D">
        <w:rPr>
          <w:rStyle w:val="FootnoteReference"/>
          <w:bCs/>
          <w:sz w:val="22"/>
          <w:szCs w:val="22"/>
        </w:rPr>
        <w:footnoteReference w:id="3"/>
      </w:r>
      <w:r w:rsidR="000B689D">
        <w:rPr>
          <w:bCs/>
          <w:sz w:val="22"/>
          <w:szCs w:val="22"/>
        </w:rPr>
        <w:t xml:space="preserve">. </w:t>
      </w:r>
    </w:p>
    <w:p w:rsidR="00356355" w:rsidRDefault="00356355" w:rsidP="00356355">
      <w:pPr>
        <w:pStyle w:val="ListParagraph"/>
        <w:rPr>
          <w:color w:val="000000"/>
          <w:sz w:val="22"/>
          <w:szCs w:val="22"/>
        </w:rPr>
      </w:pPr>
    </w:p>
    <w:p w:rsidR="00356355" w:rsidRPr="000B689D" w:rsidRDefault="00356355" w:rsidP="006C02E7">
      <w:pPr>
        <w:pStyle w:val="BodyText"/>
        <w:numPr>
          <w:ilvl w:val="0"/>
          <w:numId w:val="5"/>
        </w:numPr>
        <w:tabs>
          <w:tab w:val="left" w:pos="360"/>
          <w:tab w:val="left" w:pos="630"/>
        </w:tabs>
        <w:suppressAutoHyphens/>
        <w:spacing w:before="0" w:after="0" w:line="240" w:lineRule="auto"/>
        <w:ind w:left="0" w:firstLine="0"/>
        <w:rPr>
          <w:color w:val="000000"/>
          <w:sz w:val="22"/>
          <w:szCs w:val="22"/>
        </w:rPr>
      </w:pPr>
      <w:r w:rsidRPr="00C47770">
        <w:rPr>
          <w:b/>
          <w:color w:val="000000"/>
          <w:sz w:val="22"/>
          <w:szCs w:val="22"/>
        </w:rPr>
        <w:t>All financial institutions should regularly analyze the complaints received and the analysis</w:t>
      </w:r>
      <w:r w:rsidR="00C47770" w:rsidRPr="00C47770">
        <w:rPr>
          <w:b/>
          <w:color w:val="000000"/>
          <w:sz w:val="22"/>
          <w:szCs w:val="22"/>
        </w:rPr>
        <w:t xml:space="preserve"> should be provided to the CBA. </w:t>
      </w:r>
      <w:r w:rsidR="00C47770">
        <w:rPr>
          <w:color w:val="000000"/>
          <w:sz w:val="22"/>
          <w:szCs w:val="22"/>
        </w:rPr>
        <w:t xml:space="preserve">The CBA can thus receive information about potential systemic issues and could improve the existing regulations or financial education activities to deal with the most often repeated complaints. </w:t>
      </w:r>
    </w:p>
    <w:p w:rsidR="00057AAD" w:rsidRPr="00E06713" w:rsidRDefault="00057AAD" w:rsidP="008455C9">
      <w:pPr>
        <w:pStyle w:val="BodyText"/>
        <w:tabs>
          <w:tab w:val="left" w:pos="360"/>
          <w:tab w:val="left" w:pos="630"/>
        </w:tabs>
        <w:suppressAutoHyphens/>
        <w:spacing w:before="0" w:after="0" w:line="240" w:lineRule="auto"/>
        <w:rPr>
          <w:color w:val="000000"/>
          <w:sz w:val="22"/>
          <w:szCs w:val="22"/>
        </w:rPr>
      </w:pPr>
    </w:p>
    <w:p w:rsidR="00057AAD" w:rsidRPr="000B77FE" w:rsidRDefault="00057AAD" w:rsidP="00B94031">
      <w:pPr>
        <w:pStyle w:val="BodyText"/>
        <w:numPr>
          <w:ilvl w:val="0"/>
          <w:numId w:val="5"/>
        </w:numPr>
        <w:tabs>
          <w:tab w:val="left" w:pos="360"/>
          <w:tab w:val="left" w:pos="630"/>
        </w:tabs>
        <w:suppressAutoHyphens/>
        <w:spacing w:before="0" w:after="0" w:line="240" w:lineRule="auto"/>
        <w:ind w:left="0" w:firstLine="0"/>
        <w:rPr>
          <w:color w:val="000000"/>
          <w:sz w:val="22"/>
          <w:szCs w:val="22"/>
        </w:rPr>
      </w:pPr>
      <w:r w:rsidRPr="00172C74">
        <w:rPr>
          <w:b/>
          <w:bCs/>
          <w:sz w:val="22"/>
          <w:szCs w:val="22"/>
        </w:rPr>
        <w:t xml:space="preserve">Lastly, </w:t>
      </w:r>
      <w:r w:rsidR="006A6CE7" w:rsidRPr="00172C74">
        <w:rPr>
          <w:b/>
          <w:bCs/>
          <w:sz w:val="22"/>
          <w:szCs w:val="22"/>
        </w:rPr>
        <w:t xml:space="preserve">a multi-stakeholder </w:t>
      </w:r>
      <w:r w:rsidRPr="00172C74">
        <w:rPr>
          <w:b/>
          <w:bCs/>
          <w:sz w:val="22"/>
          <w:szCs w:val="22"/>
          <w:u w:val="single"/>
        </w:rPr>
        <w:t>financial education</w:t>
      </w:r>
      <w:r w:rsidRPr="00172C74">
        <w:rPr>
          <w:b/>
          <w:bCs/>
          <w:sz w:val="22"/>
          <w:szCs w:val="22"/>
        </w:rPr>
        <w:t xml:space="preserve"> </w:t>
      </w:r>
      <w:r w:rsidR="006A6CE7" w:rsidRPr="00172C74">
        <w:rPr>
          <w:b/>
          <w:bCs/>
          <w:sz w:val="22"/>
          <w:szCs w:val="22"/>
        </w:rPr>
        <w:t xml:space="preserve">program should be developed in </w:t>
      </w:r>
      <w:r w:rsidR="00C47770">
        <w:rPr>
          <w:b/>
          <w:bCs/>
          <w:sz w:val="22"/>
          <w:szCs w:val="22"/>
        </w:rPr>
        <w:t>Armenia</w:t>
      </w:r>
      <w:r w:rsidR="006A6CE7" w:rsidRPr="00172C74">
        <w:rPr>
          <w:b/>
          <w:bCs/>
          <w:sz w:val="22"/>
          <w:szCs w:val="22"/>
        </w:rPr>
        <w:t xml:space="preserve"> </w:t>
      </w:r>
      <w:r w:rsidRPr="00172C74">
        <w:rPr>
          <w:b/>
          <w:bCs/>
          <w:sz w:val="22"/>
          <w:szCs w:val="22"/>
        </w:rPr>
        <w:t>to improve financial consumer protection in the long run.</w:t>
      </w:r>
      <w:r w:rsidRPr="00172C74">
        <w:rPr>
          <w:bCs/>
          <w:sz w:val="22"/>
          <w:szCs w:val="22"/>
        </w:rPr>
        <w:t xml:space="preserve"> </w:t>
      </w:r>
      <w:r w:rsidR="000B77FE">
        <w:rPr>
          <w:bCs/>
          <w:sz w:val="22"/>
          <w:szCs w:val="22"/>
        </w:rPr>
        <w:t>The CBA, other g</w:t>
      </w:r>
      <w:r w:rsidRPr="00172C74">
        <w:rPr>
          <w:bCs/>
          <w:sz w:val="22"/>
          <w:szCs w:val="22"/>
        </w:rPr>
        <w:t xml:space="preserve">overnment authorities, financial </w:t>
      </w:r>
      <w:r w:rsidR="006A6CE7" w:rsidRPr="00172C74">
        <w:rPr>
          <w:bCs/>
          <w:sz w:val="22"/>
          <w:szCs w:val="22"/>
        </w:rPr>
        <w:t xml:space="preserve">sector </w:t>
      </w:r>
      <w:r w:rsidRPr="00172C74">
        <w:rPr>
          <w:bCs/>
          <w:sz w:val="22"/>
          <w:szCs w:val="22"/>
        </w:rPr>
        <w:t>associations</w:t>
      </w:r>
      <w:r w:rsidR="006A6CE7" w:rsidRPr="00172C74">
        <w:rPr>
          <w:bCs/>
          <w:sz w:val="22"/>
          <w:szCs w:val="22"/>
        </w:rPr>
        <w:t xml:space="preserve">, consumer associations </w:t>
      </w:r>
      <w:r w:rsidRPr="00172C74">
        <w:rPr>
          <w:bCs/>
          <w:sz w:val="22"/>
          <w:szCs w:val="22"/>
        </w:rPr>
        <w:t>and private sector</w:t>
      </w:r>
      <w:r w:rsidR="006A6CE7" w:rsidRPr="00172C74">
        <w:rPr>
          <w:bCs/>
          <w:sz w:val="22"/>
          <w:szCs w:val="22"/>
        </w:rPr>
        <w:t xml:space="preserve"> institutions should participate in the elaboration of the </w:t>
      </w:r>
      <w:r w:rsidR="000B77FE">
        <w:rPr>
          <w:bCs/>
          <w:sz w:val="22"/>
          <w:szCs w:val="22"/>
        </w:rPr>
        <w:t xml:space="preserve">national </w:t>
      </w:r>
      <w:r w:rsidR="006A6CE7" w:rsidRPr="00172C74">
        <w:rPr>
          <w:bCs/>
          <w:sz w:val="22"/>
          <w:szCs w:val="22"/>
        </w:rPr>
        <w:t>financial education program</w:t>
      </w:r>
      <w:r w:rsidR="000B77FE" w:rsidRPr="000B77FE">
        <w:rPr>
          <w:bCs/>
          <w:sz w:val="22"/>
          <w:szCs w:val="22"/>
        </w:rPr>
        <w:t>, with both in-school programs and programs for other groups of citizens</w:t>
      </w:r>
      <w:r w:rsidR="00172C74" w:rsidRPr="00172C74">
        <w:rPr>
          <w:bCs/>
          <w:sz w:val="22"/>
          <w:szCs w:val="22"/>
        </w:rPr>
        <w:t xml:space="preserve">. </w:t>
      </w:r>
      <w:bookmarkStart w:id="18" w:name="_Toc157329316"/>
      <w:bookmarkStart w:id="19" w:name="_Toc263494676"/>
      <w:r w:rsidR="000B77FE" w:rsidRPr="000B77FE">
        <w:rPr>
          <w:bCs/>
          <w:sz w:val="22"/>
          <w:szCs w:val="22"/>
        </w:rPr>
        <w:t>Consumers of financial products should not only receive adequate information on financial products but should primarily be equipped to use this information to make informed decisions.</w:t>
      </w:r>
    </w:p>
    <w:p w:rsidR="000B77FE" w:rsidRDefault="000B77FE" w:rsidP="000B77FE">
      <w:pPr>
        <w:pStyle w:val="BodyText"/>
        <w:tabs>
          <w:tab w:val="left" w:pos="360"/>
          <w:tab w:val="left" w:pos="630"/>
        </w:tabs>
        <w:suppressAutoHyphens/>
        <w:spacing w:before="0" w:after="0" w:line="240" w:lineRule="auto"/>
        <w:rPr>
          <w:color w:val="000000"/>
          <w:sz w:val="22"/>
          <w:szCs w:val="22"/>
        </w:rPr>
      </w:pPr>
    </w:p>
    <w:p w:rsidR="000B77FE" w:rsidRPr="000B77FE" w:rsidRDefault="00C777BD" w:rsidP="000B77FE">
      <w:pPr>
        <w:pStyle w:val="BodyText"/>
        <w:numPr>
          <w:ilvl w:val="0"/>
          <w:numId w:val="5"/>
        </w:numPr>
        <w:tabs>
          <w:tab w:val="left" w:pos="360"/>
          <w:tab w:val="left" w:pos="630"/>
        </w:tabs>
        <w:suppressAutoHyphens/>
        <w:spacing w:before="0" w:after="0" w:line="240" w:lineRule="auto"/>
        <w:ind w:left="0" w:firstLine="0"/>
        <w:rPr>
          <w:bCs/>
          <w:sz w:val="22"/>
          <w:szCs w:val="22"/>
        </w:rPr>
      </w:pPr>
      <w:r>
        <w:rPr>
          <w:b/>
          <w:bCs/>
          <w:sz w:val="22"/>
          <w:szCs w:val="22"/>
        </w:rPr>
        <w:t xml:space="preserve">The Steering Committee for the National Strategy of </w:t>
      </w:r>
      <w:r w:rsidR="000B77FE" w:rsidRPr="000B77FE">
        <w:rPr>
          <w:b/>
          <w:bCs/>
          <w:sz w:val="22"/>
          <w:szCs w:val="22"/>
        </w:rPr>
        <w:t>Financial Education should be</w:t>
      </w:r>
      <w:r>
        <w:rPr>
          <w:b/>
          <w:bCs/>
          <w:sz w:val="22"/>
          <w:szCs w:val="22"/>
        </w:rPr>
        <w:t>come the key body to manage financial education in Armenia</w:t>
      </w:r>
      <w:r w:rsidR="000B77FE" w:rsidRPr="000B77FE">
        <w:rPr>
          <w:b/>
          <w:bCs/>
          <w:sz w:val="22"/>
          <w:szCs w:val="22"/>
        </w:rPr>
        <w:t>.</w:t>
      </w:r>
      <w:r w:rsidR="000B77FE" w:rsidRPr="000B77FE">
        <w:rPr>
          <w:bCs/>
          <w:sz w:val="22"/>
          <w:szCs w:val="22"/>
        </w:rPr>
        <w:t xml:space="preserve"> The </w:t>
      </w:r>
      <w:r>
        <w:rPr>
          <w:bCs/>
          <w:sz w:val="22"/>
          <w:szCs w:val="22"/>
        </w:rPr>
        <w:t>Steering Committee</w:t>
      </w:r>
      <w:r w:rsidR="000B77FE" w:rsidRPr="000B77FE">
        <w:rPr>
          <w:bCs/>
          <w:sz w:val="22"/>
          <w:szCs w:val="22"/>
        </w:rPr>
        <w:t xml:space="preserve"> </w:t>
      </w:r>
      <w:r w:rsidR="000B77FE">
        <w:rPr>
          <w:bCs/>
          <w:sz w:val="22"/>
          <w:szCs w:val="22"/>
        </w:rPr>
        <w:t>sh</w:t>
      </w:r>
      <w:r w:rsidR="000B77FE" w:rsidRPr="000B77FE">
        <w:rPr>
          <w:bCs/>
          <w:sz w:val="22"/>
          <w:szCs w:val="22"/>
        </w:rPr>
        <w:t xml:space="preserve">ould coordinate public and private financial education programs in order to maximize financial literacy impact, leverage existing resources and avoid duplication of efforts. </w:t>
      </w:r>
      <w:r w:rsidR="000B77FE">
        <w:rPr>
          <w:bCs/>
          <w:sz w:val="22"/>
          <w:szCs w:val="22"/>
        </w:rPr>
        <w:t>It</w:t>
      </w:r>
      <w:r w:rsidR="000B77FE" w:rsidRPr="000B77FE">
        <w:rPr>
          <w:bCs/>
          <w:sz w:val="22"/>
          <w:szCs w:val="22"/>
        </w:rPr>
        <w:t xml:space="preserve"> should also regularly evaluate existing financial education programs and their efficiency</w:t>
      </w:r>
      <w:r>
        <w:rPr>
          <w:bCs/>
          <w:sz w:val="22"/>
          <w:szCs w:val="22"/>
        </w:rPr>
        <w:t xml:space="preserve"> and publicly report about effective programs</w:t>
      </w:r>
      <w:r w:rsidR="000B77FE" w:rsidRPr="000B77FE">
        <w:rPr>
          <w:bCs/>
          <w:sz w:val="22"/>
          <w:szCs w:val="22"/>
        </w:rPr>
        <w:t xml:space="preserve">. </w:t>
      </w:r>
    </w:p>
    <w:p w:rsidR="000B77FE" w:rsidRDefault="000B77FE" w:rsidP="000B77FE">
      <w:pPr>
        <w:pStyle w:val="BodyText"/>
        <w:tabs>
          <w:tab w:val="left" w:pos="360"/>
          <w:tab w:val="left" w:pos="630"/>
        </w:tabs>
        <w:suppressAutoHyphens/>
        <w:spacing w:before="0" w:after="0" w:line="240" w:lineRule="auto"/>
        <w:rPr>
          <w:bCs/>
          <w:sz w:val="22"/>
          <w:szCs w:val="22"/>
        </w:rPr>
      </w:pPr>
    </w:p>
    <w:p w:rsidR="000B77FE" w:rsidRPr="000B77FE" w:rsidRDefault="000B77FE" w:rsidP="000B77FE">
      <w:pPr>
        <w:pStyle w:val="BodyText"/>
        <w:tabs>
          <w:tab w:val="left" w:pos="360"/>
          <w:tab w:val="left" w:pos="630"/>
        </w:tabs>
        <w:suppressAutoHyphens/>
        <w:spacing w:before="0" w:after="0" w:line="240" w:lineRule="auto"/>
        <w:rPr>
          <w:bCs/>
          <w:sz w:val="22"/>
          <w:szCs w:val="22"/>
        </w:rPr>
      </w:pPr>
    </w:p>
    <w:p w:rsidR="008574D3" w:rsidRPr="002E65C8" w:rsidRDefault="006D04B6" w:rsidP="002E65C8">
      <w:pPr>
        <w:pStyle w:val="Heading1"/>
        <w:numPr>
          <w:ilvl w:val="0"/>
          <w:numId w:val="41"/>
        </w:numPr>
        <w:ind w:left="0" w:firstLine="0"/>
        <w:jc w:val="center"/>
        <w:rPr>
          <w:rFonts w:ascii="Times New Roman" w:hAnsi="Times New Roman" w:cs="Times New Roman"/>
          <w:sz w:val="28"/>
          <w:lang w:eastAsia="cs-CZ"/>
        </w:rPr>
      </w:pPr>
      <w:r>
        <w:rPr>
          <w:rFonts w:ascii="Times New Roman" w:hAnsi="Times New Roman" w:cs="Times New Roman"/>
          <w:szCs w:val="22"/>
          <w:lang w:eastAsia="cs-CZ"/>
        </w:rPr>
        <w:br w:type="page"/>
      </w:r>
      <w:bookmarkStart w:id="20" w:name="_Toc263494678"/>
      <w:bookmarkStart w:id="21" w:name="_Toc331409059"/>
      <w:bookmarkStart w:id="22" w:name="_Toc157329321"/>
      <w:bookmarkStart w:id="23" w:name="_Toc171737665"/>
      <w:r w:rsidR="008574D3" w:rsidRPr="002E65C8">
        <w:rPr>
          <w:rFonts w:ascii="Times New Roman" w:hAnsi="Times New Roman" w:cs="Times New Roman"/>
          <w:sz w:val="28"/>
          <w:lang w:eastAsia="cs-CZ"/>
        </w:rPr>
        <w:lastRenderedPageBreak/>
        <w:t xml:space="preserve">Background on </w:t>
      </w:r>
      <w:r w:rsidR="00556493">
        <w:rPr>
          <w:rFonts w:ascii="Times New Roman" w:hAnsi="Times New Roman" w:cs="Times New Roman"/>
          <w:sz w:val="28"/>
          <w:lang w:eastAsia="cs-CZ"/>
        </w:rPr>
        <w:t>Armenian</w:t>
      </w:r>
      <w:r w:rsidR="008574D3" w:rsidRPr="002E65C8">
        <w:rPr>
          <w:rFonts w:ascii="Times New Roman" w:hAnsi="Times New Roman" w:cs="Times New Roman"/>
          <w:sz w:val="28"/>
          <w:lang w:eastAsia="cs-CZ"/>
        </w:rPr>
        <w:t xml:space="preserve"> Household Finances</w:t>
      </w:r>
      <w:bookmarkEnd w:id="20"/>
      <w:bookmarkEnd w:id="21"/>
    </w:p>
    <w:bookmarkEnd w:id="22"/>
    <w:bookmarkEnd w:id="23"/>
    <w:p w:rsidR="008574D3" w:rsidRPr="00E06713" w:rsidRDefault="008574D3" w:rsidP="008574D3">
      <w:pPr>
        <w:jc w:val="both"/>
        <w:rPr>
          <w:b/>
          <w:sz w:val="22"/>
          <w:szCs w:val="22"/>
        </w:rPr>
      </w:pPr>
    </w:p>
    <w:p w:rsidR="002807A9" w:rsidRDefault="002807A9" w:rsidP="00C63590">
      <w:pPr>
        <w:pStyle w:val="BodyText"/>
        <w:numPr>
          <w:ilvl w:val="0"/>
          <w:numId w:val="5"/>
        </w:numPr>
        <w:tabs>
          <w:tab w:val="left" w:pos="360"/>
          <w:tab w:val="left" w:pos="630"/>
        </w:tabs>
        <w:suppressAutoHyphens/>
        <w:spacing w:before="0" w:after="0" w:line="240" w:lineRule="auto"/>
        <w:ind w:left="0" w:firstLine="0"/>
        <w:rPr>
          <w:sz w:val="22"/>
          <w:szCs w:val="22"/>
        </w:rPr>
      </w:pPr>
      <w:r w:rsidRPr="002807A9">
        <w:rPr>
          <w:b/>
          <w:sz w:val="22"/>
          <w:szCs w:val="22"/>
        </w:rPr>
        <w:t xml:space="preserve">In recent years, the Armenian authorities have taken several forward-looking steps in improving financial sector regulation and supervision. </w:t>
      </w:r>
      <w:r w:rsidRPr="002807A9">
        <w:rPr>
          <w:sz w:val="22"/>
          <w:szCs w:val="22"/>
        </w:rPr>
        <w:t>Following the sale of the Armenian Stock Exchange and the Central Depository to the NASDAQ OMX Group in the 2007, the Central Bank of Armenia (CBA) undertook the implementation of numerous EU Directives. Of particular importance were the “Lamfalussy” Directives related to transparency of ownership and control. In 2008, the CBA established a Financial System Mediator as a statutory ombuds service to handle disputes between financial institutions and their retail customers. In addition, the CBA established a separate Consumer Protection and Market Conduct Division within the Financial Stability Department and the Division has conducted both offsite and onsite inspection of the business conduct of financial institutions.</w:t>
      </w:r>
    </w:p>
    <w:p w:rsidR="002807A9" w:rsidRDefault="002807A9" w:rsidP="002807A9">
      <w:pPr>
        <w:pStyle w:val="BodyText"/>
        <w:tabs>
          <w:tab w:val="left" w:pos="360"/>
          <w:tab w:val="left" w:pos="630"/>
        </w:tabs>
        <w:suppressAutoHyphens/>
        <w:spacing w:before="0" w:after="0" w:line="240" w:lineRule="auto"/>
        <w:rPr>
          <w:sz w:val="22"/>
          <w:szCs w:val="22"/>
        </w:rPr>
      </w:pPr>
      <w:r>
        <w:rPr>
          <w:sz w:val="22"/>
          <w:szCs w:val="22"/>
        </w:rPr>
        <w:t xml:space="preserve"> </w:t>
      </w:r>
    </w:p>
    <w:p w:rsidR="002807A9" w:rsidRDefault="002807A9" w:rsidP="00C63590">
      <w:pPr>
        <w:pStyle w:val="BodyText"/>
        <w:numPr>
          <w:ilvl w:val="0"/>
          <w:numId w:val="5"/>
        </w:numPr>
        <w:tabs>
          <w:tab w:val="left" w:pos="360"/>
          <w:tab w:val="left" w:pos="630"/>
        </w:tabs>
        <w:suppressAutoHyphens/>
        <w:spacing w:before="0" w:after="0" w:line="240" w:lineRule="auto"/>
        <w:ind w:left="0" w:firstLine="0"/>
        <w:rPr>
          <w:sz w:val="22"/>
          <w:szCs w:val="22"/>
        </w:rPr>
      </w:pPr>
      <w:r w:rsidRPr="002807A9">
        <w:rPr>
          <w:b/>
          <w:sz w:val="22"/>
          <w:szCs w:val="22"/>
        </w:rPr>
        <w:t xml:space="preserve">Nevertheless financial sector </w:t>
      </w:r>
      <w:r w:rsidR="00643797">
        <w:rPr>
          <w:b/>
          <w:sz w:val="22"/>
          <w:szCs w:val="22"/>
        </w:rPr>
        <w:t xml:space="preserve">remains rather shallow and financial </w:t>
      </w:r>
      <w:r w:rsidRPr="002807A9">
        <w:rPr>
          <w:b/>
          <w:sz w:val="22"/>
          <w:szCs w:val="22"/>
        </w:rPr>
        <w:t>inclusion</w:t>
      </w:r>
      <w:r>
        <w:rPr>
          <w:b/>
          <w:sz w:val="22"/>
          <w:szCs w:val="22"/>
        </w:rPr>
        <w:t xml:space="preserve"> </w:t>
      </w:r>
      <w:r w:rsidRPr="002807A9">
        <w:rPr>
          <w:b/>
          <w:sz w:val="22"/>
          <w:szCs w:val="22"/>
        </w:rPr>
        <w:t>remains very low.</w:t>
      </w:r>
      <w:r w:rsidRPr="002807A9">
        <w:rPr>
          <w:sz w:val="22"/>
          <w:szCs w:val="22"/>
        </w:rPr>
        <w:t xml:space="preserve"> Total credit to the private sector remains low at only 28 percent of GDP (2010), with household debt at 12 percent of GDP. </w:t>
      </w:r>
      <w:r w:rsidR="003E011B">
        <w:rPr>
          <w:sz w:val="22"/>
          <w:szCs w:val="22"/>
        </w:rPr>
        <w:t>Based on the Findex data</w:t>
      </w:r>
      <w:r w:rsidR="003E011B">
        <w:rPr>
          <w:rStyle w:val="FootnoteReference"/>
          <w:sz w:val="22"/>
          <w:szCs w:val="22"/>
        </w:rPr>
        <w:footnoteReference w:id="4"/>
      </w:r>
      <w:r w:rsidR="003E011B">
        <w:rPr>
          <w:sz w:val="22"/>
          <w:szCs w:val="22"/>
        </w:rPr>
        <w:t xml:space="preserve">, 32% of adults used a loan originated from their family or friends, while only 19% used a loan originated by a formal financial institution in 2011. </w:t>
      </w:r>
      <w:r w:rsidRPr="002807A9">
        <w:rPr>
          <w:sz w:val="22"/>
          <w:szCs w:val="22"/>
        </w:rPr>
        <w:t xml:space="preserve">Capital market capitalization is under one percent (at just 0.3 percent) of GDP. Total insurance penetration is just 0.24 percent of GDP, although this is likely to increase with the introduction of mandatory motor third party liability (MTPL) in 2010. However even within the banking sector, financial inclusion is weak with an estimated 40 percent or more of the population being excluded from using formal financial system. </w:t>
      </w:r>
      <w:r w:rsidR="003E011B">
        <w:rPr>
          <w:sz w:val="22"/>
          <w:szCs w:val="22"/>
        </w:rPr>
        <w:t xml:space="preserve">The Findex data show that only 17% of adult Armenians had an account with a formal financial institution in 2011. </w:t>
      </w:r>
      <w:r w:rsidRPr="002807A9">
        <w:rPr>
          <w:sz w:val="22"/>
          <w:szCs w:val="22"/>
        </w:rPr>
        <w:t>According to the CBA, individuals represent just 59 out of 100 deposit accounts</w:t>
      </w:r>
      <w:r>
        <w:rPr>
          <w:sz w:val="22"/>
          <w:szCs w:val="22"/>
        </w:rPr>
        <w:t xml:space="preserve"> and a</w:t>
      </w:r>
      <w:r w:rsidRPr="002807A9">
        <w:rPr>
          <w:sz w:val="22"/>
          <w:szCs w:val="22"/>
        </w:rPr>
        <w:t xml:space="preserve">ccording to the Armenian credit bureau (which includes all household loans except those made by pawnshops), </w:t>
      </w:r>
      <w:r>
        <w:rPr>
          <w:sz w:val="22"/>
          <w:szCs w:val="22"/>
        </w:rPr>
        <w:t xml:space="preserve">only </w:t>
      </w:r>
      <w:r w:rsidRPr="002807A9">
        <w:rPr>
          <w:sz w:val="22"/>
          <w:szCs w:val="22"/>
        </w:rPr>
        <w:t xml:space="preserve">about one-third of the population borrows from formal credit providers. </w:t>
      </w:r>
    </w:p>
    <w:p w:rsidR="002807A9" w:rsidRDefault="002807A9" w:rsidP="002807A9">
      <w:pPr>
        <w:pStyle w:val="ListParagraph"/>
        <w:rPr>
          <w:sz w:val="22"/>
          <w:szCs w:val="22"/>
        </w:rPr>
      </w:pPr>
    </w:p>
    <w:p w:rsidR="002807A9" w:rsidRPr="002807A9" w:rsidRDefault="002807A9" w:rsidP="00C63590">
      <w:pPr>
        <w:pStyle w:val="BodyText"/>
        <w:numPr>
          <w:ilvl w:val="0"/>
          <w:numId w:val="5"/>
        </w:numPr>
        <w:tabs>
          <w:tab w:val="left" w:pos="360"/>
          <w:tab w:val="left" w:pos="630"/>
        </w:tabs>
        <w:suppressAutoHyphens/>
        <w:spacing w:before="0" w:after="0" w:line="240" w:lineRule="auto"/>
        <w:ind w:left="0" w:firstLine="0"/>
        <w:rPr>
          <w:sz w:val="22"/>
          <w:szCs w:val="22"/>
        </w:rPr>
      </w:pPr>
      <w:r>
        <w:rPr>
          <w:b/>
          <w:sz w:val="22"/>
          <w:szCs w:val="22"/>
        </w:rPr>
        <w:t>C</w:t>
      </w:r>
      <w:r w:rsidRPr="002807A9">
        <w:rPr>
          <w:b/>
          <w:sz w:val="22"/>
          <w:szCs w:val="22"/>
        </w:rPr>
        <w:t>onsumer confidence in financial institutions</w:t>
      </w:r>
      <w:r>
        <w:rPr>
          <w:b/>
          <w:sz w:val="22"/>
          <w:szCs w:val="22"/>
        </w:rPr>
        <w:t xml:space="preserve"> is also limited. </w:t>
      </w:r>
      <w:r w:rsidRPr="002807A9">
        <w:rPr>
          <w:sz w:val="22"/>
          <w:szCs w:val="22"/>
        </w:rPr>
        <w:t xml:space="preserve">When asked </w:t>
      </w:r>
      <w:r>
        <w:rPr>
          <w:sz w:val="22"/>
          <w:szCs w:val="22"/>
        </w:rPr>
        <w:t xml:space="preserve">in </w:t>
      </w:r>
      <w:r w:rsidRPr="002807A9">
        <w:rPr>
          <w:sz w:val="22"/>
          <w:szCs w:val="22"/>
        </w:rPr>
        <w:t>the 2008 USAID survey why the</w:t>
      </w:r>
      <w:r>
        <w:rPr>
          <w:sz w:val="22"/>
          <w:szCs w:val="22"/>
        </w:rPr>
        <w:t xml:space="preserve"> public</w:t>
      </w:r>
      <w:r w:rsidRPr="002807A9">
        <w:rPr>
          <w:sz w:val="22"/>
          <w:szCs w:val="22"/>
        </w:rPr>
        <w:t xml:space="preserve"> did not have a bank account, 71 percent responded that they lacked “confidence” in the banking sector. Almost half (43 percent) of population cited bad prior experience but only five percent noted difficulties with poor physical access to banks. Similarly a 2008 survey by the International Labour Organization (ILO) found that of households with a family member “in migration,” 30 percent did not trust the banks. </w:t>
      </w:r>
      <w:r>
        <w:rPr>
          <w:sz w:val="22"/>
          <w:szCs w:val="22"/>
        </w:rPr>
        <w:t>W</w:t>
      </w:r>
      <w:r w:rsidRPr="002807A9">
        <w:rPr>
          <w:sz w:val="22"/>
          <w:szCs w:val="22"/>
        </w:rPr>
        <w:t xml:space="preserve">eak understanding of the risks and rewards of financial services may also play a role. In the ILO survey, almost three-quarters of households noted that they were unaware of the availability of savings products or their terms and conditions. </w:t>
      </w:r>
    </w:p>
    <w:p w:rsidR="002807A9" w:rsidRPr="002807A9" w:rsidRDefault="002807A9" w:rsidP="002807A9">
      <w:pPr>
        <w:pStyle w:val="BodyText"/>
        <w:tabs>
          <w:tab w:val="left" w:pos="360"/>
          <w:tab w:val="left" w:pos="630"/>
        </w:tabs>
        <w:suppressAutoHyphens/>
        <w:spacing w:before="0" w:after="0" w:line="240" w:lineRule="auto"/>
        <w:rPr>
          <w:sz w:val="22"/>
          <w:szCs w:val="22"/>
        </w:rPr>
      </w:pPr>
    </w:p>
    <w:p w:rsidR="000E68E4" w:rsidRDefault="008574D3" w:rsidP="00C63590">
      <w:pPr>
        <w:pStyle w:val="BodyText"/>
        <w:numPr>
          <w:ilvl w:val="0"/>
          <w:numId w:val="5"/>
        </w:numPr>
        <w:tabs>
          <w:tab w:val="left" w:pos="360"/>
          <w:tab w:val="left" w:pos="630"/>
        </w:tabs>
        <w:suppressAutoHyphens/>
        <w:spacing w:before="0" w:after="0" w:line="240" w:lineRule="auto"/>
        <w:ind w:left="0" w:firstLine="0"/>
        <w:rPr>
          <w:sz w:val="22"/>
          <w:szCs w:val="22"/>
        </w:rPr>
      </w:pPr>
      <w:r w:rsidRPr="00E06713">
        <w:rPr>
          <w:b/>
          <w:sz w:val="22"/>
          <w:szCs w:val="22"/>
        </w:rPr>
        <w:t xml:space="preserve">The </w:t>
      </w:r>
      <w:r w:rsidR="00EC380D">
        <w:rPr>
          <w:b/>
          <w:sz w:val="22"/>
          <w:szCs w:val="22"/>
        </w:rPr>
        <w:t>retail financial sector in</w:t>
      </w:r>
      <w:r w:rsidRPr="00E06713">
        <w:rPr>
          <w:b/>
          <w:sz w:val="22"/>
          <w:szCs w:val="22"/>
        </w:rPr>
        <w:t xml:space="preserve"> </w:t>
      </w:r>
      <w:r w:rsidR="00EC380D">
        <w:rPr>
          <w:b/>
          <w:sz w:val="22"/>
          <w:szCs w:val="22"/>
        </w:rPr>
        <w:t>Armenia is based on banking services.</w:t>
      </w:r>
      <w:r w:rsidRPr="00E06713">
        <w:rPr>
          <w:sz w:val="22"/>
          <w:szCs w:val="22"/>
        </w:rPr>
        <w:t xml:space="preserve"> </w:t>
      </w:r>
      <w:r w:rsidR="000E68E4">
        <w:rPr>
          <w:sz w:val="22"/>
          <w:szCs w:val="22"/>
        </w:rPr>
        <w:t xml:space="preserve">Since 2009 (after the 2008 crisis) the banks have managed to significantly increase its assets both in real terms and related to the Armenian GDP. </w:t>
      </w:r>
      <w:r w:rsidR="00A66997">
        <w:rPr>
          <w:sz w:val="22"/>
          <w:szCs w:val="22"/>
        </w:rPr>
        <w:t xml:space="preserve">The increase in the volume of loans has been slower but steady. The financial sector must deal with significant dollarization of the economy both in the savings and loan markets. </w:t>
      </w:r>
    </w:p>
    <w:p w:rsidR="0011039F" w:rsidRDefault="0011039F">
      <w:pPr>
        <w:rPr>
          <w:sz w:val="22"/>
          <w:szCs w:val="22"/>
          <w:lang w:eastAsia="cs-CZ"/>
        </w:rPr>
      </w:pPr>
      <w:r>
        <w:rPr>
          <w:sz w:val="22"/>
          <w:szCs w:val="22"/>
        </w:rPr>
        <w:br w:type="page"/>
      </w:r>
    </w:p>
    <w:p w:rsidR="000E68E4" w:rsidRDefault="000E68E4" w:rsidP="000E68E4">
      <w:pPr>
        <w:pStyle w:val="BodyText"/>
        <w:tabs>
          <w:tab w:val="left" w:pos="360"/>
          <w:tab w:val="left" w:pos="630"/>
        </w:tabs>
        <w:suppressAutoHyphens/>
        <w:spacing w:before="0" w:after="0" w:line="240" w:lineRule="auto"/>
        <w:rPr>
          <w:sz w:val="22"/>
          <w:szCs w:val="22"/>
        </w:rPr>
      </w:pPr>
    </w:p>
    <w:p w:rsidR="000E68E4" w:rsidRPr="00DB7CD7" w:rsidRDefault="000E68E4" w:rsidP="000E68E4">
      <w:pPr>
        <w:pStyle w:val="TableofFigures"/>
        <w:rPr>
          <w:i/>
          <w:szCs w:val="22"/>
        </w:rPr>
      </w:pPr>
      <w:bookmarkStart w:id="24" w:name="_Toc318285519"/>
      <w:bookmarkStart w:id="25" w:name="_Toc318303607"/>
      <w:bookmarkStart w:id="26" w:name="_Toc318971031"/>
      <w:r w:rsidRPr="00DB7CD7">
        <w:rPr>
          <w:i/>
          <w:szCs w:val="22"/>
        </w:rPr>
        <w:t>Table 1: Total assets/loans of banking system to GDP</w:t>
      </w:r>
      <w:bookmarkEnd w:id="24"/>
      <w:bookmarkEnd w:id="25"/>
      <w:bookmarkEnd w:id="26"/>
    </w:p>
    <w:tbl>
      <w:tblPr>
        <w:tblW w:w="8808" w:type="dxa"/>
        <w:tblInd w:w="60" w:type="dxa"/>
        <w:tblCellMar>
          <w:left w:w="70" w:type="dxa"/>
          <w:right w:w="70" w:type="dxa"/>
        </w:tblCellMar>
        <w:tblLook w:val="04A0" w:firstRow="1" w:lastRow="0" w:firstColumn="1" w:lastColumn="0" w:noHBand="0" w:noVBand="1"/>
      </w:tblPr>
      <w:tblGrid>
        <w:gridCol w:w="3268"/>
        <w:gridCol w:w="503"/>
        <w:gridCol w:w="503"/>
        <w:gridCol w:w="503"/>
        <w:gridCol w:w="503"/>
        <w:gridCol w:w="504"/>
        <w:gridCol w:w="504"/>
        <w:gridCol w:w="504"/>
        <w:gridCol w:w="504"/>
        <w:gridCol w:w="504"/>
        <w:gridCol w:w="504"/>
        <w:gridCol w:w="504"/>
      </w:tblGrid>
      <w:tr w:rsidR="000E68E4" w:rsidRPr="00E7619B" w:rsidTr="009F0C98">
        <w:trPr>
          <w:trHeight w:val="305"/>
        </w:trPr>
        <w:tc>
          <w:tcPr>
            <w:tcW w:w="3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8E4" w:rsidRPr="00E7619B" w:rsidRDefault="000E68E4" w:rsidP="009F0C98">
            <w:pPr>
              <w:jc w:val="both"/>
              <w:rPr>
                <w:b/>
                <w:bCs/>
                <w:sz w:val="18"/>
                <w:szCs w:val="18"/>
                <w:lang w:eastAsia="cs-CZ"/>
              </w:rPr>
            </w:pPr>
            <w:r w:rsidRPr="00E7619B">
              <w:rPr>
                <w:b/>
                <w:bCs/>
                <w:sz w:val="18"/>
                <w:szCs w:val="18"/>
                <w:lang w:eastAsia="cs-CZ"/>
              </w:rPr>
              <w:t>%</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0E68E4" w:rsidRPr="00E7619B" w:rsidRDefault="000E68E4" w:rsidP="009F0C98">
            <w:pPr>
              <w:jc w:val="both"/>
              <w:rPr>
                <w:b/>
                <w:bCs/>
                <w:sz w:val="18"/>
                <w:szCs w:val="18"/>
                <w:lang w:eastAsia="cs-CZ"/>
              </w:rPr>
            </w:pPr>
            <w:r w:rsidRPr="00E7619B">
              <w:rPr>
                <w:b/>
                <w:bCs/>
                <w:sz w:val="18"/>
                <w:szCs w:val="18"/>
                <w:lang w:eastAsia="cs-CZ"/>
              </w:rPr>
              <w:t>2000</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0E68E4" w:rsidRPr="00E7619B" w:rsidRDefault="000E68E4" w:rsidP="009F0C98">
            <w:pPr>
              <w:jc w:val="both"/>
              <w:rPr>
                <w:b/>
                <w:bCs/>
                <w:sz w:val="18"/>
                <w:szCs w:val="18"/>
                <w:lang w:eastAsia="cs-CZ"/>
              </w:rPr>
            </w:pPr>
            <w:r w:rsidRPr="00E7619B">
              <w:rPr>
                <w:b/>
                <w:bCs/>
                <w:sz w:val="18"/>
                <w:szCs w:val="18"/>
                <w:lang w:eastAsia="cs-CZ"/>
              </w:rPr>
              <w:t>2001</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0E68E4" w:rsidRPr="00E7619B" w:rsidRDefault="000E68E4" w:rsidP="009F0C98">
            <w:pPr>
              <w:jc w:val="both"/>
              <w:rPr>
                <w:b/>
                <w:bCs/>
                <w:sz w:val="18"/>
                <w:szCs w:val="18"/>
                <w:lang w:eastAsia="cs-CZ"/>
              </w:rPr>
            </w:pPr>
            <w:r w:rsidRPr="00E7619B">
              <w:rPr>
                <w:b/>
                <w:bCs/>
                <w:sz w:val="18"/>
                <w:szCs w:val="18"/>
                <w:lang w:eastAsia="cs-CZ"/>
              </w:rPr>
              <w:t>2002</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0E68E4" w:rsidRPr="00E7619B" w:rsidRDefault="000E68E4" w:rsidP="009F0C98">
            <w:pPr>
              <w:jc w:val="both"/>
              <w:rPr>
                <w:b/>
                <w:bCs/>
                <w:sz w:val="18"/>
                <w:szCs w:val="18"/>
                <w:lang w:eastAsia="cs-CZ"/>
              </w:rPr>
            </w:pPr>
            <w:r w:rsidRPr="00E7619B">
              <w:rPr>
                <w:b/>
                <w:bCs/>
                <w:sz w:val="18"/>
                <w:szCs w:val="18"/>
                <w:lang w:eastAsia="cs-CZ"/>
              </w:rPr>
              <w:t>2003</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0E68E4" w:rsidRPr="00E7619B" w:rsidRDefault="000E68E4" w:rsidP="009F0C98">
            <w:pPr>
              <w:jc w:val="both"/>
              <w:rPr>
                <w:b/>
                <w:bCs/>
                <w:sz w:val="18"/>
                <w:szCs w:val="18"/>
                <w:lang w:eastAsia="cs-CZ"/>
              </w:rPr>
            </w:pPr>
            <w:r w:rsidRPr="00E7619B">
              <w:rPr>
                <w:b/>
                <w:bCs/>
                <w:sz w:val="18"/>
                <w:szCs w:val="18"/>
                <w:lang w:eastAsia="cs-CZ"/>
              </w:rPr>
              <w:t>2004</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0E68E4" w:rsidRPr="00E7619B" w:rsidRDefault="000E68E4" w:rsidP="009F0C98">
            <w:pPr>
              <w:jc w:val="both"/>
              <w:rPr>
                <w:b/>
                <w:bCs/>
                <w:sz w:val="18"/>
                <w:szCs w:val="18"/>
                <w:lang w:eastAsia="cs-CZ"/>
              </w:rPr>
            </w:pPr>
            <w:r w:rsidRPr="00E7619B">
              <w:rPr>
                <w:b/>
                <w:bCs/>
                <w:sz w:val="18"/>
                <w:szCs w:val="18"/>
                <w:lang w:eastAsia="cs-CZ"/>
              </w:rPr>
              <w:t>2005</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0E68E4" w:rsidRPr="00E7619B" w:rsidRDefault="000E68E4" w:rsidP="009F0C98">
            <w:pPr>
              <w:jc w:val="both"/>
              <w:rPr>
                <w:b/>
                <w:bCs/>
                <w:sz w:val="18"/>
                <w:szCs w:val="18"/>
                <w:lang w:eastAsia="cs-CZ"/>
              </w:rPr>
            </w:pPr>
            <w:r w:rsidRPr="00E7619B">
              <w:rPr>
                <w:b/>
                <w:bCs/>
                <w:sz w:val="18"/>
                <w:szCs w:val="18"/>
                <w:lang w:eastAsia="cs-CZ"/>
              </w:rPr>
              <w:t>2006</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0E68E4" w:rsidRPr="00E7619B" w:rsidRDefault="000E68E4" w:rsidP="009F0C98">
            <w:pPr>
              <w:jc w:val="both"/>
              <w:rPr>
                <w:b/>
                <w:bCs/>
                <w:sz w:val="18"/>
                <w:szCs w:val="18"/>
                <w:lang w:eastAsia="cs-CZ"/>
              </w:rPr>
            </w:pPr>
            <w:r w:rsidRPr="00E7619B">
              <w:rPr>
                <w:b/>
                <w:bCs/>
                <w:sz w:val="18"/>
                <w:szCs w:val="18"/>
                <w:lang w:eastAsia="cs-CZ"/>
              </w:rPr>
              <w:t>2007</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0E68E4" w:rsidRPr="00E7619B" w:rsidRDefault="000E68E4" w:rsidP="009F0C98">
            <w:pPr>
              <w:jc w:val="both"/>
              <w:rPr>
                <w:b/>
                <w:bCs/>
                <w:sz w:val="18"/>
                <w:szCs w:val="18"/>
                <w:lang w:eastAsia="cs-CZ"/>
              </w:rPr>
            </w:pPr>
            <w:r w:rsidRPr="00E7619B">
              <w:rPr>
                <w:b/>
                <w:bCs/>
                <w:sz w:val="18"/>
                <w:szCs w:val="18"/>
                <w:lang w:eastAsia="cs-CZ"/>
              </w:rPr>
              <w:t>2008</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0E68E4" w:rsidRPr="00E7619B" w:rsidRDefault="000E68E4" w:rsidP="009F0C98">
            <w:pPr>
              <w:jc w:val="both"/>
              <w:rPr>
                <w:b/>
                <w:bCs/>
                <w:sz w:val="18"/>
                <w:szCs w:val="18"/>
                <w:lang w:eastAsia="cs-CZ"/>
              </w:rPr>
            </w:pPr>
            <w:r w:rsidRPr="00E7619B">
              <w:rPr>
                <w:b/>
                <w:bCs/>
                <w:sz w:val="18"/>
                <w:szCs w:val="18"/>
                <w:lang w:eastAsia="cs-CZ"/>
              </w:rPr>
              <w:t>2009</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0E68E4" w:rsidRPr="00E7619B" w:rsidRDefault="000E68E4" w:rsidP="009F0C98">
            <w:pPr>
              <w:jc w:val="both"/>
              <w:rPr>
                <w:b/>
                <w:bCs/>
                <w:sz w:val="18"/>
                <w:szCs w:val="18"/>
                <w:lang w:eastAsia="cs-CZ"/>
              </w:rPr>
            </w:pPr>
            <w:r w:rsidRPr="00E7619B">
              <w:rPr>
                <w:b/>
                <w:bCs/>
                <w:sz w:val="18"/>
                <w:szCs w:val="18"/>
                <w:lang w:eastAsia="cs-CZ"/>
              </w:rPr>
              <w:t>2010</w:t>
            </w:r>
          </w:p>
        </w:tc>
      </w:tr>
      <w:tr w:rsidR="000E68E4" w:rsidRPr="00E7619B" w:rsidTr="009F0C98">
        <w:trPr>
          <w:trHeight w:val="305"/>
        </w:trPr>
        <w:tc>
          <w:tcPr>
            <w:tcW w:w="3268" w:type="dxa"/>
            <w:tcBorders>
              <w:top w:val="nil"/>
              <w:left w:val="single" w:sz="4" w:space="0" w:color="auto"/>
              <w:bottom w:val="single" w:sz="4" w:space="0" w:color="auto"/>
              <w:right w:val="single" w:sz="4" w:space="0" w:color="auto"/>
            </w:tcBorders>
            <w:shd w:val="clear" w:color="auto" w:fill="auto"/>
            <w:vAlign w:val="bottom"/>
            <w:hideMark/>
          </w:tcPr>
          <w:p w:rsidR="000E68E4" w:rsidRPr="00E7619B" w:rsidRDefault="000E68E4" w:rsidP="009F0C98">
            <w:pPr>
              <w:jc w:val="both"/>
              <w:rPr>
                <w:b/>
                <w:bCs/>
                <w:sz w:val="18"/>
                <w:szCs w:val="18"/>
                <w:lang w:eastAsia="cs-CZ"/>
              </w:rPr>
            </w:pPr>
            <w:r w:rsidRPr="00E7619B">
              <w:rPr>
                <w:b/>
                <w:bCs/>
                <w:sz w:val="18"/>
                <w:szCs w:val="18"/>
                <w:lang w:eastAsia="cs-CZ"/>
              </w:rPr>
              <w:t>Total assets of banking system/GDP</w:t>
            </w:r>
          </w:p>
        </w:tc>
        <w:tc>
          <w:tcPr>
            <w:tcW w:w="503" w:type="dxa"/>
            <w:tcBorders>
              <w:top w:val="nil"/>
              <w:left w:val="nil"/>
              <w:bottom w:val="single" w:sz="4" w:space="0" w:color="auto"/>
              <w:right w:val="single" w:sz="4" w:space="0" w:color="auto"/>
            </w:tcBorders>
            <w:shd w:val="clear" w:color="auto" w:fill="auto"/>
            <w:noWrap/>
            <w:vAlign w:val="bottom"/>
            <w:hideMark/>
          </w:tcPr>
          <w:p w:rsidR="000E68E4" w:rsidRPr="00E7619B" w:rsidRDefault="000E68E4" w:rsidP="009F0C98">
            <w:pPr>
              <w:jc w:val="both"/>
              <w:rPr>
                <w:sz w:val="18"/>
                <w:szCs w:val="18"/>
                <w:lang w:eastAsia="cs-CZ"/>
              </w:rPr>
            </w:pPr>
            <w:r w:rsidRPr="00E7619B">
              <w:rPr>
                <w:sz w:val="18"/>
                <w:szCs w:val="18"/>
                <w:lang w:eastAsia="cs-CZ"/>
              </w:rPr>
              <w:t>22,8</w:t>
            </w:r>
          </w:p>
        </w:tc>
        <w:tc>
          <w:tcPr>
            <w:tcW w:w="503" w:type="dxa"/>
            <w:tcBorders>
              <w:top w:val="nil"/>
              <w:left w:val="nil"/>
              <w:bottom w:val="single" w:sz="4" w:space="0" w:color="auto"/>
              <w:right w:val="single" w:sz="4" w:space="0" w:color="auto"/>
            </w:tcBorders>
            <w:shd w:val="clear" w:color="auto" w:fill="auto"/>
            <w:noWrap/>
            <w:vAlign w:val="bottom"/>
            <w:hideMark/>
          </w:tcPr>
          <w:p w:rsidR="000E68E4" w:rsidRPr="00E7619B" w:rsidRDefault="000E68E4" w:rsidP="009F0C98">
            <w:pPr>
              <w:jc w:val="both"/>
              <w:rPr>
                <w:sz w:val="18"/>
                <w:szCs w:val="18"/>
                <w:lang w:eastAsia="cs-CZ"/>
              </w:rPr>
            </w:pPr>
            <w:r w:rsidRPr="00E7619B">
              <w:rPr>
                <w:sz w:val="18"/>
                <w:szCs w:val="18"/>
                <w:lang w:eastAsia="cs-CZ"/>
              </w:rPr>
              <w:t>19,8</w:t>
            </w:r>
          </w:p>
        </w:tc>
        <w:tc>
          <w:tcPr>
            <w:tcW w:w="503" w:type="dxa"/>
            <w:tcBorders>
              <w:top w:val="nil"/>
              <w:left w:val="nil"/>
              <w:bottom w:val="single" w:sz="4" w:space="0" w:color="auto"/>
              <w:right w:val="single" w:sz="4" w:space="0" w:color="auto"/>
            </w:tcBorders>
            <w:shd w:val="clear" w:color="auto" w:fill="auto"/>
            <w:noWrap/>
            <w:vAlign w:val="bottom"/>
            <w:hideMark/>
          </w:tcPr>
          <w:p w:rsidR="000E68E4" w:rsidRPr="00E7619B" w:rsidRDefault="000E68E4" w:rsidP="009F0C98">
            <w:pPr>
              <w:jc w:val="both"/>
              <w:rPr>
                <w:sz w:val="18"/>
                <w:szCs w:val="18"/>
                <w:lang w:eastAsia="cs-CZ"/>
              </w:rPr>
            </w:pPr>
            <w:r w:rsidRPr="00E7619B">
              <w:rPr>
                <w:sz w:val="18"/>
                <w:szCs w:val="18"/>
                <w:lang w:eastAsia="cs-CZ"/>
              </w:rPr>
              <w:t>18,4</w:t>
            </w:r>
          </w:p>
        </w:tc>
        <w:tc>
          <w:tcPr>
            <w:tcW w:w="503" w:type="dxa"/>
            <w:tcBorders>
              <w:top w:val="nil"/>
              <w:left w:val="nil"/>
              <w:bottom w:val="single" w:sz="4" w:space="0" w:color="auto"/>
              <w:right w:val="single" w:sz="4" w:space="0" w:color="auto"/>
            </w:tcBorders>
            <w:shd w:val="clear" w:color="auto" w:fill="auto"/>
            <w:noWrap/>
            <w:vAlign w:val="bottom"/>
            <w:hideMark/>
          </w:tcPr>
          <w:p w:rsidR="000E68E4" w:rsidRPr="00E7619B" w:rsidRDefault="000E68E4" w:rsidP="009F0C98">
            <w:pPr>
              <w:jc w:val="both"/>
              <w:rPr>
                <w:sz w:val="18"/>
                <w:szCs w:val="18"/>
                <w:lang w:eastAsia="cs-CZ"/>
              </w:rPr>
            </w:pPr>
            <w:r w:rsidRPr="00E7619B">
              <w:rPr>
                <w:sz w:val="18"/>
                <w:szCs w:val="18"/>
                <w:lang w:eastAsia="cs-CZ"/>
              </w:rPr>
              <w:t>17,6</w:t>
            </w:r>
          </w:p>
        </w:tc>
        <w:tc>
          <w:tcPr>
            <w:tcW w:w="504" w:type="dxa"/>
            <w:tcBorders>
              <w:top w:val="nil"/>
              <w:left w:val="nil"/>
              <w:bottom w:val="single" w:sz="4" w:space="0" w:color="auto"/>
              <w:right w:val="single" w:sz="4" w:space="0" w:color="auto"/>
            </w:tcBorders>
            <w:shd w:val="clear" w:color="auto" w:fill="auto"/>
            <w:noWrap/>
            <w:vAlign w:val="bottom"/>
            <w:hideMark/>
          </w:tcPr>
          <w:p w:rsidR="000E68E4" w:rsidRPr="00E7619B" w:rsidRDefault="000E68E4" w:rsidP="009F0C98">
            <w:pPr>
              <w:jc w:val="both"/>
              <w:rPr>
                <w:sz w:val="18"/>
                <w:szCs w:val="18"/>
                <w:lang w:eastAsia="cs-CZ"/>
              </w:rPr>
            </w:pPr>
            <w:r w:rsidRPr="00E7619B">
              <w:rPr>
                <w:sz w:val="18"/>
                <w:szCs w:val="18"/>
                <w:lang w:eastAsia="cs-CZ"/>
              </w:rPr>
              <w:t>19,1</w:t>
            </w:r>
          </w:p>
        </w:tc>
        <w:tc>
          <w:tcPr>
            <w:tcW w:w="504" w:type="dxa"/>
            <w:tcBorders>
              <w:top w:val="nil"/>
              <w:left w:val="nil"/>
              <w:bottom w:val="single" w:sz="4" w:space="0" w:color="auto"/>
              <w:right w:val="single" w:sz="4" w:space="0" w:color="auto"/>
            </w:tcBorders>
            <w:shd w:val="clear" w:color="auto" w:fill="auto"/>
            <w:vAlign w:val="bottom"/>
            <w:hideMark/>
          </w:tcPr>
          <w:p w:rsidR="000E68E4" w:rsidRPr="00E7619B" w:rsidRDefault="000E68E4" w:rsidP="009F0C98">
            <w:pPr>
              <w:jc w:val="both"/>
              <w:rPr>
                <w:sz w:val="18"/>
                <w:szCs w:val="18"/>
                <w:lang w:eastAsia="cs-CZ"/>
              </w:rPr>
            </w:pPr>
            <w:r w:rsidRPr="00E7619B">
              <w:rPr>
                <w:sz w:val="18"/>
                <w:szCs w:val="18"/>
                <w:lang w:eastAsia="cs-CZ"/>
              </w:rPr>
              <w:t>19,6</w:t>
            </w:r>
          </w:p>
        </w:tc>
        <w:tc>
          <w:tcPr>
            <w:tcW w:w="504" w:type="dxa"/>
            <w:tcBorders>
              <w:top w:val="nil"/>
              <w:left w:val="nil"/>
              <w:bottom w:val="single" w:sz="4" w:space="0" w:color="auto"/>
              <w:right w:val="single" w:sz="4" w:space="0" w:color="auto"/>
            </w:tcBorders>
            <w:shd w:val="clear" w:color="auto" w:fill="auto"/>
            <w:noWrap/>
            <w:vAlign w:val="bottom"/>
            <w:hideMark/>
          </w:tcPr>
          <w:p w:rsidR="000E68E4" w:rsidRPr="00E7619B" w:rsidRDefault="000E68E4" w:rsidP="009F0C98">
            <w:pPr>
              <w:jc w:val="both"/>
              <w:rPr>
                <w:sz w:val="18"/>
                <w:szCs w:val="18"/>
                <w:lang w:eastAsia="cs-CZ"/>
              </w:rPr>
            </w:pPr>
            <w:r w:rsidRPr="00E7619B">
              <w:rPr>
                <w:sz w:val="18"/>
                <w:szCs w:val="18"/>
                <w:lang w:eastAsia="cs-CZ"/>
              </w:rPr>
              <w:t>19,7</w:t>
            </w:r>
          </w:p>
        </w:tc>
        <w:tc>
          <w:tcPr>
            <w:tcW w:w="504" w:type="dxa"/>
            <w:tcBorders>
              <w:top w:val="nil"/>
              <w:left w:val="nil"/>
              <w:bottom w:val="single" w:sz="4" w:space="0" w:color="auto"/>
              <w:right w:val="single" w:sz="4" w:space="0" w:color="auto"/>
            </w:tcBorders>
            <w:shd w:val="clear" w:color="auto" w:fill="auto"/>
            <w:noWrap/>
            <w:vAlign w:val="bottom"/>
            <w:hideMark/>
          </w:tcPr>
          <w:p w:rsidR="000E68E4" w:rsidRPr="00E7619B" w:rsidRDefault="000E68E4" w:rsidP="009F0C98">
            <w:pPr>
              <w:jc w:val="both"/>
              <w:rPr>
                <w:sz w:val="18"/>
                <w:szCs w:val="18"/>
                <w:lang w:eastAsia="cs-CZ"/>
              </w:rPr>
            </w:pPr>
            <w:r w:rsidRPr="00E7619B">
              <w:rPr>
                <w:sz w:val="18"/>
                <w:szCs w:val="18"/>
                <w:lang w:eastAsia="cs-CZ"/>
              </w:rPr>
              <w:t>24,3</w:t>
            </w:r>
          </w:p>
        </w:tc>
        <w:tc>
          <w:tcPr>
            <w:tcW w:w="504" w:type="dxa"/>
            <w:tcBorders>
              <w:top w:val="nil"/>
              <w:left w:val="nil"/>
              <w:bottom w:val="single" w:sz="4" w:space="0" w:color="auto"/>
              <w:right w:val="single" w:sz="4" w:space="0" w:color="auto"/>
            </w:tcBorders>
            <w:shd w:val="clear" w:color="auto" w:fill="auto"/>
            <w:noWrap/>
            <w:vAlign w:val="bottom"/>
            <w:hideMark/>
          </w:tcPr>
          <w:p w:rsidR="000E68E4" w:rsidRPr="00E7619B" w:rsidRDefault="000E68E4" w:rsidP="009F0C98">
            <w:pPr>
              <w:jc w:val="both"/>
              <w:rPr>
                <w:sz w:val="18"/>
                <w:szCs w:val="18"/>
                <w:lang w:eastAsia="cs-CZ"/>
              </w:rPr>
            </w:pPr>
            <w:r w:rsidRPr="00E7619B">
              <w:rPr>
                <w:sz w:val="18"/>
                <w:szCs w:val="18"/>
                <w:lang w:eastAsia="cs-CZ"/>
              </w:rPr>
              <w:t>28,7</w:t>
            </w:r>
          </w:p>
        </w:tc>
        <w:tc>
          <w:tcPr>
            <w:tcW w:w="504" w:type="dxa"/>
            <w:tcBorders>
              <w:top w:val="nil"/>
              <w:left w:val="nil"/>
              <w:bottom w:val="single" w:sz="4" w:space="0" w:color="auto"/>
              <w:right w:val="single" w:sz="4" w:space="0" w:color="auto"/>
            </w:tcBorders>
            <w:shd w:val="clear" w:color="auto" w:fill="auto"/>
            <w:noWrap/>
            <w:vAlign w:val="bottom"/>
            <w:hideMark/>
          </w:tcPr>
          <w:p w:rsidR="000E68E4" w:rsidRPr="00E7619B" w:rsidRDefault="000E68E4" w:rsidP="009F0C98">
            <w:pPr>
              <w:jc w:val="both"/>
              <w:rPr>
                <w:sz w:val="18"/>
                <w:szCs w:val="18"/>
                <w:lang w:eastAsia="cs-CZ"/>
              </w:rPr>
            </w:pPr>
            <w:r w:rsidRPr="00E7619B">
              <w:rPr>
                <w:sz w:val="18"/>
                <w:szCs w:val="18"/>
                <w:lang w:eastAsia="cs-CZ"/>
              </w:rPr>
              <w:t>42,7</w:t>
            </w:r>
          </w:p>
        </w:tc>
        <w:tc>
          <w:tcPr>
            <w:tcW w:w="504" w:type="dxa"/>
            <w:tcBorders>
              <w:top w:val="nil"/>
              <w:left w:val="nil"/>
              <w:bottom w:val="single" w:sz="4" w:space="0" w:color="auto"/>
              <w:right w:val="single" w:sz="4" w:space="0" w:color="auto"/>
            </w:tcBorders>
            <w:shd w:val="clear" w:color="auto" w:fill="auto"/>
            <w:noWrap/>
            <w:vAlign w:val="bottom"/>
            <w:hideMark/>
          </w:tcPr>
          <w:p w:rsidR="000E68E4" w:rsidRPr="00E7619B" w:rsidRDefault="000E68E4" w:rsidP="009F0C98">
            <w:pPr>
              <w:jc w:val="both"/>
              <w:rPr>
                <w:sz w:val="18"/>
                <w:szCs w:val="18"/>
                <w:lang w:eastAsia="cs-CZ"/>
              </w:rPr>
            </w:pPr>
            <w:r w:rsidRPr="00E7619B">
              <w:rPr>
                <w:sz w:val="18"/>
                <w:szCs w:val="18"/>
                <w:lang w:eastAsia="cs-CZ"/>
              </w:rPr>
              <w:t>44,5</w:t>
            </w:r>
          </w:p>
        </w:tc>
      </w:tr>
      <w:tr w:rsidR="000E68E4" w:rsidRPr="00E7619B" w:rsidTr="009F0C98">
        <w:trPr>
          <w:trHeight w:val="305"/>
        </w:trPr>
        <w:tc>
          <w:tcPr>
            <w:tcW w:w="3268" w:type="dxa"/>
            <w:tcBorders>
              <w:top w:val="nil"/>
              <w:left w:val="single" w:sz="4" w:space="0" w:color="auto"/>
              <w:bottom w:val="single" w:sz="4" w:space="0" w:color="auto"/>
              <w:right w:val="single" w:sz="4" w:space="0" w:color="auto"/>
            </w:tcBorders>
            <w:shd w:val="clear" w:color="auto" w:fill="auto"/>
            <w:vAlign w:val="bottom"/>
            <w:hideMark/>
          </w:tcPr>
          <w:p w:rsidR="000E68E4" w:rsidRPr="00E7619B" w:rsidRDefault="000E68E4" w:rsidP="009F0C98">
            <w:pPr>
              <w:jc w:val="both"/>
              <w:rPr>
                <w:b/>
                <w:bCs/>
                <w:sz w:val="18"/>
                <w:szCs w:val="18"/>
                <w:lang w:eastAsia="cs-CZ"/>
              </w:rPr>
            </w:pPr>
            <w:r w:rsidRPr="00E7619B">
              <w:rPr>
                <w:b/>
                <w:bCs/>
                <w:sz w:val="18"/>
                <w:szCs w:val="18"/>
                <w:lang w:eastAsia="cs-CZ"/>
              </w:rPr>
              <w:t>Total loans of banking system/GDP</w:t>
            </w:r>
          </w:p>
        </w:tc>
        <w:tc>
          <w:tcPr>
            <w:tcW w:w="503" w:type="dxa"/>
            <w:tcBorders>
              <w:top w:val="nil"/>
              <w:left w:val="nil"/>
              <w:bottom w:val="single" w:sz="4" w:space="0" w:color="auto"/>
              <w:right w:val="single" w:sz="4" w:space="0" w:color="auto"/>
            </w:tcBorders>
            <w:shd w:val="clear" w:color="auto" w:fill="auto"/>
            <w:noWrap/>
            <w:vAlign w:val="bottom"/>
            <w:hideMark/>
          </w:tcPr>
          <w:p w:rsidR="000E68E4" w:rsidRPr="00E7619B" w:rsidRDefault="000E68E4" w:rsidP="009F0C98">
            <w:pPr>
              <w:jc w:val="both"/>
              <w:rPr>
                <w:sz w:val="18"/>
                <w:szCs w:val="18"/>
                <w:lang w:eastAsia="cs-CZ"/>
              </w:rPr>
            </w:pPr>
            <w:r w:rsidRPr="00E7619B">
              <w:rPr>
                <w:sz w:val="18"/>
                <w:szCs w:val="18"/>
                <w:lang w:eastAsia="cs-CZ"/>
              </w:rPr>
              <w:t>9,6</w:t>
            </w:r>
          </w:p>
        </w:tc>
        <w:tc>
          <w:tcPr>
            <w:tcW w:w="503" w:type="dxa"/>
            <w:tcBorders>
              <w:top w:val="nil"/>
              <w:left w:val="nil"/>
              <w:bottom w:val="single" w:sz="4" w:space="0" w:color="auto"/>
              <w:right w:val="single" w:sz="4" w:space="0" w:color="auto"/>
            </w:tcBorders>
            <w:shd w:val="clear" w:color="auto" w:fill="auto"/>
            <w:noWrap/>
            <w:vAlign w:val="bottom"/>
            <w:hideMark/>
          </w:tcPr>
          <w:p w:rsidR="000E68E4" w:rsidRPr="00E7619B" w:rsidRDefault="000E68E4" w:rsidP="009F0C98">
            <w:pPr>
              <w:jc w:val="both"/>
              <w:rPr>
                <w:sz w:val="18"/>
                <w:szCs w:val="18"/>
                <w:lang w:eastAsia="cs-CZ"/>
              </w:rPr>
            </w:pPr>
            <w:r w:rsidRPr="00E7619B">
              <w:rPr>
                <w:sz w:val="18"/>
                <w:szCs w:val="18"/>
                <w:lang w:eastAsia="cs-CZ"/>
              </w:rPr>
              <w:t>7,1</w:t>
            </w:r>
          </w:p>
        </w:tc>
        <w:tc>
          <w:tcPr>
            <w:tcW w:w="503" w:type="dxa"/>
            <w:tcBorders>
              <w:top w:val="nil"/>
              <w:left w:val="nil"/>
              <w:bottom w:val="single" w:sz="4" w:space="0" w:color="auto"/>
              <w:right w:val="single" w:sz="4" w:space="0" w:color="auto"/>
            </w:tcBorders>
            <w:shd w:val="clear" w:color="auto" w:fill="auto"/>
            <w:noWrap/>
            <w:vAlign w:val="bottom"/>
            <w:hideMark/>
          </w:tcPr>
          <w:p w:rsidR="000E68E4" w:rsidRPr="00E7619B" w:rsidRDefault="000E68E4" w:rsidP="009F0C98">
            <w:pPr>
              <w:jc w:val="both"/>
              <w:rPr>
                <w:sz w:val="18"/>
                <w:szCs w:val="18"/>
                <w:lang w:eastAsia="cs-CZ"/>
              </w:rPr>
            </w:pPr>
            <w:r w:rsidRPr="00E7619B">
              <w:rPr>
                <w:sz w:val="18"/>
                <w:szCs w:val="18"/>
                <w:lang w:eastAsia="cs-CZ"/>
              </w:rPr>
              <w:t>6,7</w:t>
            </w:r>
          </w:p>
        </w:tc>
        <w:tc>
          <w:tcPr>
            <w:tcW w:w="503" w:type="dxa"/>
            <w:tcBorders>
              <w:top w:val="nil"/>
              <w:left w:val="nil"/>
              <w:bottom w:val="single" w:sz="4" w:space="0" w:color="auto"/>
              <w:right w:val="single" w:sz="4" w:space="0" w:color="auto"/>
            </w:tcBorders>
            <w:shd w:val="clear" w:color="auto" w:fill="auto"/>
            <w:noWrap/>
            <w:vAlign w:val="bottom"/>
            <w:hideMark/>
          </w:tcPr>
          <w:p w:rsidR="000E68E4" w:rsidRPr="00E7619B" w:rsidRDefault="000E68E4" w:rsidP="009F0C98">
            <w:pPr>
              <w:jc w:val="both"/>
              <w:rPr>
                <w:sz w:val="18"/>
                <w:szCs w:val="18"/>
                <w:lang w:eastAsia="cs-CZ"/>
              </w:rPr>
            </w:pPr>
            <w:r w:rsidRPr="00E7619B">
              <w:rPr>
                <w:sz w:val="18"/>
                <w:szCs w:val="18"/>
                <w:lang w:eastAsia="cs-CZ"/>
              </w:rPr>
              <w:t>6,6</w:t>
            </w:r>
          </w:p>
        </w:tc>
        <w:tc>
          <w:tcPr>
            <w:tcW w:w="504" w:type="dxa"/>
            <w:tcBorders>
              <w:top w:val="nil"/>
              <w:left w:val="nil"/>
              <w:bottom w:val="single" w:sz="4" w:space="0" w:color="auto"/>
              <w:right w:val="single" w:sz="4" w:space="0" w:color="auto"/>
            </w:tcBorders>
            <w:shd w:val="clear" w:color="auto" w:fill="auto"/>
            <w:noWrap/>
            <w:vAlign w:val="bottom"/>
            <w:hideMark/>
          </w:tcPr>
          <w:p w:rsidR="000E68E4" w:rsidRPr="00E7619B" w:rsidRDefault="000E68E4" w:rsidP="009F0C98">
            <w:pPr>
              <w:jc w:val="both"/>
              <w:rPr>
                <w:sz w:val="18"/>
                <w:szCs w:val="18"/>
                <w:lang w:eastAsia="cs-CZ"/>
              </w:rPr>
            </w:pPr>
            <w:r w:rsidRPr="00E7619B">
              <w:rPr>
                <w:sz w:val="18"/>
                <w:szCs w:val="18"/>
                <w:lang w:eastAsia="cs-CZ"/>
              </w:rPr>
              <w:t>7,5</w:t>
            </w:r>
          </w:p>
        </w:tc>
        <w:tc>
          <w:tcPr>
            <w:tcW w:w="504" w:type="dxa"/>
            <w:tcBorders>
              <w:top w:val="nil"/>
              <w:left w:val="nil"/>
              <w:bottom w:val="single" w:sz="4" w:space="0" w:color="auto"/>
              <w:right w:val="single" w:sz="4" w:space="0" w:color="auto"/>
            </w:tcBorders>
            <w:shd w:val="clear" w:color="auto" w:fill="auto"/>
            <w:noWrap/>
            <w:vAlign w:val="bottom"/>
            <w:hideMark/>
          </w:tcPr>
          <w:p w:rsidR="000E68E4" w:rsidRPr="00E7619B" w:rsidRDefault="000E68E4" w:rsidP="009F0C98">
            <w:pPr>
              <w:jc w:val="both"/>
              <w:rPr>
                <w:sz w:val="18"/>
                <w:szCs w:val="18"/>
                <w:lang w:eastAsia="cs-CZ"/>
              </w:rPr>
            </w:pPr>
            <w:r w:rsidRPr="00E7619B">
              <w:rPr>
                <w:sz w:val="18"/>
                <w:szCs w:val="18"/>
                <w:lang w:eastAsia="cs-CZ"/>
              </w:rPr>
              <w:t>8,7</w:t>
            </w:r>
          </w:p>
        </w:tc>
        <w:tc>
          <w:tcPr>
            <w:tcW w:w="504" w:type="dxa"/>
            <w:tcBorders>
              <w:top w:val="nil"/>
              <w:left w:val="nil"/>
              <w:bottom w:val="single" w:sz="4" w:space="0" w:color="auto"/>
              <w:right w:val="single" w:sz="4" w:space="0" w:color="auto"/>
            </w:tcBorders>
            <w:shd w:val="clear" w:color="auto" w:fill="auto"/>
            <w:noWrap/>
            <w:vAlign w:val="bottom"/>
            <w:hideMark/>
          </w:tcPr>
          <w:p w:rsidR="000E68E4" w:rsidRPr="00E7619B" w:rsidRDefault="000E68E4" w:rsidP="009F0C98">
            <w:pPr>
              <w:jc w:val="both"/>
              <w:rPr>
                <w:sz w:val="18"/>
                <w:szCs w:val="18"/>
                <w:lang w:eastAsia="cs-CZ"/>
              </w:rPr>
            </w:pPr>
            <w:r w:rsidRPr="00E7619B">
              <w:rPr>
                <w:sz w:val="18"/>
                <w:szCs w:val="18"/>
                <w:lang w:eastAsia="cs-CZ"/>
              </w:rPr>
              <w:t>9,2</w:t>
            </w:r>
          </w:p>
        </w:tc>
        <w:tc>
          <w:tcPr>
            <w:tcW w:w="504" w:type="dxa"/>
            <w:tcBorders>
              <w:top w:val="nil"/>
              <w:left w:val="nil"/>
              <w:bottom w:val="single" w:sz="4" w:space="0" w:color="auto"/>
              <w:right w:val="single" w:sz="4" w:space="0" w:color="auto"/>
            </w:tcBorders>
            <w:shd w:val="clear" w:color="auto" w:fill="auto"/>
            <w:noWrap/>
            <w:vAlign w:val="bottom"/>
            <w:hideMark/>
          </w:tcPr>
          <w:p w:rsidR="000E68E4" w:rsidRPr="00E7619B" w:rsidRDefault="000E68E4" w:rsidP="009F0C98">
            <w:pPr>
              <w:jc w:val="both"/>
              <w:rPr>
                <w:sz w:val="18"/>
                <w:szCs w:val="18"/>
                <w:lang w:eastAsia="cs-CZ"/>
              </w:rPr>
            </w:pPr>
            <w:r w:rsidRPr="00E7619B">
              <w:rPr>
                <w:sz w:val="18"/>
                <w:szCs w:val="18"/>
                <w:lang w:eastAsia="cs-CZ"/>
              </w:rPr>
              <w:t>13,5</w:t>
            </w:r>
          </w:p>
        </w:tc>
        <w:tc>
          <w:tcPr>
            <w:tcW w:w="504" w:type="dxa"/>
            <w:tcBorders>
              <w:top w:val="nil"/>
              <w:left w:val="nil"/>
              <w:bottom w:val="single" w:sz="4" w:space="0" w:color="auto"/>
              <w:right w:val="single" w:sz="4" w:space="0" w:color="auto"/>
            </w:tcBorders>
            <w:shd w:val="clear" w:color="auto" w:fill="auto"/>
            <w:noWrap/>
            <w:vAlign w:val="bottom"/>
            <w:hideMark/>
          </w:tcPr>
          <w:p w:rsidR="000E68E4" w:rsidRPr="00E7619B" w:rsidRDefault="000E68E4" w:rsidP="009F0C98">
            <w:pPr>
              <w:jc w:val="both"/>
              <w:rPr>
                <w:sz w:val="18"/>
                <w:szCs w:val="18"/>
                <w:lang w:eastAsia="cs-CZ"/>
              </w:rPr>
            </w:pPr>
            <w:r w:rsidRPr="00E7619B">
              <w:rPr>
                <w:sz w:val="18"/>
                <w:szCs w:val="18"/>
                <w:lang w:eastAsia="cs-CZ"/>
              </w:rPr>
              <w:t>17,8</w:t>
            </w:r>
          </w:p>
        </w:tc>
        <w:tc>
          <w:tcPr>
            <w:tcW w:w="504" w:type="dxa"/>
            <w:tcBorders>
              <w:top w:val="nil"/>
              <w:left w:val="nil"/>
              <w:bottom w:val="single" w:sz="4" w:space="0" w:color="auto"/>
              <w:right w:val="single" w:sz="4" w:space="0" w:color="auto"/>
            </w:tcBorders>
            <w:shd w:val="clear" w:color="auto" w:fill="auto"/>
            <w:noWrap/>
            <w:vAlign w:val="bottom"/>
            <w:hideMark/>
          </w:tcPr>
          <w:p w:rsidR="000E68E4" w:rsidRPr="00E7619B" w:rsidRDefault="000E68E4" w:rsidP="009F0C98">
            <w:pPr>
              <w:jc w:val="both"/>
              <w:rPr>
                <w:sz w:val="18"/>
                <w:szCs w:val="18"/>
                <w:lang w:eastAsia="cs-CZ"/>
              </w:rPr>
            </w:pPr>
            <w:r w:rsidRPr="00E7619B">
              <w:rPr>
                <w:sz w:val="18"/>
                <w:szCs w:val="18"/>
                <w:lang w:eastAsia="cs-CZ"/>
              </w:rPr>
              <w:t>23,7</w:t>
            </w:r>
          </w:p>
        </w:tc>
        <w:tc>
          <w:tcPr>
            <w:tcW w:w="504" w:type="dxa"/>
            <w:tcBorders>
              <w:top w:val="nil"/>
              <w:left w:val="nil"/>
              <w:bottom w:val="single" w:sz="4" w:space="0" w:color="auto"/>
              <w:right w:val="single" w:sz="4" w:space="0" w:color="auto"/>
            </w:tcBorders>
            <w:shd w:val="clear" w:color="auto" w:fill="auto"/>
            <w:noWrap/>
            <w:vAlign w:val="bottom"/>
            <w:hideMark/>
          </w:tcPr>
          <w:p w:rsidR="000E68E4" w:rsidRPr="00E7619B" w:rsidRDefault="000E68E4" w:rsidP="009F0C98">
            <w:pPr>
              <w:jc w:val="both"/>
              <w:rPr>
                <w:sz w:val="18"/>
                <w:szCs w:val="18"/>
                <w:lang w:eastAsia="cs-CZ"/>
              </w:rPr>
            </w:pPr>
            <w:r w:rsidRPr="00E7619B">
              <w:rPr>
                <w:sz w:val="18"/>
                <w:szCs w:val="18"/>
                <w:lang w:eastAsia="cs-CZ"/>
              </w:rPr>
              <w:t>27,1</w:t>
            </w:r>
          </w:p>
        </w:tc>
      </w:tr>
    </w:tbl>
    <w:p w:rsidR="000E68E4" w:rsidRPr="00A07E69" w:rsidRDefault="000E68E4" w:rsidP="000E68E4">
      <w:pPr>
        <w:jc w:val="both"/>
        <w:rPr>
          <w:i/>
          <w:sz w:val="18"/>
          <w:szCs w:val="18"/>
        </w:rPr>
      </w:pPr>
      <w:r w:rsidRPr="00A07E69">
        <w:rPr>
          <w:i/>
          <w:sz w:val="18"/>
          <w:szCs w:val="18"/>
        </w:rPr>
        <w:t>Source: CBA</w:t>
      </w:r>
    </w:p>
    <w:p w:rsidR="000E68E4" w:rsidRDefault="000E68E4" w:rsidP="000E68E4">
      <w:pPr>
        <w:pStyle w:val="BodyText"/>
        <w:tabs>
          <w:tab w:val="left" w:pos="360"/>
          <w:tab w:val="left" w:pos="630"/>
        </w:tabs>
        <w:suppressAutoHyphens/>
        <w:spacing w:before="0" w:after="0" w:line="240" w:lineRule="auto"/>
        <w:rPr>
          <w:sz w:val="22"/>
          <w:szCs w:val="22"/>
        </w:rPr>
      </w:pPr>
    </w:p>
    <w:p w:rsidR="0011039F" w:rsidRDefault="0011039F" w:rsidP="000E68E4">
      <w:pPr>
        <w:pStyle w:val="BodyText"/>
        <w:tabs>
          <w:tab w:val="left" w:pos="360"/>
          <w:tab w:val="left" w:pos="630"/>
        </w:tabs>
        <w:suppressAutoHyphens/>
        <w:spacing w:before="0" w:after="0" w:line="240" w:lineRule="auto"/>
        <w:rPr>
          <w:sz w:val="22"/>
          <w:szCs w:val="22"/>
        </w:rPr>
      </w:pPr>
    </w:p>
    <w:p w:rsidR="008574D3" w:rsidRPr="00E06713" w:rsidRDefault="00EC380D" w:rsidP="00C63590">
      <w:pPr>
        <w:pStyle w:val="BodyText"/>
        <w:numPr>
          <w:ilvl w:val="0"/>
          <w:numId w:val="5"/>
        </w:numPr>
        <w:tabs>
          <w:tab w:val="left" w:pos="360"/>
          <w:tab w:val="left" w:pos="630"/>
        </w:tabs>
        <w:suppressAutoHyphens/>
        <w:spacing w:before="0" w:after="0" w:line="240" w:lineRule="auto"/>
        <w:ind w:left="0" w:firstLine="0"/>
        <w:rPr>
          <w:sz w:val="22"/>
          <w:szCs w:val="22"/>
        </w:rPr>
      </w:pPr>
      <w:r w:rsidRPr="000E68E4">
        <w:rPr>
          <w:b/>
          <w:sz w:val="22"/>
          <w:szCs w:val="22"/>
        </w:rPr>
        <w:t>Households use banks as the main savings institution.</w:t>
      </w:r>
      <w:r w:rsidRPr="00EC380D">
        <w:rPr>
          <w:sz w:val="22"/>
          <w:szCs w:val="22"/>
        </w:rPr>
        <w:t xml:space="preserve"> With regard to demand deposits, households own 32.5 % of AMD-denominated demand deposits and 47.9 % of FX-denominated demand deposits. </w:t>
      </w:r>
      <w:r>
        <w:rPr>
          <w:sz w:val="22"/>
          <w:szCs w:val="22"/>
        </w:rPr>
        <w:t>As for the</w:t>
      </w:r>
      <w:r w:rsidRPr="00EC380D">
        <w:rPr>
          <w:sz w:val="22"/>
          <w:szCs w:val="22"/>
        </w:rPr>
        <w:t xml:space="preserve"> time deposits</w:t>
      </w:r>
      <w:r>
        <w:rPr>
          <w:sz w:val="22"/>
          <w:szCs w:val="22"/>
        </w:rPr>
        <w:t>,</w:t>
      </w:r>
      <w:r w:rsidRPr="00EC380D">
        <w:rPr>
          <w:sz w:val="22"/>
          <w:szCs w:val="22"/>
        </w:rPr>
        <w:t xml:space="preserve"> households own 65.2 % of AMD-denominated time deposits and a full 83 % of FX-denominated time deposits. Among various foreign currencies, the US dollar is the main savings currency. The denomination of household savings in US dollars not only brings foreign currency risk to the retail savers but also significantly reduces Armenian banks' local currency sources for lending purposes.  </w:t>
      </w:r>
    </w:p>
    <w:p w:rsidR="008574D3" w:rsidRPr="00AB54E4" w:rsidRDefault="008574D3" w:rsidP="00AB54E4">
      <w:pPr>
        <w:pStyle w:val="BodyText"/>
        <w:tabs>
          <w:tab w:val="left" w:pos="360"/>
          <w:tab w:val="left" w:pos="630"/>
          <w:tab w:val="left" w:pos="5760"/>
        </w:tabs>
        <w:suppressAutoHyphens/>
        <w:spacing w:before="0" w:after="0" w:line="240" w:lineRule="auto"/>
        <w:rPr>
          <w:b/>
          <w:sz w:val="22"/>
          <w:szCs w:val="22"/>
        </w:rPr>
      </w:pPr>
    </w:p>
    <w:p w:rsidR="005D2F2F" w:rsidRPr="00A66997" w:rsidRDefault="00A66997" w:rsidP="005D2F2F">
      <w:pPr>
        <w:pStyle w:val="BodyText"/>
        <w:numPr>
          <w:ilvl w:val="0"/>
          <w:numId w:val="5"/>
        </w:numPr>
        <w:tabs>
          <w:tab w:val="left" w:pos="360"/>
          <w:tab w:val="left" w:pos="630"/>
        </w:tabs>
        <w:suppressAutoHyphens/>
        <w:spacing w:before="0" w:after="0" w:line="240" w:lineRule="auto"/>
        <w:ind w:left="0" w:firstLine="0"/>
        <w:rPr>
          <w:sz w:val="22"/>
          <w:szCs w:val="22"/>
        </w:rPr>
      </w:pPr>
      <w:r w:rsidRPr="00A66997">
        <w:rPr>
          <w:b/>
          <w:sz w:val="22"/>
          <w:szCs w:val="22"/>
        </w:rPr>
        <w:t>Consumer lending is expanding in all segments of the market with borrowers bearing significant currency risks.</w:t>
      </w:r>
      <w:r>
        <w:rPr>
          <w:sz w:val="22"/>
          <w:szCs w:val="22"/>
        </w:rPr>
        <w:t xml:space="preserve"> </w:t>
      </w:r>
      <w:r w:rsidRPr="00A66997">
        <w:rPr>
          <w:sz w:val="22"/>
          <w:szCs w:val="22"/>
        </w:rPr>
        <w:t xml:space="preserve">More than 62 % of all loans at the end of 2011 were extended in foreign currencies (see Table 2). The lack of AMD deposits and the lack of currency swap products mean that banks provide as much lending in US dollars as possible, reserving their AMD deposits for loans that must be extended in AMD (consumer credit) and that bring the highest return. All other loans are extended in US dollars with the consumer bearing all currency risks. While the ratio of AMD vs. FX-denominated loans to households is 2:1, almost 80% of loans to legal entities are FX-denominated. As for the household lending, one third of FX-denominated loans belongs to mortgages. </w:t>
      </w:r>
    </w:p>
    <w:p w:rsidR="005D2F2F" w:rsidRPr="00E06713" w:rsidRDefault="005D2F2F" w:rsidP="005D2F2F">
      <w:pPr>
        <w:pStyle w:val="BodyText"/>
        <w:tabs>
          <w:tab w:val="left" w:pos="360"/>
          <w:tab w:val="left" w:pos="630"/>
        </w:tabs>
        <w:suppressAutoHyphens/>
        <w:spacing w:before="0" w:after="0" w:line="240" w:lineRule="auto"/>
        <w:rPr>
          <w:sz w:val="22"/>
          <w:szCs w:val="22"/>
        </w:rPr>
      </w:pPr>
    </w:p>
    <w:p w:rsidR="00A66997" w:rsidRPr="00DB7CD7" w:rsidRDefault="00A66997" w:rsidP="00A66997">
      <w:pPr>
        <w:pStyle w:val="TableofFigures"/>
        <w:rPr>
          <w:i/>
          <w:szCs w:val="22"/>
        </w:rPr>
      </w:pPr>
      <w:bookmarkStart w:id="27" w:name="_Toc318285520"/>
      <w:bookmarkStart w:id="28" w:name="_Toc318303608"/>
      <w:bookmarkStart w:id="29" w:name="_Toc318971032"/>
      <w:r w:rsidRPr="00DB7CD7">
        <w:rPr>
          <w:i/>
          <w:szCs w:val="22"/>
        </w:rPr>
        <w:t>Table 2: Banking system loan structure</w:t>
      </w:r>
      <w:bookmarkEnd w:id="27"/>
      <w:bookmarkEnd w:id="28"/>
      <w:bookmarkEnd w:id="29"/>
    </w:p>
    <w:tbl>
      <w:tblPr>
        <w:tblW w:w="8955" w:type="dxa"/>
        <w:tblInd w:w="60" w:type="dxa"/>
        <w:tblCellMar>
          <w:left w:w="70" w:type="dxa"/>
          <w:right w:w="70" w:type="dxa"/>
        </w:tblCellMar>
        <w:tblLook w:val="04A0" w:firstRow="1" w:lastRow="0" w:firstColumn="1" w:lastColumn="0" w:noHBand="0" w:noVBand="1"/>
      </w:tblPr>
      <w:tblGrid>
        <w:gridCol w:w="2612"/>
        <w:gridCol w:w="1332"/>
        <w:gridCol w:w="995"/>
        <w:gridCol w:w="1421"/>
        <w:gridCol w:w="942"/>
        <w:gridCol w:w="1653"/>
      </w:tblGrid>
      <w:tr w:rsidR="00A66997" w:rsidRPr="00E7619B" w:rsidTr="009F0C98">
        <w:trPr>
          <w:trHeight w:val="280"/>
        </w:trPr>
        <w:tc>
          <w:tcPr>
            <w:tcW w:w="2612"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A66997" w:rsidRPr="00E7619B" w:rsidRDefault="00A66997" w:rsidP="009F0C98">
            <w:pPr>
              <w:jc w:val="both"/>
              <w:rPr>
                <w:b/>
                <w:bCs/>
                <w:color w:val="000000"/>
                <w:sz w:val="18"/>
                <w:szCs w:val="18"/>
                <w:lang w:eastAsia="cs-CZ"/>
              </w:rPr>
            </w:pPr>
            <w:r w:rsidRPr="00E7619B">
              <w:rPr>
                <w:b/>
                <w:bCs/>
                <w:color w:val="000000"/>
                <w:sz w:val="18"/>
                <w:szCs w:val="18"/>
                <w:lang w:eastAsia="cs-CZ"/>
              </w:rPr>
              <w:t>31.12.2011</w:t>
            </w:r>
          </w:p>
        </w:tc>
        <w:tc>
          <w:tcPr>
            <w:tcW w:w="1332" w:type="dxa"/>
            <w:tcBorders>
              <w:top w:val="single" w:sz="8" w:space="0" w:color="auto"/>
              <w:left w:val="nil"/>
              <w:bottom w:val="single" w:sz="4" w:space="0" w:color="auto"/>
              <w:right w:val="single" w:sz="4" w:space="0" w:color="auto"/>
            </w:tcBorders>
            <w:shd w:val="clear" w:color="000000" w:fill="FFFFFF"/>
            <w:noWrap/>
            <w:vAlign w:val="center"/>
            <w:hideMark/>
          </w:tcPr>
          <w:p w:rsidR="00A66997" w:rsidRPr="00E7619B" w:rsidRDefault="00A66997" w:rsidP="009F0C98">
            <w:pPr>
              <w:jc w:val="both"/>
              <w:rPr>
                <w:b/>
                <w:bCs/>
                <w:color w:val="000000"/>
                <w:sz w:val="18"/>
                <w:szCs w:val="18"/>
                <w:lang w:eastAsia="cs-CZ"/>
              </w:rPr>
            </w:pPr>
            <w:r w:rsidRPr="00E7619B">
              <w:rPr>
                <w:b/>
                <w:bCs/>
                <w:color w:val="000000"/>
                <w:sz w:val="18"/>
                <w:szCs w:val="18"/>
                <w:lang w:eastAsia="cs-CZ"/>
              </w:rPr>
              <w:t>AMD '000</w:t>
            </w:r>
          </w:p>
        </w:tc>
        <w:tc>
          <w:tcPr>
            <w:tcW w:w="995" w:type="dxa"/>
            <w:tcBorders>
              <w:top w:val="single" w:sz="8" w:space="0" w:color="auto"/>
              <w:left w:val="nil"/>
              <w:bottom w:val="single" w:sz="4" w:space="0" w:color="auto"/>
              <w:right w:val="single" w:sz="4" w:space="0" w:color="auto"/>
            </w:tcBorders>
            <w:shd w:val="clear" w:color="000000" w:fill="FFFFFF"/>
            <w:noWrap/>
            <w:vAlign w:val="bottom"/>
            <w:hideMark/>
          </w:tcPr>
          <w:p w:rsidR="00A66997" w:rsidRPr="00E7619B" w:rsidRDefault="00A66997" w:rsidP="009F0C98">
            <w:pPr>
              <w:jc w:val="both"/>
              <w:rPr>
                <w:b/>
                <w:bCs/>
                <w:color w:val="000000"/>
                <w:sz w:val="18"/>
                <w:szCs w:val="18"/>
                <w:lang w:eastAsia="cs-CZ"/>
              </w:rPr>
            </w:pPr>
            <w:r w:rsidRPr="00E7619B">
              <w:rPr>
                <w:b/>
                <w:bCs/>
                <w:color w:val="000000"/>
                <w:sz w:val="18"/>
                <w:szCs w:val="18"/>
                <w:lang w:eastAsia="cs-CZ"/>
              </w:rPr>
              <w:t>Share</w:t>
            </w:r>
          </w:p>
        </w:tc>
        <w:tc>
          <w:tcPr>
            <w:tcW w:w="1421" w:type="dxa"/>
            <w:tcBorders>
              <w:top w:val="single" w:sz="8" w:space="0" w:color="auto"/>
              <w:left w:val="nil"/>
              <w:bottom w:val="single" w:sz="4" w:space="0" w:color="auto"/>
              <w:right w:val="single" w:sz="4" w:space="0" w:color="auto"/>
            </w:tcBorders>
            <w:shd w:val="clear" w:color="000000" w:fill="FFFFFF"/>
            <w:noWrap/>
            <w:vAlign w:val="center"/>
            <w:hideMark/>
          </w:tcPr>
          <w:p w:rsidR="00A66997" w:rsidRPr="00E7619B" w:rsidRDefault="00A66997" w:rsidP="009F0C98">
            <w:pPr>
              <w:jc w:val="both"/>
              <w:rPr>
                <w:b/>
                <w:bCs/>
                <w:color w:val="000000"/>
                <w:sz w:val="18"/>
                <w:szCs w:val="18"/>
                <w:lang w:eastAsia="cs-CZ"/>
              </w:rPr>
            </w:pPr>
            <w:r w:rsidRPr="00E7619B">
              <w:rPr>
                <w:b/>
                <w:bCs/>
                <w:color w:val="000000"/>
                <w:sz w:val="18"/>
                <w:szCs w:val="18"/>
                <w:lang w:eastAsia="cs-CZ"/>
              </w:rPr>
              <w:t>FX '000</w:t>
            </w:r>
          </w:p>
        </w:tc>
        <w:tc>
          <w:tcPr>
            <w:tcW w:w="942" w:type="dxa"/>
            <w:tcBorders>
              <w:top w:val="single" w:sz="8" w:space="0" w:color="auto"/>
              <w:left w:val="nil"/>
              <w:bottom w:val="single" w:sz="4" w:space="0" w:color="auto"/>
              <w:right w:val="single" w:sz="4" w:space="0" w:color="auto"/>
            </w:tcBorders>
            <w:shd w:val="clear" w:color="000000" w:fill="FFFFFF"/>
            <w:noWrap/>
            <w:vAlign w:val="bottom"/>
            <w:hideMark/>
          </w:tcPr>
          <w:p w:rsidR="00A66997" w:rsidRPr="00E7619B" w:rsidRDefault="00A66997" w:rsidP="009F0C98">
            <w:pPr>
              <w:jc w:val="both"/>
              <w:rPr>
                <w:b/>
                <w:bCs/>
                <w:color w:val="000000"/>
                <w:sz w:val="18"/>
                <w:szCs w:val="18"/>
                <w:lang w:eastAsia="cs-CZ"/>
              </w:rPr>
            </w:pPr>
            <w:r w:rsidRPr="00E7619B">
              <w:rPr>
                <w:b/>
                <w:bCs/>
                <w:color w:val="000000"/>
                <w:sz w:val="18"/>
                <w:szCs w:val="18"/>
                <w:lang w:eastAsia="cs-CZ"/>
              </w:rPr>
              <w:t>Share</w:t>
            </w:r>
          </w:p>
        </w:tc>
        <w:tc>
          <w:tcPr>
            <w:tcW w:w="1653" w:type="dxa"/>
            <w:tcBorders>
              <w:top w:val="single" w:sz="8" w:space="0" w:color="auto"/>
              <w:left w:val="nil"/>
              <w:bottom w:val="single" w:sz="4" w:space="0" w:color="auto"/>
              <w:right w:val="single" w:sz="8" w:space="0" w:color="auto"/>
            </w:tcBorders>
            <w:shd w:val="clear" w:color="000000" w:fill="FFFFFF"/>
            <w:noWrap/>
            <w:vAlign w:val="bottom"/>
            <w:hideMark/>
          </w:tcPr>
          <w:p w:rsidR="00A66997" w:rsidRPr="00E7619B" w:rsidRDefault="00A66997" w:rsidP="009F0C98">
            <w:pPr>
              <w:jc w:val="both"/>
              <w:rPr>
                <w:b/>
                <w:bCs/>
                <w:color w:val="000000"/>
                <w:sz w:val="18"/>
                <w:szCs w:val="18"/>
                <w:lang w:eastAsia="cs-CZ"/>
              </w:rPr>
            </w:pPr>
            <w:r w:rsidRPr="00E7619B">
              <w:rPr>
                <w:b/>
                <w:bCs/>
                <w:color w:val="000000"/>
                <w:sz w:val="18"/>
                <w:szCs w:val="18"/>
                <w:lang w:eastAsia="cs-CZ"/>
              </w:rPr>
              <w:t>Total '000</w:t>
            </w:r>
          </w:p>
        </w:tc>
      </w:tr>
      <w:tr w:rsidR="00A66997" w:rsidRPr="00E7619B" w:rsidTr="009F0C98">
        <w:trPr>
          <w:trHeight w:val="280"/>
        </w:trPr>
        <w:tc>
          <w:tcPr>
            <w:tcW w:w="2612" w:type="dxa"/>
            <w:tcBorders>
              <w:top w:val="nil"/>
              <w:left w:val="single" w:sz="8" w:space="0" w:color="auto"/>
              <w:bottom w:val="single" w:sz="4" w:space="0" w:color="auto"/>
              <w:right w:val="single" w:sz="4" w:space="0" w:color="auto"/>
            </w:tcBorders>
            <w:shd w:val="clear" w:color="000000" w:fill="FFFFFF"/>
            <w:noWrap/>
            <w:vAlign w:val="bottom"/>
            <w:hideMark/>
          </w:tcPr>
          <w:p w:rsidR="00A66997" w:rsidRPr="00E7619B" w:rsidRDefault="00A66997" w:rsidP="009F0C98">
            <w:pPr>
              <w:jc w:val="both"/>
              <w:rPr>
                <w:b/>
                <w:color w:val="000000"/>
                <w:sz w:val="18"/>
                <w:szCs w:val="18"/>
                <w:lang w:eastAsia="cs-CZ"/>
              </w:rPr>
            </w:pPr>
            <w:r w:rsidRPr="00E7619B">
              <w:rPr>
                <w:b/>
                <w:color w:val="000000"/>
                <w:sz w:val="18"/>
                <w:szCs w:val="18"/>
                <w:lang w:eastAsia="cs-CZ"/>
              </w:rPr>
              <w:t>Total Loans</w:t>
            </w:r>
          </w:p>
        </w:tc>
        <w:tc>
          <w:tcPr>
            <w:tcW w:w="1332" w:type="dxa"/>
            <w:tcBorders>
              <w:top w:val="nil"/>
              <w:left w:val="nil"/>
              <w:bottom w:val="single" w:sz="4" w:space="0" w:color="auto"/>
              <w:right w:val="single" w:sz="4" w:space="0" w:color="auto"/>
            </w:tcBorders>
            <w:shd w:val="clear" w:color="000000" w:fill="FFFFFF"/>
            <w:noWrap/>
            <w:vAlign w:val="center"/>
            <w:hideMark/>
          </w:tcPr>
          <w:p w:rsidR="00A66997" w:rsidRPr="00E7619B" w:rsidRDefault="00A66997" w:rsidP="009F0C98">
            <w:pPr>
              <w:jc w:val="center"/>
              <w:rPr>
                <w:color w:val="000000"/>
                <w:sz w:val="18"/>
                <w:szCs w:val="18"/>
                <w:lang w:eastAsia="cs-CZ"/>
              </w:rPr>
            </w:pPr>
            <w:r w:rsidRPr="00E7619B">
              <w:rPr>
                <w:color w:val="000000"/>
                <w:sz w:val="18"/>
                <w:szCs w:val="18"/>
                <w:lang w:eastAsia="cs-CZ"/>
              </w:rPr>
              <w:t>465 349 797</w:t>
            </w:r>
          </w:p>
        </w:tc>
        <w:tc>
          <w:tcPr>
            <w:tcW w:w="995" w:type="dxa"/>
            <w:tcBorders>
              <w:top w:val="nil"/>
              <w:left w:val="nil"/>
              <w:bottom w:val="single" w:sz="4" w:space="0" w:color="auto"/>
              <w:right w:val="single" w:sz="4" w:space="0" w:color="auto"/>
            </w:tcBorders>
            <w:shd w:val="clear" w:color="000000" w:fill="FFFFFF"/>
            <w:noWrap/>
            <w:vAlign w:val="center"/>
            <w:hideMark/>
          </w:tcPr>
          <w:p w:rsidR="00A66997" w:rsidRPr="00E7619B" w:rsidRDefault="00A66997" w:rsidP="009F0C98">
            <w:pPr>
              <w:jc w:val="center"/>
              <w:rPr>
                <w:color w:val="000000"/>
                <w:sz w:val="18"/>
                <w:szCs w:val="18"/>
                <w:lang w:eastAsia="cs-CZ"/>
              </w:rPr>
            </w:pPr>
            <w:r w:rsidRPr="00E7619B">
              <w:rPr>
                <w:color w:val="000000"/>
                <w:sz w:val="18"/>
                <w:szCs w:val="18"/>
                <w:lang w:eastAsia="cs-CZ"/>
              </w:rPr>
              <w:t>37,70%</w:t>
            </w:r>
          </w:p>
        </w:tc>
        <w:tc>
          <w:tcPr>
            <w:tcW w:w="1421" w:type="dxa"/>
            <w:tcBorders>
              <w:top w:val="nil"/>
              <w:left w:val="nil"/>
              <w:bottom w:val="single" w:sz="4" w:space="0" w:color="auto"/>
              <w:right w:val="single" w:sz="4" w:space="0" w:color="auto"/>
            </w:tcBorders>
            <w:shd w:val="clear" w:color="000000" w:fill="FFFFFF"/>
            <w:noWrap/>
            <w:vAlign w:val="center"/>
            <w:hideMark/>
          </w:tcPr>
          <w:p w:rsidR="00A66997" w:rsidRPr="00E7619B" w:rsidRDefault="00A66997" w:rsidP="009F0C98">
            <w:pPr>
              <w:jc w:val="center"/>
              <w:rPr>
                <w:color w:val="000000"/>
                <w:sz w:val="18"/>
                <w:szCs w:val="18"/>
                <w:lang w:eastAsia="cs-CZ"/>
              </w:rPr>
            </w:pPr>
            <w:r w:rsidRPr="00E7619B">
              <w:rPr>
                <w:color w:val="000000"/>
                <w:sz w:val="18"/>
                <w:szCs w:val="18"/>
                <w:lang w:eastAsia="cs-CZ"/>
              </w:rPr>
              <w:t>768 968 859</w:t>
            </w:r>
          </w:p>
        </w:tc>
        <w:tc>
          <w:tcPr>
            <w:tcW w:w="942" w:type="dxa"/>
            <w:tcBorders>
              <w:top w:val="nil"/>
              <w:left w:val="nil"/>
              <w:bottom w:val="single" w:sz="4" w:space="0" w:color="auto"/>
              <w:right w:val="single" w:sz="4" w:space="0" w:color="auto"/>
            </w:tcBorders>
            <w:shd w:val="clear" w:color="000000" w:fill="FFFFFF"/>
            <w:noWrap/>
            <w:vAlign w:val="center"/>
            <w:hideMark/>
          </w:tcPr>
          <w:p w:rsidR="00A66997" w:rsidRPr="00E7619B" w:rsidRDefault="00A66997" w:rsidP="009F0C98">
            <w:pPr>
              <w:jc w:val="center"/>
              <w:rPr>
                <w:color w:val="000000"/>
                <w:sz w:val="18"/>
                <w:szCs w:val="18"/>
                <w:lang w:eastAsia="cs-CZ"/>
              </w:rPr>
            </w:pPr>
            <w:r w:rsidRPr="00E7619B">
              <w:rPr>
                <w:color w:val="000000"/>
                <w:sz w:val="18"/>
                <w:szCs w:val="18"/>
                <w:lang w:eastAsia="cs-CZ"/>
              </w:rPr>
              <w:t>62,30%</w:t>
            </w:r>
          </w:p>
        </w:tc>
        <w:tc>
          <w:tcPr>
            <w:tcW w:w="1653" w:type="dxa"/>
            <w:tcBorders>
              <w:top w:val="nil"/>
              <w:left w:val="nil"/>
              <w:bottom w:val="single" w:sz="4" w:space="0" w:color="auto"/>
              <w:right w:val="single" w:sz="8" w:space="0" w:color="auto"/>
            </w:tcBorders>
            <w:shd w:val="clear" w:color="000000" w:fill="FFFFFF"/>
            <w:noWrap/>
            <w:vAlign w:val="center"/>
            <w:hideMark/>
          </w:tcPr>
          <w:p w:rsidR="00A66997" w:rsidRPr="00E7619B" w:rsidRDefault="00A66997" w:rsidP="009F0C98">
            <w:pPr>
              <w:jc w:val="center"/>
              <w:rPr>
                <w:b/>
                <w:bCs/>
                <w:color w:val="000000"/>
                <w:sz w:val="18"/>
                <w:szCs w:val="18"/>
                <w:lang w:eastAsia="cs-CZ"/>
              </w:rPr>
            </w:pPr>
            <w:r w:rsidRPr="00E7619B">
              <w:rPr>
                <w:b/>
                <w:bCs/>
                <w:color w:val="000000"/>
                <w:sz w:val="18"/>
                <w:szCs w:val="18"/>
                <w:lang w:eastAsia="cs-CZ"/>
              </w:rPr>
              <w:t>1 234 318 656</w:t>
            </w:r>
          </w:p>
        </w:tc>
      </w:tr>
      <w:tr w:rsidR="00A66997" w:rsidRPr="00E7619B" w:rsidTr="009F0C98">
        <w:trPr>
          <w:trHeight w:val="332"/>
        </w:trPr>
        <w:tc>
          <w:tcPr>
            <w:tcW w:w="2612" w:type="dxa"/>
            <w:tcBorders>
              <w:top w:val="nil"/>
              <w:left w:val="single" w:sz="8" w:space="0" w:color="auto"/>
              <w:bottom w:val="single" w:sz="4" w:space="0" w:color="auto"/>
              <w:right w:val="single" w:sz="4" w:space="0" w:color="auto"/>
            </w:tcBorders>
            <w:shd w:val="clear" w:color="000000" w:fill="FFFFFF"/>
            <w:vAlign w:val="bottom"/>
            <w:hideMark/>
          </w:tcPr>
          <w:p w:rsidR="00A66997" w:rsidRPr="00E7619B" w:rsidRDefault="00A66997" w:rsidP="009F0C98">
            <w:pPr>
              <w:jc w:val="both"/>
              <w:rPr>
                <w:color w:val="000000"/>
                <w:sz w:val="18"/>
                <w:szCs w:val="18"/>
                <w:lang w:eastAsia="cs-CZ"/>
              </w:rPr>
            </w:pPr>
            <w:r w:rsidRPr="00E7619B">
              <w:rPr>
                <w:color w:val="000000"/>
                <w:sz w:val="18"/>
                <w:szCs w:val="18"/>
                <w:lang w:eastAsia="cs-CZ"/>
              </w:rPr>
              <w:t>Loans to households including sole entr</w:t>
            </w:r>
            <w:r>
              <w:rPr>
                <w:color w:val="000000"/>
                <w:sz w:val="18"/>
                <w:szCs w:val="18"/>
                <w:lang w:eastAsia="cs-CZ"/>
              </w:rPr>
              <w:t>e</w:t>
            </w:r>
            <w:r w:rsidRPr="00E7619B">
              <w:rPr>
                <w:color w:val="000000"/>
                <w:sz w:val="18"/>
                <w:szCs w:val="18"/>
                <w:lang w:eastAsia="cs-CZ"/>
              </w:rPr>
              <w:t>prene</w:t>
            </w:r>
            <w:r>
              <w:rPr>
                <w:color w:val="000000"/>
                <w:sz w:val="18"/>
                <w:szCs w:val="18"/>
                <w:lang w:eastAsia="cs-CZ"/>
              </w:rPr>
              <w:t>u</w:t>
            </w:r>
            <w:r w:rsidRPr="00E7619B">
              <w:rPr>
                <w:color w:val="000000"/>
                <w:sz w:val="18"/>
                <w:szCs w:val="18"/>
                <w:lang w:eastAsia="cs-CZ"/>
              </w:rPr>
              <w:t>rs*</w:t>
            </w:r>
          </w:p>
        </w:tc>
        <w:tc>
          <w:tcPr>
            <w:tcW w:w="1332" w:type="dxa"/>
            <w:tcBorders>
              <w:top w:val="nil"/>
              <w:left w:val="nil"/>
              <w:bottom w:val="single" w:sz="4" w:space="0" w:color="auto"/>
              <w:right w:val="single" w:sz="4" w:space="0" w:color="auto"/>
            </w:tcBorders>
            <w:shd w:val="clear" w:color="000000" w:fill="FFFFFF"/>
            <w:noWrap/>
            <w:vAlign w:val="center"/>
            <w:hideMark/>
          </w:tcPr>
          <w:p w:rsidR="00A66997" w:rsidRPr="00E7619B" w:rsidRDefault="00A66997" w:rsidP="009F0C98">
            <w:pPr>
              <w:jc w:val="center"/>
              <w:rPr>
                <w:color w:val="000000"/>
                <w:sz w:val="18"/>
                <w:szCs w:val="18"/>
                <w:lang w:eastAsia="cs-CZ"/>
              </w:rPr>
            </w:pPr>
            <w:r w:rsidRPr="00E7619B">
              <w:rPr>
                <w:color w:val="000000"/>
                <w:sz w:val="18"/>
                <w:szCs w:val="18"/>
                <w:lang w:eastAsia="cs-CZ"/>
              </w:rPr>
              <w:t>281 892 775</w:t>
            </w:r>
          </w:p>
        </w:tc>
        <w:tc>
          <w:tcPr>
            <w:tcW w:w="995" w:type="dxa"/>
            <w:tcBorders>
              <w:top w:val="nil"/>
              <w:left w:val="nil"/>
              <w:bottom w:val="single" w:sz="4" w:space="0" w:color="auto"/>
              <w:right w:val="single" w:sz="4" w:space="0" w:color="auto"/>
            </w:tcBorders>
            <w:shd w:val="clear" w:color="000000" w:fill="FFFFFF"/>
            <w:noWrap/>
            <w:vAlign w:val="center"/>
            <w:hideMark/>
          </w:tcPr>
          <w:p w:rsidR="00A66997" w:rsidRPr="00E7619B" w:rsidRDefault="00A66997" w:rsidP="009F0C98">
            <w:pPr>
              <w:jc w:val="center"/>
              <w:rPr>
                <w:color w:val="000000"/>
                <w:sz w:val="18"/>
                <w:szCs w:val="18"/>
                <w:lang w:eastAsia="cs-CZ"/>
              </w:rPr>
            </w:pPr>
            <w:r w:rsidRPr="00E7619B">
              <w:rPr>
                <w:color w:val="000000"/>
                <w:sz w:val="18"/>
                <w:szCs w:val="18"/>
                <w:lang w:eastAsia="cs-CZ"/>
              </w:rPr>
              <w:t>66,35%</w:t>
            </w:r>
          </w:p>
        </w:tc>
        <w:tc>
          <w:tcPr>
            <w:tcW w:w="1421" w:type="dxa"/>
            <w:tcBorders>
              <w:top w:val="nil"/>
              <w:left w:val="nil"/>
              <w:bottom w:val="single" w:sz="4" w:space="0" w:color="auto"/>
              <w:right w:val="single" w:sz="4" w:space="0" w:color="auto"/>
            </w:tcBorders>
            <w:shd w:val="clear" w:color="000000" w:fill="FFFFFF"/>
            <w:noWrap/>
            <w:vAlign w:val="center"/>
            <w:hideMark/>
          </w:tcPr>
          <w:p w:rsidR="00A66997" w:rsidRPr="00E7619B" w:rsidRDefault="00A66997" w:rsidP="009F0C98">
            <w:pPr>
              <w:jc w:val="center"/>
              <w:rPr>
                <w:color w:val="000000"/>
                <w:sz w:val="18"/>
                <w:szCs w:val="18"/>
                <w:lang w:eastAsia="cs-CZ"/>
              </w:rPr>
            </w:pPr>
            <w:r w:rsidRPr="00E7619B">
              <w:rPr>
                <w:color w:val="000000"/>
                <w:sz w:val="18"/>
                <w:szCs w:val="18"/>
                <w:lang w:eastAsia="cs-CZ"/>
              </w:rPr>
              <w:t>142 933 367</w:t>
            </w:r>
          </w:p>
        </w:tc>
        <w:tc>
          <w:tcPr>
            <w:tcW w:w="942" w:type="dxa"/>
            <w:tcBorders>
              <w:top w:val="nil"/>
              <w:left w:val="nil"/>
              <w:bottom w:val="single" w:sz="4" w:space="0" w:color="auto"/>
              <w:right w:val="single" w:sz="4" w:space="0" w:color="auto"/>
            </w:tcBorders>
            <w:shd w:val="clear" w:color="000000" w:fill="FFFFFF"/>
            <w:noWrap/>
            <w:vAlign w:val="center"/>
            <w:hideMark/>
          </w:tcPr>
          <w:p w:rsidR="00A66997" w:rsidRPr="00E7619B" w:rsidRDefault="00A66997" w:rsidP="009F0C98">
            <w:pPr>
              <w:jc w:val="center"/>
              <w:rPr>
                <w:color w:val="000000"/>
                <w:sz w:val="18"/>
                <w:szCs w:val="18"/>
                <w:lang w:eastAsia="cs-CZ"/>
              </w:rPr>
            </w:pPr>
            <w:r w:rsidRPr="00E7619B">
              <w:rPr>
                <w:color w:val="000000"/>
                <w:sz w:val="18"/>
                <w:szCs w:val="18"/>
                <w:lang w:eastAsia="cs-CZ"/>
              </w:rPr>
              <w:t>33,65%</w:t>
            </w:r>
          </w:p>
        </w:tc>
        <w:tc>
          <w:tcPr>
            <w:tcW w:w="1653" w:type="dxa"/>
            <w:tcBorders>
              <w:top w:val="nil"/>
              <w:left w:val="nil"/>
              <w:bottom w:val="single" w:sz="4" w:space="0" w:color="auto"/>
              <w:right w:val="single" w:sz="8" w:space="0" w:color="auto"/>
            </w:tcBorders>
            <w:shd w:val="clear" w:color="000000" w:fill="FFFFFF"/>
            <w:noWrap/>
            <w:vAlign w:val="center"/>
            <w:hideMark/>
          </w:tcPr>
          <w:p w:rsidR="00A66997" w:rsidRPr="00E7619B" w:rsidRDefault="00A66997" w:rsidP="009F0C98">
            <w:pPr>
              <w:jc w:val="center"/>
              <w:rPr>
                <w:b/>
                <w:bCs/>
                <w:color w:val="000000"/>
                <w:sz w:val="18"/>
                <w:szCs w:val="18"/>
                <w:lang w:eastAsia="cs-CZ"/>
              </w:rPr>
            </w:pPr>
            <w:r w:rsidRPr="00E7619B">
              <w:rPr>
                <w:b/>
                <w:bCs/>
                <w:color w:val="000000"/>
                <w:sz w:val="18"/>
                <w:szCs w:val="18"/>
                <w:lang w:eastAsia="cs-CZ"/>
              </w:rPr>
              <w:t>424 826 142</w:t>
            </w:r>
          </w:p>
        </w:tc>
      </w:tr>
      <w:tr w:rsidR="00A66997" w:rsidRPr="00E7619B" w:rsidTr="009F0C98">
        <w:trPr>
          <w:trHeight w:val="332"/>
        </w:trPr>
        <w:tc>
          <w:tcPr>
            <w:tcW w:w="2612" w:type="dxa"/>
            <w:tcBorders>
              <w:top w:val="nil"/>
              <w:left w:val="single" w:sz="8" w:space="0" w:color="auto"/>
              <w:bottom w:val="single" w:sz="4" w:space="0" w:color="auto"/>
              <w:right w:val="single" w:sz="4" w:space="0" w:color="auto"/>
            </w:tcBorders>
            <w:shd w:val="clear" w:color="000000" w:fill="FFFFFF"/>
            <w:vAlign w:val="bottom"/>
            <w:hideMark/>
          </w:tcPr>
          <w:p w:rsidR="00A66997" w:rsidRPr="00E7619B" w:rsidRDefault="00A66997" w:rsidP="009F0C98">
            <w:pPr>
              <w:jc w:val="both"/>
              <w:rPr>
                <w:color w:val="000000"/>
                <w:sz w:val="18"/>
                <w:szCs w:val="18"/>
                <w:lang w:eastAsia="cs-CZ"/>
              </w:rPr>
            </w:pPr>
            <w:r>
              <w:rPr>
                <w:color w:val="000000"/>
                <w:sz w:val="18"/>
                <w:szCs w:val="18"/>
                <w:lang w:eastAsia="cs-CZ"/>
              </w:rPr>
              <w:t xml:space="preserve">    </w:t>
            </w:r>
            <w:r w:rsidRPr="00E7619B">
              <w:rPr>
                <w:color w:val="000000"/>
                <w:sz w:val="18"/>
                <w:szCs w:val="18"/>
                <w:lang w:eastAsia="cs-CZ"/>
              </w:rPr>
              <w:t>Including</w:t>
            </w:r>
          </w:p>
        </w:tc>
        <w:tc>
          <w:tcPr>
            <w:tcW w:w="1332" w:type="dxa"/>
            <w:tcBorders>
              <w:top w:val="nil"/>
              <w:left w:val="nil"/>
              <w:bottom w:val="single" w:sz="4" w:space="0" w:color="auto"/>
              <w:right w:val="single" w:sz="4" w:space="0" w:color="auto"/>
            </w:tcBorders>
            <w:shd w:val="clear" w:color="000000" w:fill="FFFFFF"/>
            <w:noWrap/>
            <w:vAlign w:val="center"/>
            <w:hideMark/>
          </w:tcPr>
          <w:p w:rsidR="00A66997" w:rsidRPr="00E7619B" w:rsidRDefault="00A66997" w:rsidP="009F0C98">
            <w:pPr>
              <w:jc w:val="center"/>
              <w:rPr>
                <w:color w:val="000000"/>
                <w:sz w:val="18"/>
                <w:szCs w:val="18"/>
                <w:lang w:eastAsia="cs-CZ"/>
              </w:rPr>
            </w:pPr>
          </w:p>
        </w:tc>
        <w:tc>
          <w:tcPr>
            <w:tcW w:w="995" w:type="dxa"/>
            <w:tcBorders>
              <w:top w:val="nil"/>
              <w:left w:val="nil"/>
              <w:bottom w:val="single" w:sz="4" w:space="0" w:color="auto"/>
              <w:right w:val="single" w:sz="4" w:space="0" w:color="auto"/>
            </w:tcBorders>
            <w:shd w:val="clear" w:color="000000" w:fill="FFFFFF"/>
            <w:noWrap/>
            <w:vAlign w:val="center"/>
            <w:hideMark/>
          </w:tcPr>
          <w:p w:rsidR="00A66997" w:rsidRPr="00E7619B" w:rsidRDefault="00A66997" w:rsidP="009F0C98">
            <w:pPr>
              <w:jc w:val="center"/>
              <w:rPr>
                <w:color w:val="000000"/>
                <w:sz w:val="18"/>
                <w:szCs w:val="18"/>
                <w:lang w:eastAsia="cs-CZ"/>
              </w:rPr>
            </w:pPr>
          </w:p>
        </w:tc>
        <w:tc>
          <w:tcPr>
            <w:tcW w:w="1421" w:type="dxa"/>
            <w:tcBorders>
              <w:top w:val="nil"/>
              <w:left w:val="nil"/>
              <w:bottom w:val="single" w:sz="4" w:space="0" w:color="auto"/>
              <w:right w:val="single" w:sz="4" w:space="0" w:color="auto"/>
            </w:tcBorders>
            <w:shd w:val="clear" w:color="000000" w:fill="FFFFFF"/>
            <w:noWrap/>
            <w:vAlign w:val="center"/>
            <w:hideMark/>
          </w:tcPr>
          <w:p w:rsidR="00A66997" w:rsidRPr="00E7619B" w:rsidRDefault="00A66997" w:rsidP="009F0C98">
            <w:pPr>
              <w:jc w:val="center"/>
              <w:rPr>
                <w:color w:val="000000"/>
                <w:sz w:val="18"/>
                <w:szCs w:val="18"/>
                <w:lang w:eastAsia="cs-CZ"/>
              </w:rPr>
            </w:pPr>
          </w:p>
        </w:tc>
        <w:tc>
          <w:tcPr>
            <w:tcW w:w="942" w:type="dxa"/>
            <w:tcBorders>
              <w:top w:val="nil"/>
              <w:left w:val="nil"/>
              <w:bottom w:val="single" w:sz="4" w:space="0" w:color="auto"/>
              <w:right w:val="single" w:sz="4" w:space="0" w:color="auto"/>
            </w:tcBorders>
            <w:shd w:val="clear" w:color="000000" w:fill="FFFFFF"/>
            <w:noWrap/>
            <w:vAlign w:val="center"/>
            <w:hideMark/>
          </w:tcPr>
          <w:p w:rsidR="00A66997" w:rsidRPr="00E7619B" w:rsidRDefault="00A66997" w:rsidP="009F0C98">
            <w:pPr>
              <w:jc w:val="center"/>
              <w:rPr>
                <w:color w:val="000000"/>
                <w:sz w:val="18"/>
                <w:szCs w:val="18"/>
                <w:lang w:eastAsia="cs-CZ"/>
              </w:rPr>
            </w:pPr>
          </w:p>
        </w:tc>
        <w:tc>
          <w:tcPr>
            <w:tcW w:w="1653" w:type="dxa"/>
            <w:tcBorders>
              <w:top w:val="nil"/>
              <w:left w:val="nil"/>
              <w:bottom w:val="single" w:sz="4" w:space="0" w:color="auto"/>
              <w:right w:val="single" w:sz="8" w:space="0" w:color="auto"/>
            </w:tcBorders>
            <w:shd w:val="clear" w:color="000000" w:fill="FFFFFF"/>
            <w:noWrap/>
            <w:vAlign w:val="center"/>
            <w:hideMark/>
          </w:tcPr>
          <w:p w:rsidR="00A66997" w:rsidRPr="00E7619B" w:rsidRDefault="00A66997" w:rsidP="009F0C98">
            <w:pPr>
              <w:jc w:val="center"/>
              <w:rPr>
                <w:b/>
                <w:bCs/>
                <w:color w:val="000000"/>
                <w:sz w:val="18"/>
                <w:szCs w:val="18"/>
                <w:lang w:eastAsia="cs-CZ"/>
              </w:rPr>
            </w:pPr>
          </w:p>
        </w:tc>
      </w:tr>
      <w:tr w:rsidR="00A66997" w:rsidRPr="00E7619B" w:rsidTr="009F0C98">
        <w:trPr>
          <w:trHeight w:val="332"/>
        </w:trPr>
        <w:tc>
          <w:tcPr>
            <w:tcW w:w="2612" w:type="dxa"/>
            <w:tcBorders>
              <w:top w:val="nil"/>
              <w:left w:val="single" w:sz="8" w:space="0" w:color="auto"/>
              <w:bottom w:val="single" w:sz="4" w:space="0" w:color="auto"/>
              <w:right w:val="single" w:sz="4" w:space="0" w:color="auto"/>
            </w:tcBorders>
            <w:shd w:val="clear" w:color="000000" w:fill="FFFFFF"/>
            <w:vAlign w:val="bottom"/>
            <w:hideMark/>
          </w:tcPr>
          <w:p w:rsidR="00A66997" w:rsidRPr="00F67922" w:rsidRDefault="00A66997" w:rsidP="009F0C98">
            <w:pPr>
              <w:jc w:val="both"/>
              <w:rPr>
                <w:i/>
                <w:color w:val="000000"/>
                <w:sz w:val="18"/>
                <w:szCs w:val="18"/>
                <w:lang w:eastAsia="cs-CZ"/>
              </w:rPr>
            </w:pPr>
            <w:r w:rsidRPr="00F75F4C">
              <w:rPr>
                <w:i/>
                <w:color w:val="000000"/>
                <w:sz w:val="18"/>
                <w:szCs w:val="18"/>
                <w:lang w:eastAsia="cs-CZ"/>
              </w:rPr>
              <w:t xml:space="preserve">    Consumer Loans</w:t>
            </w:r>
          </w:p>
        </w:tc>
        <w:tc>
          <w:tcPr>
            <w:tcW w:w="1332" w:type="dxa"/>
            <w:tcBorders>
              <w:top w:val="nil"/>
              <w:left w:val="nil"/>
              <w:bottom w:val="single" w:sz="4" w:space="0" w:color="auto"/>
              <w:right w:val="single" w:sz="4" w:space="0" w:color="auto"/>
            </w:tcBorders>
            <w:shd w:val="clear" w:color="000000" w:fill="FFFFFF"/>
            <w:noWrap/>
            <w:vAlign w:val="center"/>
            <w:hideMark/>
          </w:tcPr>
          <w:p w:rsidR="00A66997" w:rsidRPr="00E7619B" w:rsidRDefault="00A66997" w:rsidP="009F0C98">
            <w:pPr>
              <w:jc w:val="center"/>
              <w:rPr>
                <w:color w:val="000000"/>
                <w:sz w:val="18"/>
                <w:szCs w:val="18"/>
                <w:lang w:eastAsia="cs-CZ"/>
              </w:rPr>
            </w:pPr>
            <w:r w:rsidRPr="00E7619B">
              <w:rPr>
                <w:color w:val="000000"/>
                <w:sz w:val="18"/>
                <w:szCs w:val="18"/>
                <w:lang w:eastAsia="cs-CZ"/>
              </w:rPr>
              <w:t>187 873 874</w:t>
            </w:r>
          </w:p>
        </w:tc>
        <w:tc>
          <w:tcPr>
            <w:tcW w:w="995" w:type="dxa"/>
            <w:tcBorders>
              <w:top w:val="nil"/>
              <w:left w:val="nil"/>
              <w:bottom w:val="single" w:sz="4" w:space="0" w:color="auto"/>
              <w:right w:val="single" w:sz="4" w:space="0" w:color="auto"/>
            </w:tcBorders>
            <w:shd w:val="clear" w:color="000000" w:fill="FFFFFF"/>
            <w:noWrap/>
            <w:vAlign w:val="center"/>
            <w:hideMark/>
          </w:tcPr>
          <w:p w:rsidR="00A66997" w:rsidRPr="00E7619B" w:rsidRDefault="00A66997" w:rsidP="009F0C98">
            <w:pPr>
              <w:jc w:val="center"/>
              <w:rPr>
                <w:color w:val="000000"/>
                <w:sz w:val="18"/>
                <w:szCs w:val="18"/>
                <w:lang w:eastAsia="cs-CZ"/>
              </w:rPr>
            </w:pPr>
            <w:r w:rsidRPr="00E7619B">
              <w:rPr>
                <w:color w:val="000000"/>
                <w:sz w:val="18"/>
                <w:szCs w:val="18"/>
                <w:lang w:eastAsia="cs-CZ"/>
              </w:rPr>
              <w:t>86,43%</w:t>
            </w:r>
          </w:p>
        </w:tc>
        <w:tc>
          <w:tcPr>
            <w:tcW w:w="1421" w:type="dxa"/>
            <w:tcBorders>
              <w:top w:val="nil"/>
              <w:left w:val="nil"/>
              <w:bottom w:val="single" w:sz="4" w:space="0" w:color="auto"/>
              <w:right w:val="single" w:sz="4" w:space="0" w:color="auto"/>
            </w:tcBorders>
            <w:shd w:val="clear" w:color="000000" w:fill="FFFFFF"/>
            <w:noWrap/>
            <w:vAlign w:val="center"/>
            <w:hideMark/>
          </w:tcPr>
          <w:p w:rsidR="00A66997" w:rsidRPr="00E7619B" w:rsidRDefault="00A66997" w:rsidP="009F0C98">
            <w:pPr>
              <w:jc w:val="center"/>
              <w:rPr>
                <w:color w:val="000000"/>
                <w:sz w:val="18"/>
                <w:szCs w:val="18"/>
                <w:lang w:eastAsia="cs-CZ"/>
              </w:rPr>
            </w:pPr>
            <w:r w:rsidRPr="00E7619B">
              <w:rPr>
                <w:color w:val="000000"/>
                <w:sz w:val="18"/>
                <w:szCs w:val="18"/>
                <w:lang w:eastAsia="cs-CZ"/>
              </w:rPr>
              <w:t>29 502 856</w:t>
            </w:r>
          </w:p>
        </w:tc>
        <w:tc>
          <w:tcPr>
            <w:tcW w:w="942" w:type="dxa"/>
            <w:tcBorders>
              <w:top w:val="nil"/>
              <w:left w:val="nil"/>
              <w:bottom w:val="single" w:sz="4" w:space="0" w:color="auto"/>
              <w:right w:val="single" w:sz="4" w:space="0" w:color="auto"/>
            </w:tcBorders>
            <w:shd w:val="clear" w:color="000000" w:fill="FFFFFF"/>
            <w:noWrap/>
            <w:vAlign w:val="center"/>
            <w:hideMark/>
          </w:tcPr>
          <w:p w:rsidR="00A66997" w:rsidRPr="00E7619B" w:rsidRDefault="00A66997" w:rsidP="009F0C98">
            <w:pPr>
              <w:jc w:val="center"/>
              <w:rPr>
                <w:color w:val="000000"/>
                <w:sz w:val="18"/>
                <w:szCs w:val="18"/>
                <w:lang w:eastAsia="cs-CZ"/>
              </w:rPr>
            </w:pPr>
            <w:r w:rsidRPr="00E7619B">
              <w:rPr>
                <w:color w:val="000000"/>
                <w:sz w:val="18"/>
                <w:szCs w:val="18"/>
                <w:lang w:eastAsia="cs-CZ"/>
              </w:rPr>
              <w:t>13,57%</w:t>
            </w:r>
          </w:p>
        </w:tc>
        <w:tc>
          <w:tcPr>
            <w:tcW w:w="1653" w:type="dxa"/>
            <w:tcBorders>
              <w:top w:val="nil"/>
              <w:left w:val="nil"/>
              <w:bottom w:val="single" w:sz="4" w:space="0" w:color="auto"/>
              <w:right w:val="single" w:sz="8" w:space="0" w:color="auto"/>
            </w:tcBorders>
            <w:shd w:val="clear" w:color="000000" w:fill="FFFFFF"/>
            <w:noWrap/>
            <w:vAlign w:val="center"/>
            <w:hideMark/>
          </w:tcPr>
          <w:p w:rsidR="00A66997" w:rsidRPr="00E7619B" w:rsidRDefault="00A66997" w:rsidP="009F0C98">
            <w:pPr>
              <w:jc w:val="center"/>
              <w:rPr>
                <w:b/>
                <w:bCs/>
                <w:color w:val="000000"/>
                <w:sz w:val="18"/>
                <w:szCs w:val="18"/>
                <w:lang w:eastAsia="cs-CZ"/>
              </w:rPr>
            </w:pPr>
            <w:r w:rsidRPr="00E7619B">
              <w:rPr>
                <w:b/>
                <w:bCs/>
                <w:color w:val="000000"/>
                <w:sz w:val="18"/>
                <w:szCs w:val="18"/>
                <w:lang w:eastAsia="cs-CZ"/>
              </w:rPr>
              <w:t>217 376 730</w:t>
            </w:r>
          </w:p>
        </w:tc>
      </w:tr>
      <w:tr w:rsidR="00A66997" w:rsidRPr="00E7619B" w:rsidTr="009F0C98">
        <w:trPr>
          <w:trHeight w:val="332"/>
        </w:trPr>
        <w:tc>
          <w:tcPr>
            <w:tcW w:w="2612" w:type="dxa"/>
            <w:tcBorders>
              <w:top w:val="nil"/>
              <w:left w:val="single" w:sz="8" w:space="0" w:color="auto"/>
              <w:bottom w:val="single" w:sz="4" w:space="0" w:color="auto"/>
              <w:right w:val="single" w:sz="4" w:space="0" w:color="auto"/>
            </w:tcBorders>
            <w:shd w:val="clear" w:color="000000" w:fill="FFFFFF"/>
            <w:vAlign w:val="bottom"/>
            <w:hideMark/>
          </w:tcPr>
          <w:p w:rsidR="00A66997" w:rsidRPr="00F67922" w:rsidRDefault="00A66997" w:rsidP="009F0C98">
            <w:pPr>
              <w:jc w:val="both"/>
              <w:rPr>
                <w:i/>
                <w:color w:val="000000"/>
                <w:sz w:val="18"/>
                <w:szCs w:val="18"/>
                <w:lang w:eastAsia="cs-CZ"/>
              </w:rPr>
            </w:pPr>
            <w:r w:rsidRPr="00F75F4C">
              <w:rPr>
                <w:i/>
                <w:color w:val="000000"/>
                <w:sz w:val="18"/>
                <w:szCs w:val="18"/>
                <w:lang w:eastAsia="cs-CZ"/>
              </w:rPr>
              <w:t xml:space="preserve">    Mortgage Loans to Households</w:t>
            </w:r>
          </w:p>
        </w:tc>
        <w:tc>
          <w:tcPr>
            <w:tcW w:w="1332" w:type="dxa"/>
            <w:tcBorders>
              <w:top w:val="nil"/>
              <w:left w:val="nil"/>
              <w:bottom w:val="single" w:sz="4" w:space="0" w:color="auto"/>
              <w:right w:val="single" w:sz="4" w:space="0" w:color="auto"/>
            </w:tcBorders>
            <w:shd w:val="clear" w:color="000000" w:fill="FFFFFF"/>
            <w:noWrap/>
            <w:vAlign w:val="center"/>
            <w:hideMark/>
          </w:tcPr>
          <w:p w:rsidR="00A66997" w:rsidRPr="00E7619B" w:rsidRDefault="00A66997" w:rsidP="009F0C98">
            <w:pPr>
              <w:jc w:val="center"/>
              <w:rPr>
                <w:color w:val="000000"/>
                <w:sz w:val="18"/>
                <w:szCs w:val="18"/>
                <w:lang w:eastAsia="cs-CZ"/>
              </w:rPr>
            </w:pPr>
            <w:r w:rsidRPr="00E7619B">
              <w:rPr>
                <w:color w:val="000000"/>
                <w:sz w:val="18"/>
                <w:szCs w:val="18"/>
                <w:lang w:eastAsia="cs-CZ"/>
              </w:rPr>
              <w:t>61 028 937</w:t>
            </w:r>
          </w:p>
        </w:tc>
        <w:tc>
          <w:tcPr>
            <w:tcW w:w="995" w:type="dxa"/>
            <w:tcBorders>
              <w:top w:val="nil"/>
              <w:left w:val="nil"/>
              <w:bottom w:val="single" w:sz="4" w:space="0" w:color="auto"/>
              <w:right w:val="single" w:sz="4" w:space="0" w:color="auto"/>
            </w:tcBorders>
            <w:shd w:val="clear" w:color="000000" w:fill="FFFFFF"/>
            <w:noWrap/>
            <w:vAlign w:val="center"/>
            <w:hideMark/>
          </w:tcPr>
          <w:p w:rsidR="00A66997" w:rsidRPr="00E7619B" w:rsidRDefault="00A66997" w:rsidP="009F0C98">
            <w:pPr>
              <w:jc w:val="center"/>
              <w:rPr>
                <w:color w:val="000000"/>
                <w:sz w:val="18"/>
                <w:szCs w:val="18"/>
                <w:lang w:eastAsia="cs-CZ"/>
              </w:rPr>
            </w:pPr>
            <w:r w:rsidRPr="00E7619B">
              <w:rPr>
                <w:color w:val="000000"/>
                <w:sz w:val="18"/>
                <w:szCs w:val="18"/>
                <w:lang w:eastAsia="cs-CZ"/>
              </w:rPr>
              <w:t>55,33%</w:t>
            </w:r>
          </w:p>
        </w:tc>
        <w:tc>
          <w:tcPr>
            <w:tcW w:w="1421" w:type="dxa"/>
            <w:tcBorders>
              <w:top w:val="nil"/>
              <w:left w:val="nil"/>
              <w:bottom w:val="single" w:sz="4" w:space="0" w:color="auto"/>
              <w:right w:val="single" w:sz="4" w:space="0" w:color="auto"/>
            </w:tcBorders>
            <w:shd w:val="clear" w:color="000000" w:fill="FFFFFF"/>
            <w:noWrap/>
            <w:vAlign w:val="center"/>
            <w:hideMark/>
          </w:tcPr>
          <w:p w:rsidR="00A66997" w:rsidRPr="00E7619B" w:rsidRDefault="00A66997" w:rsidP="009F0C98">
            <w:pPr>
              <w:jc w:val="center"/>
              <w:rPr>
                <w:color w:val="000000"/>
                <w:sz w:val="18"/>
                <w:szCs w:val="18"/>
                <w:lang w:eastAsia="cs-CZ"/>
              </w:rPr>
            </w:pPr>
            <w:r w:rsidRPr="00E7619B">
              <w:rPr>
                <w:color w:val="000000"/>
                <w:sz w:val="18"/>
                <w:szCs w:val="18"/>
                <w:lang w:eastAsia="cs-CZ"/>
              </w:rPr>
              <w:t>49 270 616</w:t>
            </w:r>
          </w:p>
        </w:tc>
        <w:tc>
          <w:tcPr>
            <w:tcW w:w="942" w:type="dxa"/>
            <w:tcBorders>
              <w:top w:val="nil"/>
              <w:left w:val="nil"/>
              <w:bottom w:val="single" w:sz="4" w:space="0" w:color="auto"/>
              <w:right w:val="single" w:sz="4" w:space="0" w:color="auto"/>
            </w:tcBorders>
            <w:shd w:val="clear" w:color="000000" w:fill="FFFFFF"/>
            <w:noWrap/>
            <w:vAlign w:val="center"/>
            <w:hideMark/>
          </w:tcPr>
          <w:p w:rsidR="00A66997" w:rsidRPr="00E7619B" w:rsidRDefault="00A66997" w:rsidP="009F0C98">
            <w:pPr>
              <w:jc w:val="center"/>
              <w:rPr>
                <w:color w:val="000000"/>
                <w:sz w:val="18"/>
                <w:szCs w:val="18"/>
                <w:lang w:eastAsia="cs-CZ"/>
              </w:rPr>
            </w:pPr>
            <w:r w:rsidRPr="00E7619B">
              <w:rPr>
                <w:color w:val="000000"/>
                <w:sz w:val="18"/>
                <w:szCs w:val="18"/>
                <w:lang w:eastAsia="cs-CZ"/>
              </w:rPr>
              <w:t>44,67%</w:t>
            </w:r>
          </w:p>
        </w:tc>
        <w:tc>
          <w:tcPr>
            <w:tcW w:w="1653" w:type="dxa"/>
            <w:tcBorders>
              <w:top w:val="nil"/>
              <w:left w:val="nil"/>
              <w:bottom w:val="single" w:sz="4" w:space="0" w:color="auto"/>
              <w:right w:val="single" w:sz="8" w:space="0" w:color="auto"/>
            </w:tcBorders>
            <w:shd w:val="clear" w:color="000000" w:fill="FFFFFF"/>
            <w:noWrap/>
            <w:vAlign w:val="center"/>
            <w:hideMark/>
          </w:tcPr>
          <w:p w:rsidR="00A66997" w:rsidRPr="00E7619B" w:rsidRDefault="00A66997" w:rsidP="009F0C98">
            <w:pPr>
              <w:jc w:val="center"/>
              <w:rPr>
                <w:b/>
                <w:bCs/>
                <w:color w:val="000000"/>
                <w:sz w:val="18"/>
                <w:szCs w:val="18"/>
                <w:lang w:eastAsia="cs-CZ"/>
              </w:rPr>
            </w:pPr>
            <w:r w:rsidRPr="00E7619B">
              <w:rPr>
                <w:b/>
                <w:bCs/>
                <w:color w:val="000000"/>
                <w:sz w:val="18"/>
                <w:szCs w:val="18"/>
                <w:lang w:eastAsia="cs-CZ"/>
              </w:rPr>
              <w:t>110 299 552</w:t>
            </w:r>
          </w:p>
        </w:tc>
      </w:tr>
      <w:tr w:rsidR="00A66997" w:rsidRPr="00E7619B" w:rsidTr="009F0C98">
        <w:trPr>
          <w:trHeight w:val="280"/>
        </w:trPr>
        <w:tc>
          <w:tcPr>
            <w:tcW w:w="2612" w:type="dxa"/>
            <w:tcBorders>
              <w:top w:val="nil"/>
              <w:left w:val="single" w:sz="8" w:space="0" w:color="auto"/>
              <w:bottom w:val="single" w:sz="4" w:space="0" w:color="auto"/>
              <w:right w:val="single" w:sz="4" w:space="0" w:color="auto"/>
            </w:tcBorders>
            <w:shd w:val="clear" w:color="000000" w:fill="FFFFFF"/>
            <w:vAlign w:val="bottom"/>
            <w:hideMark/>
          </w:tcPr>
          <w:p w:rsidR="00A66997" w:rsidRPr="00E7619B" w:rsidRDefault="00A66997" w:rsidP="009F0C98">
            <w:pPr>
              <w:jc w:val="both"/>
              <w:rPr>
                <w:color w:val="000000"/>
                <w:sz w:val="18"/>
                <w:szCs w:val="18"/>
                <w:lang w:eastAsia="cs-CZ"/>
              </w:rPr>
            </w:pPr>
            <w:r w:rsidRPr="00E7619B">
              <w:rPr>
                <w:color w:val="000000"/>
                <w:sz w:val="18"/>
                <w:szCs w:val="18"/>
                <w:lang w:eastAsia="cs-CZ"/>
              </w:rPr>
              <w:t>Loans to legal entities*</w:t>
            </w:r>
          </w:p>
        </w:tc>
        <w:tc>
          <w:tcPr>
            <w:tcW w:w="1332" w:type="dxa"/>
            <w:tcBorders>
              <w:top w:val="nil"/>
              <w:left w:val="nil"/>
              <w:bottom w:val="single" w:sz="4" w:space="0" w:color="auto"/>
              <w:right w:val="single" w:sz="4" w:space="0" w:color="auto"/>
            </w:tcBorders>
            <w:shd w:val="clear" w:color="000000" w:fill="FFFFFF"/>
            <w:noWrap/>
            <w:vAlign w:val="center"/>
            <w:hideMark/>
          </w:tcPr>
          <w:p w:rsidR="00A66997" w:rsidRPr="00E7619B" w:rsidRDefault="00A66997" w:rsidP="009F0C98">
            <w:pPr>
              <w:jc w:val="center"/>
              <w:rPr>
                <w:color w:val="000000"/>
                <w:sz w:val="18"/>
                <w:szCs w:val="18"/>
                <w:lang w:eastAsia="cs-CZ"/>
              </w:rPr>
            </w:pPr>
            <w:r w:rsidRPr="00E7619B">
              <w:rPr>
                <w:color w:val="000000"/>
                <w:sz w:val="18"/>
                <w:szCs w:val="18"/>
                <w:lang w:eastAsia="cs-CZ"/>
              </w:rPr>
              <w:t>150 968 994</w:t>
            </w:r>
          </w:p>
        </w:tc>
        <w:tc>
          <w:tcPr>
            <w:tcW w:w="995" w:type="dxa"/>
            <w:tcBorders>
              <w:top w:val="nil"/>
              <w:left w:val="nil"/>
              <w:bottom w:val="single" w:sz="4" w:space="0" w:color="auto"/>
              <w:right w:val="single" w:sz="4" w:space="0" w:color="auto"/>
            </w:tcBorders>
            <w:shd w:val="clear" w:color="000000" w:fill="FFFFFF"/>
            <w:noWrap/>
            <w:vAlign w:val="center"/>
            <w:hideMark/>
          </w:tcPr>
          <w:p w:rsidR="00A66997" w:rsidRPr="00E7619B" w:rsidRDefault="00A66997" w:rsidP="009F0C98">
            <w:pPr>
              <w:jc w:val="center"/>
              <w:rPr>
                <w:color w:val="000000"/>
                <w:sz w:val="18"/>
                <w:szCs w:val="18"/>
                <w:lang w:eastAsia="cs-CZ"/>
              </w:rPr>
            </w:pPr>
            <w:r w:rsidRPr="00E7619B">
              <w:rPr>
                <w:color w:val="000000"/>
                <w:sz w:val="18"/>
                <w:szCs w:val="18"/>
                <w:lang w:eastAsia="cs-CZ"/>
              </w:rPr>
              <w:t>20,78%</w:t>
            </w:r>
          </w:p>
        </w:tc>
        <w:tc>
          <w:tcPr>
            <w:tcW w:w="1421" w:type="dxa"/>
            <w:tcBorders>
              <w:top w:val="nil"/>
              <w:left w:val="nil"/>
              <w:bottom w:val="single" w:sz="4" w:space="0" w:color="auto"/>
              <w:right w:val="single" w:sz="4" w:space="0" w:color="auto"/>
            </w:tcBorders>
            <w:shd w:val="clear" w:color="000000" w:fill="FFFFFF"/>
            <w:noWrap/>
            <w:vAlign w:val="center"/>
            <w:hideMark/>
          </w:tcPr>
          <w:p w:rsidR="00A66997" w:rsidRPr="00E7619B" w:rsidRDefault="00A66997" w:rsidP="009F0C98">
            <w:pPr>
              <w:jc w:val="center"/>
              <w:rPr>
                <w:color w:val="000000"/>
                <w:sz w:val="18"/>
                <w:szCs w:val="18"/>
                <w:lang w:eastAsia="cs-CZ"/>
              </w:rPr>
            </w:pPr>
            <w:r w:rsidRPr="00E7619B">
              <w:rPr>
                <w:color w:val="000000"/>
                <w:sz w:val="18"/>
                <w:szCs w:val="18"/>
                <w:lang w:eastAsia="cs-CZ"/>
              </w:rPr>
              <w:t>575 572 682</w:t>
            </w:r>
          </w:p>
        </w:tc>
        <w:tc>
          <w:tcPr>
            <w:tcW w:w="942" w:type="dxa"/>
            <w:tcBorders>
              <w:top w:val="nil"/>
              <w:left w:val="nil"/>
              <w:bottom w:val="single" w:sz="4" w:space="0" w:color="auto"/>
              <w:right w:val="single" w:sz="4" w:space="0" w:color="auto"/>
            </w:tcBorders>
            <w:shd w:val="clear" w:color="000000" w:fill="FFFFFF"/>
            <w:noWrap/>
            <w:vAlign w:val="center"/>
            <w:hideMark/>
          </w:tcPr>
          <w:p w:rsidR="00A66997" w:rsidRPr="00E7619B" w:rsidRDefault="00A66997" w:rsidP="009F0C98">
            <w:pPr>
              <w:jc w:val="center"/>
              <w:rPr>
                <w:color w:val="000000"/>
                <w:sz w:val="18"/>
                <w:szCs w:val="18"/>
                <w:lang w:eastAsia="cs-CZ"/>
              </w:rPr>
            </w:pPr>
            <w:r w:rsidRPr="00E7619B">
              <w:rPr>
                <w:color w:val="000000"/>
                <w:sz w:val="18"/>
                <w:szCs w:val="18"/>
                <w:lang w:eastAsia="cs-CZ"/>
              </w:rPr>
              <w:t>79,22%</w:t>
            </w:r>
          </w:p>
        </w:tc>
        <w:tc>
          <w:tcPr>
            <w:tcW w:w="1653" w:type="dxa"/>
            <w:tcBorders>
              <w:top w:val="nil"/>
              <w:left w:val="nil"/>
              <w:bottom w:val="single" w:sz="4" w:space="0" w:color="auto"/>
              <w:right w:val="single" w:sz="8" w:space="0" w:color="auto"/>
            </w:tcBorders>
            <w:shd w:val="clear" w:color="000000" w:fill="FFFFFF"/>
            <w:noWrap/>
            <w:vAlign w:val="center"/>
            <w:hideMark/>
          </w:tcPr>
          <w:p w:rsidR="00A66997" w:rsidRPr="00E7619B" w:rsidRDefault="00A66997" w:rsidP="009F0C98">
            <w:pPr>
              <w:jc w:val="center"/>
              <w:rPr>
                <w:b/>
                <w:bCs/>
                <w:color w:val="000000"/>
                <w:sz w:val="18"/>
                <w:szCs w:val="18"/>
                <w:lang w:eastAsia="cs-CZ"/>
              </w:rPr>
            </w:pPr>
            <w:r w:rsidRPr="00E7619B">
              <w:rPr>
                <w:b/>
                <w:bCs/>
                <w:color w:val="000000"/>
                <w:sz w:val="18"/>
                <w:szCs w:val="18"/>
                <w:lang w:eastAsia="cs-CZ"/>
              </w:rPr>
              <w:t>726 541 676</w:t>
            </w:r>
          </w:p>
        </w:tc>
      </w:tr>
      <w:tr w:rsidR="00A66997" w:rsidRPr="00E7619B" w:rsidTr="009F0C98">
        <w:trPr>
          <w:trHeight w:val="530"/>
        </w:trPr>
        <w:tc>
          <w:tcPr>
            <w:tcW w:w="2612" w:type="dxa"/>
            <w:tcBorders>
              <w:top w:val="nil"/>
              <w:left w:val="single" w:sz="8" w:space="0" w:color="auto"/>
              <w:bottom w:val="single" w:sz="4" w:space="0" w:color="auto"/>
              <w:right w:val="single" w:sz="4" w:space="0" w:color="auto"/>
            </w:tcBorders>
            <w:shd w:val="clear" w:color="000000" w:fill="FFFFFF"/>
            <w:vAlign w:val="bottom"/>
            <w:hideMark/>
          </w:tcPr>
          <w:p w:rsidR="00A66997" w:rsidRPr="00E7619B" w:rsidRDefault="00A66997" w:rsidP="009F0C98">
            <w:pPr>
              <w:jc w:val="both"/>
              <w:rPr>
                <w:color w:val="000000"/>
                <w:sz w:val="18"/>
                <w:szCs w:val="18"/>
                <w:lang w:eastAsia="cs-CZ"/>
              </w:rPr>
            </w:pPr>
            <w:r w:rsidRPr="00E7619B">
              <w:rPr>
                <w:color w:val="000000"/>
                <w:sz w:val="18"/>
                <w:szCs w:val="18"/>
                <w:lang w:eastAsia="cs-CZ"/>
              </w:rPr>
              <w:t>Loans to interr</w:t>
            </w:r>
            <w:r>
              <w:rPr>
                <w:color w:val="000000"/>
                <w:sz w:val="18"/>
                <w:szCs w:val="18"/>
                <w:lang w:eastAsia="cs-CZ"/>
              </w:rPr>
              <w:t>e</w:t>
            </w:r>
            <w:r w:rsidRPr="00E7619B">
              <w:rPr>
                <w:color w:val="000000"/>
                <w:sz w:val="18"/>
                <w:szCs w:val="18"/>
                <w:lang w:eastAsia="cs-CZ"/>
              </w:rPr>
              <w:t>lated parties and employees /includes both legal entities and hous</w:t>
            </w:r>
            <w:r>
              <w:rPr>
                <w:color w:val="000000"/>
                <w:sz w:val="18"/>
                <w:szCs w:val="18"/>
                <w:lang w:eastAsia="cs-CZ"/>
              </w:rPr>
              <w:t>e</w:t>
            </w:r>
            <w:r w:rsidRPr="00E7619B">
              <w:rPr>
                <w:color w:val="000000"/>
                <w:sz w:val="18"/>
                <w:szCs w:val="18"/>
                <w:lang w:eastAsia="cs-CZ"/>
              </w:rPr>
              <w:t>holds/</w:t>
            </w:r>
          </w:p>
        </w:tc>
        <w:tc>
          <w:tcPr>
            <w:tcW w:w="1332" w:type="dxa"/>
            <w:tcBorders>
              <w:top w:val="nil"/>
              <w:left w:val="nil"/>
              <w:bottom w:val="single" w:sz="4" w:space="0" w:color="auto"/>
              <w:right w:val="single" w:sz="4" w:space="0" w:color="auto"/>
            </w:tcBorders>
            <w:shd w:val="clear" w:color="000000" w:fill="FFFFFF"/>
            <w:noWrap/>
            <w:vAlign w:val="center"/>
            <w:hideMark/>
          </w:tcPr>
          <w:p w:rsidR="00A66997" w:rsidRPr="00E7619B" w:rsidRDefault="00A66997" w:rsidP="009F0C98">
            <w:pPr>
              <w:jc w:val="center"/>
              <w:rPr>
                <w:color w:val="000000"/>
                <w:sz w:val="18"/>
                <w:szCs w:val="18"/>
                <w:lang w:eastAsia="cs-CZ"/>
              </w:rPr>
            </w:pPr>
            <w:r w:rsidRPr="00E7619B">
              <w:rPr>
                <w:color w:val="000000"/>
                <w:sz w:val="18"/>
                <w:szCs w:val="18"/>
                <w:lang w:eastAsia="cs-CZ"/>
              </w:rPr>
              <w:t>18 318 595</w:t>
            </w:r>
          </w:p>
        </w:tc>
        <w:tc>
          <w:tcPr>
            <w:tcW w:w="995" w:type="dxa"/>
            <w:tcBorders>
              <w:top w:val="nil"/>
              <w:left w:val="nil"/>
              <w:bottom w:val="single" w:sz="4" w:space="0" w:color="auto"/>
              <w:right w:val="single" w:sz="4" w:space="0" w:color="auto"/>
            </w:tcBorders>
            <w:shd w:val="clear" w:color="000000" w:fill="FFFFFF"/>
            <w:noWrap/>
            <w:vAlign w:val="center"/>
            <w:hideMark/>
          </w:tcPr>
          <w:p w:rsidR="00A66997" w:rsidRPr="00E7619B" w:rsidRDefault="00A66997" w:rsidP="009F0C98">
            <w:pPr>
              <w:jc w:val="center"/>
              <w:rPr>
                <w:color w:val="000000"/>
                <w:sz w:val="18"/>
                <w:szCs w:val="18"/>
                <w:lang w:eastAsia="cs-CZ"/>
              </w:rPr>
            </w:pPr>
            <w:r w:rsidRPr="00E7619B">
              <w:rPr>
                <w:color w:val="000000"/>
                <w:sz w:val="18"/>
                <w:szCs w:val="18"/>
                <w:lang w:eastAsia="cs-CZ"/>
              </w:rPr>
              <w:t>30,98%</w:t>
            </w:r>
          </w:p>
        </w:tc>
        <w:tc>
          <w:tcPr>
            <w:tcW w:w="1421" w:type="dxa"/>
            <w:tcBorders>
              <w:top w:val="nil"/>
              <w:left w:val="nil"/>
              <w:bottom w:val="single" w:sz="4" w:space="0" w:color="auto"/>
              <w:right w:val="single" w:sz="4" w:space="0" w:color="auto"/>
            </w:tcBorders>
            <w:shd w:val="clear" w:color="000000" w:fill="FFFFFF"/>
            <w:noWrap/>
            <w:vAlign w:val="center"/>
            <w:hideMark/>
          </w:tcPr>
          <w:p w:rsidR="00A66997" w:rsidRPr="00E7619B" w:rsidRDefault="00A66997" w:rsidP="009F0C98">
            <w:pPr>
              <w:jc w:val="center"/>
              <w:rPr>
                <w:color w:val="000000"/>
                <w:sz w:val="18"/>
                <w:szCs w:val="18"/>
                <w:lang w:eastAsia="cs-CZ"/>
              </w:rPr>
            </w:pPr>
            <w:r w:rsidRPr="00E7619B">
              <w:rPr>
                <w:color w:val="000000"/>
                <w:sz w:val="18"/>
                <w:szCs w:val="18"/>
                <w:lang w:eastAsia="cs-CZ"/>
              </w:rPr>
              <w:t>40 808 182</w:t>
            </w:r>
          </w:p>
        </w:tc>
        <w:tc>
          <w:tcPr>
            <w:tcW w:w="942" w:type="dxa"/>
            <w:tcBorders>
              <w:top w:val="nil"/>
              <w:left w:val="nil"/>
              <w:bottom w:val="single" w:sz="4" w:space="0" w:color="auto"/>
              <w:right w:val="single" w:sz="4" w:space="0" w:color="auto"/>
            </w:tcBorders>
            <w:shd w:val="clear" w:color="000000" w:fill="FFFFFF"/>
            <w:noWrap/>
            <w:vAlign w:val="center"/>
            <w:hideMark/>
          </w:tcPr>
          <w:p w:rsidR="00A66997" w:rsidRPr="00E7619B" w:rsidRDefault="00A66997" w:rsidP="009F0C98">
            <w:pPr>
              <w:jc w:val="center"/>
              <w:rPr>
                <w:color w:val="000000"/>
                <w:sz w:val="18"/>
                <w:szCs w:val="18"/>
                <w:lang w:eastAsia="cs-CZ"/>
              </w:rPr>
            </w:pPr>
            <w:r w:rsidRPr="00E7619B">
              <w:rPr>
                <w:color w:val="000000"/>
                <w:sz w:val="18"/>
                <w:szCs w:val="18"/>
                <w:lang w:eastAsia="cs-CZ"/>
              </w:rPr>
              <w:t>69,02%</w:t>
            </w:r>
          </w:p>
        </w:tc>
        <w:tc>
          <w:tcPr>
            <w:tcW w:w="1653" w:type="dxa"/>
            <w:tcBorders>
              <w:top w:val="nil"/>
              <w:left w:val="nil"/>
              <w:bottom w:val="single" w:sz="4" w:space="0" w:color="auto"/>
              <w:right w:val="single" w:sz="8" w:space="0" w:color="auto"/>
            </w:tcBorders>
            <w:shd w:val="clear" w:color="000000" w:fill="FFFFFF"/>
            <w:noWrap/>
            <w:vAlign w:val="center"/>
            <w:hideMark/>
          </w:tcPr>
          <w:p w:rsidR="00A66997" w:rsidRPr="00E7619B" w:rsidRDefault="00A66997" w:rsidP="009F0C98">
            <w:pPr>
              <w:jc w:val="center"/>
              <w:rPr>
                <w:b/>
                <w:bCs/>
                <w:color w:val="000000"/>
                <w:sz w:val="18"/>
                <w:szCs w:val="18"/>
                <w:lang w:eastAsia="cs-CZ"/>
              </w:rPr>
            </w:pPr>
            <w:r w:rsidRPr="00E7619B">
              <w:rPr>
                <w:b/>
                <w:bCs/>
                <w:color w:val="000000"/>
                <w:sz w:val="18"/>
                <w:szCs w:val="18"/>
                <w:lang w:eastAsia="cs-CZ"/>
              </w:rPr>
              <w:t>59 126 777</w:t>
            </w:r>
          </w:p>
        </w:tc>
      </w:tr>
      <w:tr w:rsidR="00A66997" w:rsidRPr="00E7619B" w:rsidTr="009F0C98">
        <w:trPr>
          <w:trHeight w:val="812"/>
        </w:trPr>
        <w:tc>
          <w:tcPr>
            <w:tcW w:w="2612" w:type="dxa"/>
            <w:tcBorders>
              <w:top w:val="nil"/>
              <w:left w:val="single" w:sz="8" w:space="0" w:color="auto"/>
              <w:bottom w:val="single" w:sz="4" w:space="0" w:color="auto"/>
              <w:right w:val="single" w:sz="4" w:space="0" w:color="auto"/>
            </w:tcBorders>
            <w:shd w:val="clear" w:color="000000" w:fill="FFFFFF"/>
            <w:vAlign w:val="bottom"/>
            <w:hideMark/>
          </w:tcPr>
          <w:p w:rsidR="00A66997" w:rsidRPr="00E7619B" w:rsidRDefault="00A66997" w:rsidP="009F0C98">
            <w:pPr>
              <w:jc w:val="both"/>
              <w:rPr>
                <w:color w:val="000000"/>
                <w:sz w:val="18"/>
                <w:szCs w:val="18"/>
                <w:lang w:eastAsia="cs-CZ"/>
              </w:rPr>
            </w:pPr>
            <w:r w:rsidRPr="00E7619B">
              <w:rPr>
                <w:color w:val="000000"/>
                <w:sz w:val="18"/>
                <w:szCs w:val="18"/>
                <w:lang w:eastAsia="cs-CZ"/>
              </w:rPr>
              <w:t>Leasing and factoring /includes both legal entities and hous</w:t>
            </w:r>
            <w:r>
              <w:rPr>
                <w:color w:val="000000"/>
                <w:sz w:val="18"/>
                <w:szCs w:val="18"/>
                <w:lang w:eastAsia="cs-CZ"/>
              </w:rPr>
              <w:t>e</w:t>
            </w:r>
            <w:r w:rsidRPr="00E7619B">
              <w:rPr>
                <w:color w:val="000000"/>
                <w:sz w:val="18"/>
                <w:szCs w:val="18"/>
                <w:lang w:eastAsia="cs-CZ"/>
              </w:rPr>
              <w:t>holds/</w:t>
            </w:r>
          </w:p>
        </w:tc>
        <w:tc>
          <w:tcPr>
            <w:tcW w:w="1332" w:type="dxa"/>
            <w:tcBorders>
              <w:top w:val="nil"/>
              <w:left w:val="nil"/>
              <w:bottom w:val="single" w:sz="4" w:space="0" w:color="auto"/>
              <w:right w:val="single" w:sz="4" w:space="0" w:color="auto"/>
            </w:tcBorders>
            <w:shd w:val="clear" w:color="000000" w:fill="FFFFFF"/>
            <w:noWrap/>
            <w:vAlign w:val="center"/>
            <w:hideMark/>
          </w:tcPr>
          <w:p w:rsidR="00A66997" w:rsidRPr="00E7619B" w:rsidRDefault="00A66997" w:rsidP="009F0C98">
            <w:pPr>
              <w:jc w:val="center"/>
              <w:rPr>
                <w:color w:val="000000"/>
                <w:sz w:val="18"/>
                <w:szCs w:val="18"/>
                <w:lang w:eastAsia="cs-CZ"/>
              </w:rPr>
            </w:pPr>
            <w:r w:rsidRPr="00E7619B">
              <w:rPr>
                <w:color w:val="000000"/>
                <w:sz w:val="18"/>
                <w:szCs w:val="18"/>
                <w:lang w:eastAsia="cs-CZ"/>
              </w:rPr>
              <w:t>14 169 433</w:t>
            </w:r>
          </w:p>
        </w:tc>
        <w:tc>
          <w:tcPr>
            <w:tcW w:w="995" w:type="dxa"/>
            <w:tcBorders>
              <w:top w:val="nil"/>
              <w:left w:val="nil"/>
              <w:bottom w:val="single" w:sz="4" w:space="0" w:color="auto"/>
              <w:right w:val="single" w:sz="4" w:space="0" w:color="auto"/>
            </w:tcBorders>
            <w:shd w:val="clear" w:color="000000" w:fill="FFFFFF"/>
            <w:noWrap/>
            <w:vAlign w:val="center"/>
            <w:hideMark/>
          </w:tcPr>
          <w:p w:rsidR="00A66997" w:rsidRPr="00E7619B" w:rsidRDefault="00A66997" w:rsidP="009F0C98">
            <w:pPr>
              <w:jc w:val="center"/>
              <w:rPr>
                <w:color w:val="000000"/>
                <w:sz w:val="18"/>
                <w:szCs w:val="18"/>
                <w:lang w:eastAsia="cs-CZ"/>
              </w:rPr>
            </w:pPr>
            <w:r w:rsidRPr="00E7619B">
              <w:rPr>
                <w:color w:val="000000"/>
                <w:sz w:val="18"/>
                <w:szCs w:val="18"/>
                <w:lang w:eastAsia="cs-CZ"/>
              </w:rPr>
              <w:t>59,48%</w:t>
            </w:r>
          </w:p>
        </w:tc>
        <w:tc>
          <w:tcPr>
            <w:tcW w:w="1421" w:type="dxa"/>
            <w:tcBorders>
              <w:top w:val="nil"/>
              <w:left w:val="nil"/>
              <w:bottom w:val="single" w:sz="4" w:space="0" w:color="auto"/>
              <w:right w:val="single" w:sz="4" w:space="0" w:color="auto"/>
            </w:tcBorders>
            <w:shd w:val="clear" w:color="000000" w:fill="FFFFFF"/>
            <w:noWrap/>
            <w:vAlign w:val="center"/>
            <w:hideMark/>
          </w:tcPr>
          <w:p w:rsidR="00A66997" w:rsidRPr="00E7619B" w:rsidRDefault="00A66997" w:rsidP="009F0C98">
            <w:pPr>
              <w:jc w:val="center"/>
              <w:rPr>
                <w:color w:val="000000"/>
                <w:sz w:val="18"/>
                <w:szCs w:val="18"/>
                <w:lang w:eastAsia="cs-CZ"/>
              </w:rPr>
            </w:pPr>
            <w:r w:rsidRPr="00E7619B">
              <w:rPr>
                <w:color w:val="000000"/>
                <w:sz w:val="18"/>
                <w:szCs w:val="18"/>
                <w:lang w:eastAsia="cs-CZ"/>
              </w:rPr>
              <w:t>9 654 628</w:t>
            </w:r>
          </w:p>
        </w:tc>
        <w:tc>
          <w:tcPr>
            <w:tcW w:w="942" w:type="dxa"/>
            <w:tcBorders>
              <w:top w:val="nil"/>
              <w:left w:val="nil"/>
              <w:bottom w:val="single" w:sz="4" w:space="0" w:color="auto"/>
              <w:right w:val="single" w:sz="4" w:space="0" w:color="auto"/>
            </w:tcBorders>
            <w:shd w:val="clear" w:color="000000" w:fill="FFFFFF"/>
            <w:noWrap/>
            <w:vAlign w:val="center"/>
            <w:hideMark/>
          </w:tcPr>
          <w:p w:rsidR="00A66997" w:rsidRPr="00E7619B" w:rsidRDefault="00A66997" w:rsidP="009F0C98">
            <w:pPr>
              <w:jc w:val="center"/>
              <w:rPr>
                <w:color w:val="000000"/>
                <w:sz w:val="18"/>
                <w:szCs w:val="18"/>
                <w:lang w:eastAsia="cs-CZ"/>
              </w:rPr>
            </w:pPr>
            <w:r w:rsidRPr="00E7619B">
              <w:rPr>
                <w:color w:val="000000"/>
                <w:sz w:val="18"/>
                <w:szCs w:val="18"/>
                <w:lang w:eastAsia="cs-CZ"/>
              </w:rPr>
              <w:t>40,52%</w:t>
            </w:r>
          </w:p>
        </w:tc>
        <w:tc>
          <w:tcPr>
            <w:tcW w:w="1653" w:type="dxa"/>
            <w:tcBorders>
              <w:top w:val="nil"/>
              <w:left w:val="nil"/>
              <w:bottom w:val="single" w:sz="4" w:space="0" w:color="auto"/>
              <w:right w:val="single" w:sz="8" w:space="0" w:color="auto"/>
            </w:tcBorders>
            <w:shd w:val="clear" w:color="000000" w:fill="FFFFFF"/>
            <w:noWrap/>
            <w:vAlign w:val="center"/>
            <w:hideMark/>
          </w:tcPr>
          <w:p w:rsidR="00A66997" w:rsidRPr="00E7619B" w:rsidRDefault="00A66997" w:rsidP="009F0C98">
            <w:pPr>
              <w:jc w:val="center"/>
              <w:rPr>
                <w:b/>
                <w:bCs/>
                <w:color w:val="000000"/>
                <w:sz w:val="18"/>
                <w:szCs w:val="18"/>
                <w:lang w:eastAsia="cs-CZ"/>
              </w:rPr>
            </w:pPr>
            <w:r w:rsidRPr="00E7619B">
              <w:rPr>
                <w:b/>
                <w:bCs/>
                <w:color w:val="000000"/>
                <w:sz w:val="18"/>
                <w:szCs w:val="18"/>
                <w:lang w:eastAsia="cs-CZ"/>
              </w:rPr>
              <w:t>23 824 061</w:t>
            </w:r>
          </w:p>
        </w:tc>
      </w:tr>
    </w:tbl>
    <w:p w:rsidR="00A66997" w:rsidRPr="00E7619B" w:rsidRDefault="00A66997" w:rsidP="00A66997">
      <w:pPr>
        <w:jc w:val="both"/>
        <w:rPr>
          <w:sz w:val="22"/>
          <w:szCs w:val="22"/>
        </w:rPr>
      </w:pPr>
      <w:r w:rsidRPr="00EC1268">
        <w:rPr>
          <w:i/>
          <w:sz w:val="18"/>
          <w:szCs w:val="18"/>
        </w:rPr>
        <w:t>Source: CBA *Loans include consumer credits, mortgage, agricultural loans, etc</w:t>
      </w:r>
      <w:r w:rsidRPr="00E7619B">
        <w:rPr>
          <w:sz w:val="22"/>
          <w:szCs w:val="22"/>
        </w:rPr>
        <w:t>.</w:t>
      </w:r>
    </w:p>
    <w:p w:rsidR="005D2F2F" w:rsidRDefault="005D2F2F" w:rsidP="005D2F2F">
      <w:pPr>
        <w:spacing w:after="60"/>
        <w:rPr>
          <w:sz w:val="22"/>
          <w:szCs w:val="16"/>
        </w:rPr>
      </w:pPr>
    </w:p>
    <w:p w:rsidR="0011039F" w:rsidRPr="00CE0C0F" w:rsidRDefault="0011039F" w:rsidP="005D2F2F">
      <w:pPr>
        <w:spacing w:after="60"/>
        <w:rPr>
          <w:sz w:val="22"/>
          <w:szCs w:val="16"/>
        </w:rPr>
      </w:pPr>
    </w:p>
    <w:p w:rsidR="00600A07" w:rsidRPr="003E6FD7" w:rsidRDefault="003E6FD7" w:rsidP="00600A07">
      <w:pPr>
        <w:pStyle w:val="BodyText"/>
        <w:numPr>
          <w:ilvl w:val="0"/>
          <w:numId w:val="5"/>
        </w:numPr>
        <w:tabs>
          <w:tab w:val="left" w:pos="360"/>
          <w:tab w:val="left" w:pos="630"/>
        </w:tabs>
        <w:suppressAutoHyphens/>
        <w:spacing w:before="0" w:after="0" w:line="240" w:lineRule="auto"/>
        <w:ind w:left="0" w:firstLine="0"/>
        <w:rPr>
          <w:bCs/>
          <w:sz w:val="22"/>
          <w:szCs w:val="22"/>
          <w:lang w:val="en-GB"/>
        </w:rPr>
      </w:pPr>
      <w:r>
        <w:rPr>
          <w:b/>
          <w:sz w:val="22"/>
          <w:szCs w:val="22"/>
        </w:rPr>
        <w:t>The insurance market is significantly underdeveloped, with only nine non-life insurance companies active in Armenia</w:t>
      </w:r>
      <w:r w:rsidR="00600A07" w:rsidRPr="005D030B">
        <w:rPr>
          <w:b/>
          <w:sz w:val="22"/>
          <w:szCs w:val="22"/>
        </w:rPr>
        <w:t xml:space="preserve">. </w:t>
      </w:r>
      <w:r>
        <w:rPr>
          <w:sz w:val="22"/>
          <w:szCs w:val="22"/>
        </w:rPr>
        <w:t xml:space="preserve">Most of the insurance market growth is based on the </w:t>
      </w:r>
      <w:r w:rsidRPr="003E6FD7">
        <w:rPr>
          <w:sz w:val="22"/>
          <w:szCs w:val="22"/>
        </w:rPr>
        <w:t xml:space="preserve">introduction of </w:t>
      </w:r>
      <w:r>
        <w:rPr>
          <w:sz w:val="22"/>
          <w:szCs w:val="22"/>
        </w:rPr>
        <w:t>the</w:t>
      </w:r>
      <w:r w:rsidRPr="003E6FD7">
        <w:rPr>
          <w:sz w:val="22"/>
          <w:szCs w:val="22"/>
        </w:rPr>
        <w:t xml:space="preserve"> mandatory motor third party liability introduced by law in 2010</w:t>
      </w:r>
      <w:r>
        <w:rPr>
          <w:sz w:val="22"/>
          <w:szCs w:val="22"/>
        </w:rPr>
        <w:t>.</w:t>
      </w:r>
    </w:p>
    <w:p w:rsidR="003E6FD7" w:rsidRDefault="003E6FD7" w:rsidP="003E6FD7">
      <w:pPr>
        <w:pStyle w:val="BodyText"/>
        <w:tabs>
          <w:tab w:val="left" w:pos="360"/>
          <w:tab w:val="left" w:pos="630"/>
        </w:tabs>
        <w:suppressAutoHyphens/>
        <w:spacing w:before="0" w:after="0" w:line="240" w:lineRule="auto"/>
        <w:rPr>
          <w:b/>
          <w:sz w:val="22"/>
          <w:szCs w:val="22"/>
        </w:rPr>
      </w:pPr>
    </w:p>
    <w:p w:rsidR="003E6FD7" w:rsidRDefault="003E6FD7" w:rsidP="003E6FD7">
      <w:pPr>
        <w:pStyle w:val="TableofFigures"/>
        <w:rPr>
          <w:i/>
        </w:rPr>
      </w:pPr>
      <w:bookmarkStart w:id="30" w:name="_Toc318285523"/>
      <w:bookmarkStart w:id="31" w:name="_Toc318303611"/>
      <w:bookmarkStart w:id="32" w:name="_Toc318971040"/>
      <w:r w:rsidRPr="0011514F">
        <w:rPr>
          <w:i/>
        </w:rPr>
        <w:lastRenderedPageBreak/>
        <w:t>Table</w:t>
      </w:r>
      <w:r>
        <w:rPr>
          <w:i/>
        </w:rPr>
        <w:t xml:space="preserve"> 3</w:t>
      </w:r>
      <w:r w:rsidRPr="0011514F">
        <w:rPr>
          <w:i/>
        </w:rPr>
        <w:t xml:space="preserve">: Market </w:t>
      </w:r>
      <w:r w:rsidR="0065155A">
        <w:rPr>
          <w:i/>
        </w:rPr>
        <w:t xml:space="preserve">size and </w:t>
      </w:r>
      <w:r w:rsidRPr="0011514F">
        <w:rPr>
          <w:i/>
        </w:rPr>
        <w:t xml:space="preserve">growth of </w:t>
      </w:r>
      <w:r w:rsidR="00606D34">
        <w:rPr>
          <w:i/>
        </w:rPr>
        <w:t xml:space="preserve">the </w:t>
      </w:r>
      <w:r w:rsidRPr="0011514F">
        <w:rPr>
          <w:i/>
        </w:rPr>
        <w:t>insurance sector</w:t>
      </w:r>
      <w:bookmarkEnd w:id="30"/>
      <w:bookmarkEnd w:id="31"/>
      <w:bookmarkEnd w:id="32"/>
    </w:p>
    <w:tbl>
      <w:tblPr>
        <w:tblStyle w:val="TableGrid"/>
        <w:tblW w:w="0" w:type="auto"/>
        <w:tblInd w:w="108" w:type="dxa"/>
        <w:tblLook w:val="04A0" w:firstRow="1" w:lastRow="0" w:firstColumn="1" w:lastColumn="0" w:noHBand="0" w:noVBand="1"/>
      </w:tblPr>
      <w:tblGrid>
        <w:gridCol w:w="836"/>
        <w:gridCol w:w="646"/>
        <w:gridCol w:w="916"/>
        <w:gridCol w:w="646"/>
        <w:gridCol w:w="931"/>
        <w:gridCol w:w="646"/>
        <w:gridCol w:w="977"/>
        <w:gridCol w:w="652"/>
        <w:gridCol w:w="977"/>
      </w:tblGrid>
      <w:tr w:rsidR="003E6FD7" w:rsidRPr="008569E0" w:rsidTr="009F0C98">
        <w:tc>
          <w:tcPr>
            <w:tcW w:w="7217" w:type="dxa"/>
            <w:gridSpan w:val="9"/>
            <w:tcBorders>
              <w:top w:val="single" w:sz="8" w:space="0" w:color="auto"/>
              <w:left w:val="single" w:sz="8" w:space="0" w:color="auto"/>
              <w:bottom w:val="single" w:sz="8" w:space="0" w:color="auto"/>
              <w:right w:val="single" w:sz="8" w:space="0" w:color="auto"/>
            </w:tcBorders>
            <w:shd w:val="pct5" w:color="auto" w:fill="auto"/>
          </w:tcPr>
          <w:p w:rsidR="003E6FD7" w:rsidRPr="008569E0" w:rsidRDefault="00606D34" w:rsidP="009F0C98">
            <w:pPr>
              <w:jc w:val="both"/>
              <w:rPr>
                <w:b/>
                <w:sz w:val="18"/>
                <w:szCs w:val="18"/>
              </w:rPr>
            </w:pPr>
            <w:r>
              <w:rPr>
                <w:b/>
                <w:sz w:val="18"/>
                <w:szCs w:val="18"/>
              </w:rPr>
              <w:t xml:space="preserve">Insurance market size and growth </w:t>
            </w:r>
          </w:p>
        </w:tc>
      </w:tr>
      <w:tr w:rsidR="003E6FD7" w:rsidRPr="008569E0" w:rsidTr="009F0C98">
        <w:tc>
          <w:tcPr>
            <w:tcW w:w="836" w:type="dxa"/>
            <w:tcBorders>
              <w:top w:val="single" w:sz="8" w:space="0" w:color="auto"/>
              <w:left w:val="single" w:sz="8" w:space="0" w:color="auto"/>
              <w:bottom w:val="single" w:sz="8" w:space="0" w:color="auto"/>
              <w:right w:val="single" w:sz="8" w:space="0" w:color="auto"/>
            </w:tcBorders>
            <w:shd w:val="pct5" w:color="auto" w:fill="auto"/>
          </w:tcPr>
          <w:p w:rsidR="003E6FD7" w:rsidRPr="008569E0" w:rsidRDefault="003E6FD7" w:rsidP="009F0C98">
            <w:pPr>
              <w:jc w:val="both"/>
              <w:rPr>
                <w:sz w:val="18"/>
                <w:szCs w:val="18"/>
              </w:rPr>
            </w:pPr>
          </w:p>
        </w:tc>
        <w:tc>
          <w:tcPr>
            <w:tcW w:w="1562" w:type="dxa"/>
            <w:gridSpan w:val="2"/>
            <w:tcBorders>
              <w:top w:val="single" w:sz="8" w:space="0" w:color="auto"/>
              <w:left w:val="single" w:sz="8" w:space="0" w:color="auto"/>
              <w:bottom w:val="single" w:sz="8" w:space="0" w:color="auto"/>
              <w:right w:val="single" w:sz="8" w:space="0" w:color="auto"/>
            </w:tcBorders>
            <w:shd w:val="pct5" w:color="auto" w:fill="auto"/>
          </w:tcPr>
          <w:p w:rsidR="003E6FD7" w:rsidRPr="008569E0" w:rsidRDefault="003E6FD7" w:rsidP="009F0C98">
            <w:pPr>
              <w:jc w:val="both"/>
              <w:rPr>
                <w:b/>
                <w:sz w:val="18"/>
                <w:szCs w:val="18"/>
              </w:rPr>
            </w:pPr>
            <w:r w:rsidRPr="008569E0">
              <w:rPr>
                <w:b/>
                <w:sz w:val="18"/>
                <w:szCs w:val="18"/>
              </w:rPr>
              <w:t>2008</w:t>
            </w:r>
          </w:p>
        </w:tc>
        <w:tc>
          <w:tcPr>
            <w:tcW w:w="1576" w:type="dxa"/>
            <w:gridSpan w:val="2"/>
            <w:tcBorders>
              <w:top w:val="single" w:sz="8" w:space="0" w:color="auto"/>
              <w:left w:val="single" w:sz="8" w:space="0" w:color="auto"/>
              <w:bottom w:val="single" w:sz="8" w:space="0" w:color="auto"/>
              <w:right w:val="single" w:sz="8" w:space="0" w:color="auto"/>
            </w:tcBorders>
            <w:shd w:val="pct5" w:color="auto" w:fill="auto"/>
          </w:tcPr>
          <w:p w:rsidR="003E6FD7" w:rsidRPr="008569E0" w:rsidRDefault="003E6FD7" w:rsidP="009F0C98">
            <w:pPr>
              <w:jc w:val="both"/>
              <w:rPr>
                <w:b/>
                <w:sz w:val="18"/>
                <w:szCs w:val="18"/>
              </w:rPr>
            </w:pPr>
            <w:r w:rsidRPr="008569E0">
              <w:rPr>
                <w:b/>
                <w:sz w:val="18"/>
                <w:szCs w:val="18"/>
              </w:rPr>
              <w:t>2009</w:t>
            </w:r>
          </w:p>
        </w:tc>
        <w:tc>
          <w:tcPr>
            <w:tcW w:w="1614" w:type="dxa"/>
            <w:gridSpan w:val="2"/>
            <w:tcBorders>
              <w:top w:val="single" w:sz="8" w:space="0" w:color="auto"/>
              <w:left w:val="single" w:sz="8" w:space="0" w:color="auto"/>
              <w:bottom w:val="single" w:sz="8" w:space="0" w:color="auto"/>
              <w:right w:val="single" w:sz="8" w:space="0" w:color="auto"/>
            </w:tcBorders>
            <w:shd w:val="pct5" w:color="auto" w:fill="auto"/>
          </w:tcPr>
          <w:p w:rsidR="003E6FD7" w:rsidRPr="008569E0" w:rsidRDefault="003E6FD7" w:rsidP="009F0C98">
            <w:pPr>
              <w:jc w:val="both"/>
              <w:rPr>
                <w:b/>
                <w:sz w:val="18"/>
                <w:szCs w:val="18"/>
              </w:rPr>
            </w:pPr>
            <w:r w:rsidRPr="008569E0">
              <w:rPr>
                <w:b/>
                <w:sz w:val="18"/>
                <w:szCs w:val="18"/>
              </w:rPr>
              <w:t>2010</w:t>
            </w:r>
          </w:p>
        </w:tc>
        <w:tc>
          <w:tcPr>
            <w:tcW w:w="1629" w:type="dxa"/>
            <w:gridSpan w:val="2"/>
            <w:tcBorders>
              <w:top w:val="single" w:sz="8" w:space="0" w:color="auto"/>
              <w:left w:val="single" w:sz="8" w:space="0" w:color="auto"/>
              <w:bottom w:val="single" w:sz="8" w:space="0" w:color="auto"/>
              <w:right w:val="single" w:sz="8" w:space="0" w:color="auto"/>
            </w:tcBorders>
            <w:shd w:val="pct5" w:color="auto" w:fill="auto"/>
          </w:tcPr>
          <w:p w:rsidR="003E6FD7" w:rsidRPr="008569E0" w:rsidRDefault="003E6FD7" w:rsidP="009F0C98">
            <w:pPr>
              <w:jc w:val="both"/>
              <w:rPr>
                <w:b/>
                <w:sz w:val="18"/>
                <w:szCs w:val="18"/>
              </w:rPr>
            </w:pPr>
            <w:r w:rsidRPr="008569E0">
              <w:rPr>
                <w:b/>
                <w:sz w:val="18"/>
                <w:szCs w:val="18"/>
              </w:rPr>
              <w:t>Sept 2011</w:t>
            </w:r>
          </w:p>
        </w:tc>
      </w:tr>
      <w:tr w:rsidR="003E6FD7" w:rsidRPr="008569E0" w:rsidTr="009F0C98">
        <w:tc>
          <w:tcPr>
            <w:tcW w:w="836" w:type="dxa"/>
            <w:tcBorders>
              <w:top w:val="single" w:sz="8" w:space="0" w:color="auto"/>
            </w:tcBorders>
          </w:tcPr>
          <w:p w:rsidR="003E6FD7" w:rsidRPr="008569E0" w:rsidRDefault="003E6FD7" w:rsidP="009F0C98">
            <w:pPr>
              <w:jc w:val="both"/>
              <w:rPr>
                <w:sz w:val="18"/>
                <w:szCs w:val="18"/>
              </w:rPr>
            </w:pPr>
          </w:p>
        </w:tc>
        <w:tc>
          <w:tcPr>
            <w:tcW w:w="646" w:type="dxa"/>
            <w:tcBorders>
              <w:top w:val="single" w:sz="8" w:space="0" w:color="auto"/>
            </w:tcBorders>
          </w:tcPr>
          <w:p w:rsidR="003E6FD7" w:rsidRPr="008569E0" w:rsidRDefault="003E6FD7" w:rsidP="009F0C98">
            <w:pPr>
              <w:jc w:val="both"/>
              <w:rPr>
                <w:sz w:val="18"/>
                <w:szCs w:val="18"/>
              </w:rPr>
            </w:pPr>
            <w:r w:rsidRPr="008569E0">
              <w:rPr>
                <w:b/>
                <w:sz w:val="18"/>
                <w:szCs w:val="18"/>
              </w:rPr>
              <w:t>AMD bn.</w:t>
            </w:r>
          </w:p>
        </w:tc>
        <w:tc>
          <w:tcPr>
            <w:tcW w:w="916" w:type="dxa"/>
            <w:tcBorders>
              <w:top w:val="single" w:sz="8" w:space="0" w:color="auto"/>
            </w:tcBorders>
            <w:shd w:val="pct10" w:color="auto" w:fill="auto"/>
          </w:tcPr>
          <w:p w:rsidR="003E6FD7" w:rsidRPr="008569E0" w:rsidRDefault="003E6FD7" w:rsidP="009F0C98">
            <w:pPr>
              <w:jc w:val="both"/>
              <w:rPr>
                <w:b/>
                <w:sz w:val="18"/>
                <w:szCs w:val="18"/>
              </w:rPr>
            </w:pPr>
            <w:r w:rsidRPr="008569E0">
              <w:rPr>
                <w:b/>
                <w:sz w:val="18"/>
                <w:szCs w:val="18"/>
              </w:rPr>
              <w:t>% Growth</w:t>
            </w:r>
          </w:p>
        </w:tc>
        <w:tc>
          <w:tcPr>
            <w:tcW w:w="645" w:type="dxa"/>
            <w:tcBorders>
              <w:top w:val="single" w:sz="8" w:space="0" w:color="auto"/>
            </w:tcBorders>
          </w:tcPr>
          <w:p w:rsidR="003E6FD7" w:rsidRPr="008569E0" w:rsidRDefault="003E6FD7" w:rsidP="009F0C98">
            <w:pPr>
              <w:jc w:val="both"/>
              <w:rPr>
                <w:b/>
                <w:sz w:val="18"/>
                <w:szCs w:val="18"/>
              </w:rPr>
            </w:pPr>
            <w:r w:rsidRPr="008569E0">
              <w:rPr>
                <w:b/>
                <w:sz w:val="18"/>
                <w:szCs w:val="18"/>
              </w:rPr>
              <w:t>AMD bn.</w:t>
            </w:r>
          </w:p>
        </w:tc>
        <w:tc>
          <w:tcPr>
            <w:tcW w:w="931" w:type="dxa"/>
            <w:tcBorders>
              <w:top w:val="single" w:sz="8" w:space="0" w:color="auto"/>
            </w:tcBorders>
            <w:shd w:val="pct10" w:color="auto" w:fill="auto"/>
          </w:tcPr>
          <w:p w:rsidR="003E6FD7" w:rsidRPr="008569E0" w:rsidRDefault="003E6FD7" w:rsidP="009F0C98">
            <w:pPr>
              <w:jc w:val="both"/>
              <w:rPr>
                <w:b/>
                <w:sz w:val="18"/>
                <w:szCs w:val="18"/>
              </w:rPr>
            </w:pPr>
            <w:r w:rsidRPr="008569E0">
              <w:rPr>
                <w:b/>
                <w:sz w:val="18"/>
                <w:szCs w:val="18"/>
              </w:rPr>
              <w:t>% Growth</w:t>
            </w:r>
          </w:p>
        </w:tc>
        <w:tc>
          <w:tcPr>
            <w:tcW w:w="637" w:type="dxa"/>
            <w:tcBorders>
              <w:top w:val="single" w:sz="8" w:space="0" w:color="auto"/>
            </w:tcBorders>
          </w:tcPr>
          <w:p w:rsidR="003E6FD7" w:rsidRPr="008569E0" w:rsidRDefault="003E6FD7" w:rsidP="009F0C98">
            <w:pPr>
              <w:jc w:val="both"/>
              <w:rPr>
                <w:b/>
                <w:sz w:val="18"/>
                <w:szCs w:val="18"/>
              </w:rPr>
            </w:pPr>
            <w:r w:rsidRPr="008569E0">
              <w:rPr>
                <w:b/>
                <w:sz w:val="18"/>
                <w:szCs w:val="18"/>
              </w:rPr>
              <w:t>AMD bn.</w:t>
            </w:r>
          </w:p>
        </w:tc>
        <w:tc>
          <w:tcPr>
            <w:tcW w:w="977" w:type="dxa"/>
            <w:tcBorders>
              <w:top w:val="single" w:sz="8" w:space="0" w:color="auto"/>
            </w:tcBorders>
            <w:shd w:val="pct10" w:color="auto" w:fill="auto"/>
          </w:tcPr>
          <w:p w:rsidR="003E6FD7" w:rsidRPr="008569E0" w:rsidRDefault="003E6FD7" w:rsidP="009F0C98">
            <w:pPr>
              <w:jc w:val="both"/>
              <w:rPr>
                <w:b/>
                <w:sz w:val="18"/>
                <w:szCs w:val="18"/>
              </w:rPr>
            </w:pPr>
            <w:r w:rsidRPr="008569E0">
              <w:rPr>
                <w:b/>
                <w:sz w:val="18"/>
                <w:szCs w:val="18"/>
              </w:rPr>
              <w:t>% Growth</w:t>
            </w:r>
          </w:p>
        </w:tc>
        <w:tc>
          <w:tcPr>
            <w:tcW w:w="652" w:type="dxa"/>
            <w:tcBorders>
              <w:top w:val="single" w:sz="8" w:space="0" w:color="auto"/>
            </w:tcBorders>
          </w:tcPr>
          <w:p w:rsidR="003E6FD7" w:rsidRPr="008569E0" w:rsidRDefault="003E6FD7" w:rsidP="009F0C98">
            <w:pPr>
              <w:jc w:val="both"/>
              <w:rPr>
                <w:b/>
                <w:sz w:val="18"/>
                <w:szCs w:val="18"/>
              </w:rPr>
            </w:pPr>
            <w:r w:rsidRPr="008569E0">
              <w:rPr>
                <w:b/>
                <w:sz w:val="18"/>
                <w:szCs w:val="18"/>
              </w:rPr>
              <w:t>AMD bn.</w:t>
            </w:r>
          </w:p>
        </w:tc>
        <w:tc>
          <w:tcPr>
            <w:tcW w:w="977" w:type="dxa"/>
            <w:tcBorders>
              <w:top w:val="single" w:sz="8" w:space="0" w:color="auto"/>
            </w:tcBorders>
            <w:shd w:val="pct10" w:color="auto" w:fill="auto"/>
          </w:tcPr>
          <w:p w:rsidR="003E6FD7" w:rsidRPr="008569E0" w:rsidRDefault="003E6FD7" w:rsidP="009F0C98">
            <w:pPr>
              <w:jc w:val="both"/>
              <w:rPr>
                <w:b/>
                <w:sz w:val="18"/>
                <w:szCs w:val="18"/>
              </w:rPr>
            </w:pPr>
            <w:r w:rsidRPr="008569E0">
              <w:rPr>
                <w:b/>
                <w:sz w:val="18"/>
                <w:szCs w:val="18"/>
              </w:rPr>
              <w:t>% Growth</w:t>
            </w:r>
          </w:p>
        </w:tc>
      </w:tr>
      <w:tr w:rsidR="003E6FD7" w:rsidRPr="008569E0" w:rsidTr="009F0C98">
        <w:tc>
          <w:tcPr>
            <w:tcW w:w="836" w:type="dxa"/>
          </w:tcPr>
          <w:p w:rsidR="003E6FD7" w:rsidRPr="008569E0" w:rsidRDefault="003E6FD7" w:rsidP="009F0C98">
            <w:pPr>
              <w:jc w:val="both"/>
              <w:rPr>
                <w:b/>
                <w:sz w:val="18"/>
                <w:szCs w:val="18"/>
              </w:rPr>
            </w:pPr>
            <w:r w:rsidRPr="008569E0">
              <w:rPr>
                <w:b/>
                <w:sz w:val="18"/>
                <w:szCs w:val="18"/>
              </w:rPr>
              <w:t>Life</w:t>
            </w:r>
          </w:p>
        </w:tc>
        <w:tc>
          <w:tcPr>
            <w:tcW w:w="646" w:type="dxa"/>
          </w:tcPr>
          <w:p w:rsidR="003E6FD7" w:rsidRPr="008569E0" w:rsidRDefault="003E6FD7" w:rsidP="009F0C98">
            <w:pPr>
              <w:jc w:val="both"/>
              <w:rPr>
                <w:sz w:val="18"/>
                <w:szCs w:val="18"/>
              </w:rPr>
            </w:pPr>
            <w:r w:rsidRPr="008569E0">
              <w:rPr>
                <w:sz w:val="18"/>
                <w:szCs w:val="18"/>
              </w:rPr>
              <w:t>0</w:t>
            </w:r>
          </w:p>
        </w:tc>
        <w:tc>
          <w:tcPr>
            <w:tcW w:w="916" w:type="dxa"/>
            <w:shd w:val="pct10" w:color="auto" w:fill="auto"/>
          </w:tcPr>
          <w:p w:rsidR="003E6FD7" w:rsidRPr="008569E0" w:rsidRDefault="003E6FD7" w:rsidP="009F0C98">
            <w:pPr>
              <w:jc w:val="both"/>
              <w:rPr>
                <w:sz w:val="18"/>
                <w:szCs w:val="18"/>
              </w:rPr>
            </w:pPr>
            <w:r w:rsidRPr="008569E0">
              <w:rPr>
                <w:sz w:val="18"/>
                <w:szCs w:val="18"/>
              </w:rPr>
              <w:t>0</w:t>
            </w:r>
          </w:p>
        </w:tc>
        <w:tc>
          <w:tcPr>
            <w:tcW w:w="645" w:type="dxa"/>
          </w:tcPr>
          <w:p w:rsidR="003E6FD7" w:rsidRPr="008569E0" w:rsidRDefault="003E6FD7" w:rsidP="009F0C98">
            <w:pPr>
              <w:jc w:val="both"/>
              <w:rPr>
                <w:sz w:val="18"/>
                <w:szCs w:val="18"/>
              </w:rPr>
            </w:pPr>
            <w:r w:rsidRPr="008569E0">
              <w:rPr>
                <w:sz w:val="18"/>
                <w:szCs w:val="18"/>
              </w:rPr>
              <w:t>0</w:t>
            </w:r>
          </w:p>
        </w:tc>
        <w:tc>
          <w:tcPr>
            <w:tcW w:w="931" w:type="dxa"/>
            <w:shd w:val="pct10" w:color="auto" w:fill="auto"/>
          </w:tcPr>
          <w:p w:rsidR="003E6FD7" w:rsidRPr="008569E0" w:rsidRDefault="003E6FD7" w:rsidP="009F0C98">
            <w:pPr>
              <w:jc w:val="both"/>
              <w:rPr>
                <w:sz w:val="18"/>
                <w:szCs w:val="18"/>
              </w:rPr>
            </w:pPr>
            <w:r w:rsidRPr="008569E0">
              <w:rPr>
                <w:sz w:val="18"/>
                <w:szCs w:val="18"/>
              </w:rPr>
              <w:t>0</w:t>
            </w:r>
          </w:p>
        </w:tc>
        <w:tc>
          <w:tcPr>
            <w:tcW w:w="637" w:type="dxa"/>
          </w:tcPr>
          <w:p w:rsidR="003E6FD7" w:rsidRPr="008569E0" w:rsidRDefault="003E6FD7" w:rsidP="009F0C98">
            <w:pPr>
              <w:jc w:val="both"/>
              <w:rPr>
                <w:sz w:val="18"/>
                <w:szCs w:val="18"/>
              </w:rPr>
            </w:pPr>
            <w:r w:rsidRPr="008569E0">
              <w:rPr>
                <w:sz w:val="18"/>
                <w:szCs w:val="18"/>
              </w:rPr>
              <w:t>0</w:t>
            </w:r>
          </w:p>
        </w:tc>
        <w:tc>
          <w:tcPr>
            <w:tcW w:w="977" w:type="dxa"/>
            <w:shd w:val="pct10" w:color="auto" w:fill="auto"/>
          </w:tcPr>
          <w:p w:rsidR="003E6FD7" w:rsidRPr="008569E0" w:rsidRDefault="003E6FD7" w:rsidP="009F0C98">
            <w:pPr>
              <w:jc w:val="both"/>
              <w:rPr>
                <w:sz w:val="18"/>
                <w:szCs w:val="18"/>
              </w:rPr>
            </w:pPr>
            <w:r w:rsidRPr="008569E0">
              <w:rPr>
                <w:sz w:val="18"/>
                <w:szCs w:val="18"/>
              </w:rPr>
              <w:t>0</w:t>
            </w:r>
          </w:p>
        </w:tc>
        <w:tc>
          <w:tcPr>
            <w:tcW w:w="652" w:type="dxa"/>
          </w:tcPr>
          <w:p w:rsidR="003E6FD7" w:rsidRPr="008569E0" w:rsidRDefault="003E6FD7" w:rsidP="009F0C98">
            <w:pPr>
              <w:jc w:val="both"/>
              <w:rPr>
                <w:sz w:val="18"/>
                <w:szCs w:val="18"/>
              </w:rPr>
            </w:pPr>
            <w:r w:rsidRPr="008569E0">
              <w:rPr>
                <w:sz w:val="18"/>
                <w:szCs w:val="18"/>
              </w:rPr>
              <w:t>0</w:t>
            </w:r>
          </w:p>
        </w:tc>
        <w:tc>
          <w:tcPr>
            <w:tcW w:w="977" w:type="dxa"/>
            <w:shd w:val="pct10" w:color="auto" w:fill="auto"/>
          </w:tcPr>
          <w:p w:rsidR="003E6FD7" w:rsidRPr="008569E0" w:rsidRDefault="003E6FD7" w:rsidP="009F0C98">
            <w:pPr>
              <w:jc w:val="both"/>
              <w:rPr>
                <w:sz w:val="18"/>
                <w:szCs w:val="18"/>
              </w:rPr>
            </w:pPr>
            <w:r w:rsidRPr="008569E0">
              <w:rPr>
                <w:sz w:val="18"/>
                <w:szCs w:val="18"/>
              </w:rPr>
              <w:t>0</w:t>
            </w:r>
          </w:p>
        </w:tc>
      </w:tr>
      <w:tr w:rsidR="003E6FD7" w:rsidRPr="008569E0" w:rsidTr="009F0C98">
        <w:tc>
          <w:tcPr>
            <w:tcW w:w="836" w:type="dxa"/>
          </w:tcPr>
          <w:p w:rsidR="003E6FD7" w:rsidRPr="008569E0" w:rsidRDefault="003E6FD7" w:rsidP="009F0C98">
            <w:pPr>
              <w:jc w:val="both"/>
              <w:rPr>
                <w:b/>
                <w:sz w:val="18"/>
                <w:szCs w:val="18"/>
              </w:rPr>
            </w:pPr>
            <w:r w:rsidRPr="008569E0">
              <w:rPr>
                <w:b/>
                <w:sz w:val="18"/>
                <w:szCs w:val="18"/>
              </w:rPr>
              <w:t>Non-Life</w:t>
            </w:r>
          </w:p>
        </w:tc>
        <w:tc>
          <w:tcPr>
            <w:tcW w:w="646" w:type="dxa"/>
          </w:tcPr>
          <w:p w:rsidR="003E6FD7" w:rsidRPr="008569E0" w:rsidRDefault="003E6FD7" w:rsidP="009F0C98">
            <w:pPr>
              <w:jc w:val="both"/>
              <w:rPr>
                <w:sz w:val="18"/>
                <w:szCs w:val="18"/>
              </w:rPr>
            </w:pPr>
            <w:r w:rsidRPr="008569E0">
              <w:rPr>
                <w:sz w:val="18"/>
                <w:szCs w:val="18"/>
              </w:rPr>
              <w:t>11.7</w:t>
            </w:r>
          </w:p>
        </w:tc>
        <w:tc>
          <w:tcPr>
            <w:tcW w:w="916" w:type="dxa"/>
            <w:shd w:val="pct10" w:color="auto" w:fill="auto"/>
          </w:tcPr>
          <w:p w:rsidR="003E6FD7" w:rsidRPr="008569E0" w:rsidRDefault="003E6FD7" w:rsidP="009F0C98">
            <w:pPr>
              <w:jc w:val="both"/>
              <w:rPr>
                <w:sz w:val="18"/>
                <w:szCs w:val="18"/>
              </w:rPr>
            </w:pPr>
            <w:r w:rsidRPr="008569E0">
              <w:rPr>
                <w:sz w:val="18"/>
                <w:szCs w:val="18"/>
              </w:rPr>
              <w:t>n.a.</w:t>
            </w:r>
          </w:p>
        </w:tc>
        <w:tc>
          <w:tcPr>
            <w:tcW w:w="645" w:type="dxa"/>
          </w:tcPr>
          <w:p w:rsidR="003E6FD7" w:rsidRPr="008569E0" w:rsidRDefault="003E6FD7" w:rsidP="009F0C98">
            <w:pPr>
              <w:jc w:val="both"/>
              <w:rPr>
                <w:sz w:val="18"/>
                <w:szCs w:val="18"/>
              </w:rPr>
            </w:pPr>
            <w:r w:rsidRPr="008569E0">
              <w:rPr>
                <w:sz w:val="18"/>
                <w:szCs w:val="18"/>
              </w:rPr>
              <w:t>17.0</w:t>
            </w:r>
          </w:p>
        </w:tc>
        <w:tc>
          <w:tcPr>
            <w:tcW w:w="931" w:type="dxa"/>
            <w:shd w:val="pct10" w:color="auto" w:fill="auto"/>
          </w:tcPr>
          <w:p w:rsidR="003E6FD7" w:rsidRPr="008569E0" w:rsidRDefault="003E6FD7" w:rsidP="009F0C98">
            <w:pPr>
              <w:jc w:val="both"/>
              <w:rPr>
                <w:sz w:val="18"/>
                <w:szCs w:val="18"/>
              </w:rPr>
            </w:pPr>
            <w:r w:rsidRPr="008569E0">
              <w:rPr>
                <w:sz w:val="18"/>
                <w:szCs w:val="18"/>
              </w:rPr>
              <w:t>45.3</w:t>
            </w:r>
          </w:p>
        </w:tc>
        <w:tc>
          <w:tcPr>
            <w:tcW w:w="637" w:type="dxa"/>
          </w:tcPr>
          <w:p w:rsidR="003E6FD7" w:rsidRPr="008569E0" w:rsidRDefault="003E6FD7" w:rsidP="009F0C98">
            <w:pPr>
              <w:jc w:val="both"/>
              <w:rPr>
                <w:sz w:val="18"/>
                <w:szCs w:val="18"/>
              </w:rPr>
            </w:pPr>
            <w:r w:rsidRPr="008569E0">
              <w:rPr>
                <w:sz w:val="18"/>
                <w:szCs w:val="18"/>
              </w:rPr>
              <w:t>25.6</w:t>
            </w:r>
          </w:p>
        </w:tc>
        <w:tc>
          <w:tcPr>
            <w:tcW w:w="977" w:type="dxa"/>
            <w:shd w:val="pct10" w:color="auto" w:fill="auto"/>
          </w:tcPr>
          <w:p w:rsidR="003E6FD7" w:rsidRPr="008569E0" w:rsidRDefault="003E6FD7" w:rsidP="009F0C98">
            <w:pPr>
              <w:jc w:val="both"/>
              <w:rPr>
                <w:sz w:val="18"/>
                <w:szCs w:val="18"/>
              </w:rPr>
            </w:pPr>
            <w:r w:rsidRPr="008569E0">
              <w:rPr>
                <w:sz w:val="18"/>
                <w:szCs w:val="18"/>
              </w:rPr>
              <w:t>50.9</w:t>
            </w:r>
          </w:p>
        </w:tc>
        <w:tc>
          <w:tcPr>
            <w:tcW w:w="652" w:type="dxa"/>
          </w:tcPr>
          <w:p w:rsidR="003E6FD7" w:rsidRPr="008569E0" w:rsidRDefault="003E6FD7" w:rsidP="009F0C98">
            <w:pPr>
              <w:jc w:val="both"/>
              <w:rPr>
                <w:sz w:val="18"/>
                <w:szCs w:val="18"/>
              </w:rPr>
            </w:pPr>
            <w:r w:rsidRPr="008569E0">
              <w:rPr>
                <w:sz w:val="18"/>
                <w:szCs w:val="18"/>
              </w:rPr>
              <w:t>28.7</w:t>
            </w:r>
          </w:p>
        </w:tc>
        <w:tc>
          <w:tcPr>
            <w:tcW w:w="977" w:type="dxa"/>
            <w:shd w:val="pct10" w:color="auto" w:fill="auto"/>
          </w:tcPr>
          <w:p w:rsidR="003E6FD7" w:rsidRPr="008569E0" w:rsidRDefault="003E6FD7" w:rsidP="009F0C98">
            <w:pPr>
              <w:jc w:val="both"/>
              <w:rPr>
                <w:sz w:val="18"/>
                <w:szCs w:val="18"/>
              </w:rPr>
            </w:pPr>
            <w:r w:rsidRPr="008569E0">
              <w:rPr>
                <w:sz w:val="18"/>
                <w:szCs w:val="18"/>
              </w:rPr>
              <w:t xml:space="preserve"> 12.1</w:t>
            </w:r>
          </w:p>
        </w:tc>
      </w:tr>
      <w:tr w:rsidR="003E6FD7" w:rsidRPr="008569E0" w:rsidTr="009F0C98">
        <w:tc>
          <w:tcPr>
            <w:tcW w:w="836" w:type="dxa"/>
          </w:tcPr>
          <w:p w:rsidR="003E6FD7" w:rsidRPr="008569E0" w:rsidRDefault="003E6FD7" w:rsidP="009F0C98">
            <w:pPr>
              <w:jc w:val="both"/>
              <w:rPr>
                <w:b/>
                <w:sz w:val="18"/>
                <w:szCs w:val="18"/>
              </w:rPr>
            </w:pPr>
            <w:r w:rsidRPr="008569E0">
              <w:rPr>
                <w:b/>
                <w:sz w:val="18"/>
                <w:szCs w:val="18"/>
              </w:rPr>
              <w:t xml:space="preserve">Total </w:t>
            </w:r>
          </w:p>
        </w:tc>
        <w:tc>
          <w:tcPr>
            <w:tcW w:w="646" w:type="dxa"/>
          </w:tcPr>
          <w:p w:rsidR="003E6FD7" w:rsidRPr="008569E0" w:rsidRDefault="003E6FD7" w:rsidP="009F0C98">
            <w:pPr>
              <w:jc w:val="both"/>
              <w:rPr>
                <w:b/>
                <w:sz w:val="18"/>
                <w:szCs w:val="18"/>
              </w:rPr>
            </w:pPr>
            <w:r w:rsidRPr="008569E0">
              <w:rPr>
                <w:b/>
                <w:sz w:val="18"/>
                <w:szCs w:val="18"/>
              </w:rPr>
              <w:t>11.7</w:t>
            </w:r>
          </w:p>
        </w:tc>
        <w:tc>
          <w:tcPr>
            <w:tcW w:w="916" w:type="dxa"/>
            <w:shd w:val="pct10" w:color="auto" w:fill="auto"/>
          </w:tcPr>
          <w:p w:rsidR="003E6FD7" w:rsidRPr="008569E0" w:rsidRDefault="003E6FD7" w:rsidP="009F0C98">
            <w:pPr>
              <w:jc w:val="both"/>
              <w:rPr>
                <w:b/>
                <w:sz w:val="18"/>
                <w:szCs w:val="18"/>
              </w:rPr>
            </w:pPr>
            <w:r w:rsidRPr="008569E0">
              <w:rPr>
                <w:b/>
                <w:sz w:val="18"/>
                <w:szCs w:val="18"/>
              </w:rPr>
              <w:t>n.a.</w:t>
            </w:r>
          </w:p>
        </w:tc>
        <w:tc>
          <w:tcPr>
            <w:tcW w:w="645" w:type="dxa"/>
          </w:tcPr>
          <w:p w:rsidR="003E6FD7" w:rsidRPr="008569E0" w:rsidRDefault="003E6FD7" w:rsidP="009F0C98">
            <w:pPr>
              <w:jc w:val="both"/>
              <w:rPr>
                <w:b/>
                <w:sz w:val="18"/>
                <w:szCs w:val="18"/>
              </w:rPr>
            </w:pPr>
            <w:r w:rsidRPr="008569E0">
              <w:rPr>
                <w:b/>
                <w:sz w:val="18"/>
                <w:szCs w:val="18"/>
              </w:rPr>
              <w:t>17.0</w:t>
            </w:r>
          </w:p>
        </w:tc>
        <w:tc>
          <w:tcPr>
            <w:tcW w:w="931" w:type="dxa"/>
            <w:shd w:val="pct10" w:color="auto" w:fill="auto"/>
          </w:tcPr>
          <w:p w:rsidR="003E6FD7" w:rsidRPr="008569E0" w:rsidRDefault="003E6FD7" w:rsidP="009F0C98">
            <w:pPr>
              <w:jc w:val="both"/>
              <w:rPr>
                <w:b/>
                <w:sz w:val="18"/>
                <w:szCs w:val="18"/>
              </w:rPr>
            </w:pPr>
            <w:r w:rsidRPr="008569E0">
              <w:rPr>
                <w:b/>
                <w:sz w:val="18"/>
                <w:szCs w:val="18"/>
              </w:rPr>
              <w:t>45.3</w:t>
            </w:r>
          </w:p>
        </w:tc>
        <w:tc>
          <w:tcPr>
            <w:tcW w:w="637" w:type="dxa"/>
          </w:tcPr>
          <w:p w:rsidR="003E6FD7" w:rsidRPr="008569E0" w:rsidRDefault="003E6FD7" w:rsidP="009F0C98">
            <w:pPr>
              <w:jc w:val="both"/>
              <w:rPr>
                <w:b/>
                <w:sz w:val="18"/>
                <w:szCs w:val="18"/>
              </w:rPr>
            </w:pPr>
            <w:r w:rsidRPr="008569E0">
              <w:rPr>
                <w:b/>
                <w:sz w:val="18"/>
                <w:szCs w:val="18"/>
              </w:rPr>
              <w:t>25.6</w:t>
            </w:r>
          </w:p>
        </w:tc>
        <w:tc>
          <w:tcPr>
            <w:tcW w:w="977" w:type="dxa"/>
            <w:shd w:val="pct10" w:color="auto" w:fill="auto"/>
          </w:tcPr>
          <w:p w:rsidR="003E6FD7" w:rsidRPr="008569E0" w:rsidRDefault="003E6FD7" w:rsidP="009F0C98">
            <w:pPr>
              <w:jc w:val="both"/>
              <w:rPr>
                <w:b/>
                <w:sz w:val="18"/>
                <w:szCs w:val="18"/>
              </w:rPr>
            </w:pPr>
            <w:r w:rsidRPr="008569E0">
              <w:rPr>
                <w:b/>
                <w:sz w:val="18"/>
                <w:szCs w:val="18"/>
              </w:rPr>
              <w:t>50.9</w:t>
            </w:r>
          </w:p>
        </w:tc>
        <w:tc>
          <w:tcPr>
            <w:tcW w:w="652" w:type="dxa"/>
          </w:tcPr>
          <w:p w:rsidR="003E6FD7" w:rsidRPr="008569E0" w:rsidRDefault="003E6FD7" w:rsidP="009F0C98">
            <w:pPr>
              <w:jc w:val="both"/>
              <w:rPr>
                <w:b/>
                <w:sz w:val="18"/>
                <w:szCs w:val="18"/>
              </w:rPr>
            </w:pPr>
            <w:r w:rsidRPr="008569E0">
              <w:rPr>
                <w:b/>
                <w:sz w:val="18"/>
                <w:szCs w:val="18"/>
              </w:rPr>
              <w:t>28.7</w:t>
            </w:r>
          </w:p>
        </w:tc>
        <w:tc>
          <w:tcPr>
            <w:tcW w:w="977" w:type="dxa"/>
            <w:shd w:val="pct10" w:color="auto" w:fill="auto"/>
          </w:tcPr>
          <w:p w:rsidR="003E6FD7" w:rsidRPr="008569E0" w:rsidRDefault="003E6FD7" w:rsidP="009F0C98">
            <w:pPr>
              <w:jc w:val="both"/>
              <w:rPr>
                <w:b/>
                <w:sz w:val="18"/>
                <w:szCs w:val="18"/>
              </w:rPr>
            </w:pPr>
            <w:r w:rsidRPr="008569E0">
              <w:rPr>
                <w:b/>
                <w:sz w:val="18"/>
                <w:szCs w:val="18"/>
              </w:rPr>
              <w:t>12.1</w:t>
            </w:r>
          </w:p>
        </w:tc>
      </w:tr>
    </w:tbl>
    <w:p w:rsidR="003E6FD7" w:rsidRPr="009F0F3B" w:rsidRDefault="003E6FD7" w:rsidP="003E6FD7">
      <w:pPr>
        <w:jc w:val="both"/>
        <w:rPr>
          <w:i/>
          <w:sz w:val="18"/>
          <w:szCs w:val="18"/>
        </w:rPr>
      </w:pPr>
      <w:r w:rsidRPr="009F0F3B">
        <w:rPr>
          <w:i/>
          <w:sz w:val="18"/>
          <w:szCs w:val="18"/>
        </w:rPr>
        <w:t>Source: CBA</w:t>
      </w:r>
    </w:p>
    <w:p w:rsidR="003E6FD7" w:rsidRDefault="003E6FD7" w:rsidP="003E6FD7">
      <w:pPr>
        <w:pStyle w:val="BodyText"/>
        <w:tabs>
          <w:tab w:val="left" w:pos="360"/>
          <w:tab w:val="left" w:pos="630"/>
        </w:tabs>
        <w:suppressAutoHyphens/>
        <w:spacing w:before="0" w:after="0" w:line="240" w:lineRule="auto"/>
        <w:rPr>
          <w:b/>
          <w:sz w:val="22"/>
          <w:szCs w:val="22"/>
        </w:rPr>
      </w:pPr>
    </w:p>
    <w:p w:rsidR="003E6FD7" w:rsidRDefault="003E6FD7" w:rsidP="003E6FD7">
      <w:pPr>
        <w:pStyle w:val="BodyText"/>
        <w:tabs>
          <w:tab w:val="left" w:pos="360"/>
          <w:tab w:val="left" w:pos="630"/>
        </w:tabs>
        <w:suppressAutoHyphens/>
        <w:spacing w:before="0" w:after="0" w:line="240" w:lineRule="auto"/>
        <w:rPr>
          <w:bCs/>
          <w:sz w:val="22"/>
          <w:szCs w:val="22"/>
          <w:lang w:val="en-GB"/>
        </w:rPr>
      </w:pPr>
      <w:r>
        <w:rPr>
          <w:b/>
          <w:sz w:val="22"/>
          <w:szCs w:val="22"/>
        </w:rPr>
        <w:t xml:space="preserve"> </w:t>
      </w:r>
    </w:p>
    <w:p w:rsidR="003E6FD7" w:rsidRPr="003E6FD7" w:rsidRDefault="00C35C46" w:rsidP="00600A07">
      <w:pPr>
        <w:pStyle w:val="BodyText"/>
        <w:numPr>
          <w:ilvl w:val="0"/>
          <w:numId w:val="5"/>
        </w:numPr>
        <w:tabs>
          <w:tab w:val="left" w:pos="360"/>
          <w:tab w:val="left" w:pos="630"/>
        </w:tabs>
        <w:suppressAutoHyphens/>
        <w:spacing w:before="0" w:after="0" w:line="240" w:lineRule="auto"/>
        <w:ind w:left="0" w:firstLine="0"/>
        <w:rPr>
          <w:bCs/>
          <w:sz w:val="22"/>
          <w:szCs w:val="22"/>
          <w:lang w:val="en-GB"/>
        </w:rPr>
      </w:pPr>
      <w:r w:rsidRPr="00C35C46">
        <w:rPr>
          <w:b/>
          <w:bCs/>
          <w:sz w:val="22"/>
          <w:szCs w:val="22"/>
          <w:lang w:val="en-GB"/>
        </w:rPr>
        <w:t>The equity market in Armenia has suffered considerably from the 2008 crisis.</w:t>
      </w:r>
      <w:r w:rsidRPr="00C35C46">
        <w:rPr>
          <w:bCs/>
          <w:sz w:val="22"/>
          <w:szCs w:val="22"/>
          <w:lang w:val="en-GB"/>
        </w:rPr>
        <w:t xml:space="preserve"> The market had been developing before the crash but has stayed flat since then. As can be seen from </w:t>
      </w:r>
      <w:r>
        <w:rPr>
          <w:bCs/>
          <w:sz w:val="22"/>
          <w:szCs w:val="22"/>
          <w:lang w:val="en-GB"/>
        </w:rPr>
        <w:t>the following table</w:t>
      </w:r>
      <w:r w:rsidRPr="00C35C46">
        <w:rPr>
          <w:bCs/>
          <w:sz w:val="22"/>
          <w:szCs w:val="22"/>
          <w:lang w:val="en-GB"/>
        </w:rPr>
        <w:t xml:space="preserve"> there has been little if any increase in the activity of the market since 2008</w:t>
      </w:r>
      <w:r>
        <w:rPr>
          <w:bCs/>
          <w:sz w:val="22"/>
          <w:szCs w:val="22"/>
          <w:lang w:val="en-GB"/>
        </w:rPr>
        <w:t xml:space="preserve"> as there are no mutual funds or Pillar III pension funds that usually drive the growth of new securities markets</w:t>
      </w:r>
      <w:r w:rsidRPr="00C35C46">
        <w:rPr>
          <w:bCs/>
          <w:sz w:val="22"/>
          <w:szCs w:val="22"/>
          <w:lang w:val="en-GB"/>
        </w:rPr>
        <w:t>. This has also been reflected in the low number of listings on the NASDAQ OMX Armenia exchange. The largest number of listings is in the free market, but as of 2011 even these are quite limited in number.</w:t>
      </w:r>
    </w:p>
    <w:p w:rsidR="003E6FD7" w:rsidRPr="00C63590" w:rsidRDefault="003E6FD7" w:rsidP="003E6FD7">
      <w:pPr>
        <w:pStyle w:val="BodyText"/>
        <w:tabs>
          <w:tab w:val="left" w:pos="360"/>
          <w:tab w:val="left" w:pos="630"/>
        </w:tabs>
        <w:suppressAutoHyphens/>
        <w:spacing w:before="0" w:after="0" w:line="240" w:lineRule="auto"/>
        <w:rPr>
          <w:bCs/>
          <w:sz w:val="22"/>
          <w:szCs w:val="22"/>
          <w:lang w:val="en-GB"/>
        </w:rPr>
      </w:pPr>
    </w:p>
    <w:p w:rsidR="00C35C46" w:rsidRPr="007D1A4C" w:rsidRDefault="00C35C46" w:rsidP="00C35C46">
      <w:pPr>
        <w:pStyle w:val="TableofFigures"/>
        <w:rPr>
          <w:i/>
        </w:rPr>
      </w:pPr>
      <w:bookmarkStart w:id="33" w:name="_Toc318971034"/>
      <w:r w:rsidRPr="007D1A4C">
        <w:rPr>
          <w:i/>
        </w:rPr>
        <w:t>Table 4: Stock market capitalization as % of GDP</w:t>
      </w:r>
      <w:bookmarkEnd w:id="33"/>
    </w:p>
    <w:tbl>
      <w:tblPr>
        <w:tblStyle w:val="TableGrid"/>
        <w:tblW w:w="0" w:type="auto"/>
        <w:jc w:val="center"/>
        <w:tblLook w:val="04A0" w:firstRow="1" w:lastRow="0" w:firstColumn="1" w:lastColumn="0" w:noHBand="0" w:noVBand="1"/>
      </w:tblPr>
      <w:tblGrid>
        <w:gridCol w:w="1407"/>
        <w:gridCol w:w="1599"/>
        <w:gridCol w:w="1599"/>
        <w:gridCol w:w="1599"/>
        <w:gridCol w:w="1599"/>
        <w:gridCol w:w="1053"/>
      </w:tblGrid>
      <w:tr w:rsidR="00C35C46" w:rsidRPr="006C0E8A" w:rsidTr="009F0C98">
        <w:trPr>
          <w:jc w:val="center"/>
        </w:trPr>
        <w:tc>
          <w:tcPr>
            <w:tcW w:w="1407" w:type="dxa"/>
          </w:tcPr>
          <w:p w:rsidR="00C35C46" w:rsidRPr="00381AB2" w:rsidRDefault="00C35C46" w:rsidP="009F0C98">
            <w:pPr>
              <w:suppressAutoHyphens/>
              <w:spacing w:after="60"/>
              <w:jc w:val="both"/>
              <w:rPr>
                <w:b/>
                <w:sz w:val="18"/>
                <w:szCs w:val="18"/>
              </w:rPr>
            </w:pPr>
            <w:r w:rsidRPr="00381AB2">
              <w:rPr>
                <w:b/>
                <w:sz w:val="18"/>
                <w:szCs w:val="18"/>
              </w:rPr>
              <w:t>Year</w:t>
            </w:r>
          </w:p>
        </w:tc>
        <w:tc>
          <w:tcPr>
            <w:tcW w:w="1599" w:type="dxa"/>
          </w:tcPr>
          <w:p w:rsidR="00C35C46" w:rsidRPr="00381AB2" w:rsidRDefault="00C35C46" w:rsidP="009F0C98">
            <w:pPr>
              <w:suppressAutoHyphens/>
              <w:spacing w:after="60"/>
              <w:jc w:val="both"/>
              <w:rPr>
                <w:b/>
                <w:sz w:val="18"/>
                <w:szCs w:val="18"/>
              </w:rPr>
            </w:pPr>
            <w:r w:rsidRPr="00381AB2">
              <w:rPr>
                <w:b/>
                <w:sz w:val="18"/>
                <w:szCs w:val="18"/>
              </w:rPr>
              <w:t>2007</w:t>
            </w:r>
          </w:p>
        </w:tc>
        <w:tc>
          <w:tcPr>
            <w:tcW w:w="1599" w:type="dxa"/>
          </w:tcPr>
          <w:p w:rsidR="00C35C46" w:rsidRPr="00381AB2" w:rsidRDefault="00C35C46" w:rsidP="009F0C98">
            <w:pPr>
              <w:suppressAutoHyphens/>
              <w:spacing w:after="60"/>
              <w:jc w:val="both"/>
              <w:rPr>
                <w:b/>
                <w:sz w:val="18"/>
                <w:szCs w:val="18"/>
              </w:rPr>
            </w:pPr>
            <w:r w:rsidRPr="00381AB2">
              <w:rPr>
                <w:b/>
                <w:sz w:val="18"/>
                <w:szCs w:val="18"/>
              </w:rPr>
              <w:t>2008</w:t>
            </w:r>
          </w:p>
        </w:tc>
        <w:tc>
          <w:tcPr>
            <w:tcW w:w="1599" w:type="dxa"/>
          </w:tcPr>
          <w:p w:rsidR="00C35C46" w:rsidRPr="00381AB2" w:rsidRDefault="00C35C46" w:rsidP="009F0C98">
            <w:pPr>
              <w:suppressAutoHyphens/>
              <w:spacing w:after="60"/>
              <w:jc w:val="both"/>
              <w:rPr>
                <w:b/>
                <w:sz w:val="18"/>
                <w:szCs w:val="18"/>
              </w:rPr>
            </w:pPr>
            <w:r w:rsidRPr="00381AB2">
              <w:rPr>
                <w:b/>
                <w:sz w:val="18"/>
                <w:szCs w:val="18"/>
              </w:rPr>
              <w:t>2009</w:t>
            </w:r>
          </w:p>
        </w:tc>
        <w:tc>
          <w:tcPr>
            <w:tcW w:w="1599" w:type="dxa"/>
          </w:tcPr>
          <w:p w:rsidR="00C35C46" w:rsidRPr="00381AB2" w:rsidRDefault="00C35C46" w:rsidP="009F0C98">
            <w:pPr>
              <w:suppressAutoHyphens/>
              <w:spacing w:after="60"/>
              <w:jc w:val="both"/>
              <w:rPr>
                <w:b/>
                <w:sz w:val="18"/>
                <w:szCs w:val="18"/>
              </w:rPr>
            </w:pPr>
            <w:r w:rsidRPr="00381AB2">
              <w:rPr>
                <w:b/>
                <w:sz w:val="18"/>
                <w:szCs w:val="18"/>
              </w:rPr>
              <w:t>2010</w:t>
            </w:r>
          </w:p>
        </w:tc>
        <w:tc>
          <w:tcPr>
            <w:tcW w:w="1053" w:type="dxa"/>
          </w:tcPr>
          <w:p w:rsidR="00C35C46" w:rsidRPr="00381AB2" w:rsidRDefault="00C35C46" w:rsidP="009F0C98">
            <w:pPr>
              <w:suppressAutoHyphens/>
              <w:spacing w:after="60"/>
              <w:jc w:val="both"/>
              <w:rPr>
                <w:b/>
                <w:sz w:val="18"/>
                <w:szCs w:val="18"/>
              </w:rPr>
            </w:pPr>
            <w:r w:rsidRPr="00381AB2">
              <w:rPr>
                <w:b/>
                <w:sz w:val="18"/>
                <w:szCs w:val="18"/>
              </w:rPr>
              <w:t>2011</w:t>
            </w:r>
          </w:p>
        </w:tc>
      </w:tr>
      <w:tr w:rsidR="00C35C46" w:rsidRPr="006C0E8A" w:rsidTr="009F0C98">
        <w:trPr>
          <w:jc w:val="center"/>
        </w:trPr>
        <w:tc>
          <w:tcPr>
            <w:tcW w:w="1407" w:type="dxa"/>
          </w:tcPr>
          <w:p w:rsidR="00C35C46" w:rsidRPr="00381AB2" w:rsidRDefault="00C35C46" w:rsidP="009F0C98">
            <w:pPr>
              <w:suppressAutoHyphens/>
              <w:spacing w:after="60"/>
              <w:jc w:val="both"/>
              <w:rPr>
                <w:b/>
                <w:sz w:val="18"/>
                <w:szCs w:val="18"/>
              </w:rPr>
            </w:pPr>
            <w:r w:rsidRPr="00381AB2">
              <w:rPr>
                <w:b/>
                <w:sz w:val="18"/>
                <w:szCs w:val="18"/>
              </w:rPr>
              <w:t>Capitalization</w:t>
            </w:r>
          </w:p>
          <w:p w:rsidR="00C35C46" w:rsidRPr="00381AB2" w:rsidRDefault="00C35C46" w:rsidP="009F0C98">
            <w:pPr>
              <w:suppressAutoHyphens/>
              <w:spacing w:after="60"/>
              <w:jc w:val="both"/>
              <w:rPr>
                <w:b/>
                <w:sz w:val="18"/>
                <w:szCs w:val="18"/>
              </w:rPr>
            </w:pPr>
            <w:r w:rsidRPr="00381AB2">
              <w:rPr>
                <w:b/>
                <w:sz w:val="18"/>
                <w:szCs w:val="18"/>
              </w:rPr>
              <w:t>In AMD mln.</w:t>
            </w:r>
          </w:p>
        </w:tc>
        <w:tc>
          <w:tcPr>
            <w:tcW w:w="1599" w:type="dxa"/>
          </w:tcPr>
          <w:p w:rsidR="00C35C46" w:rsidRPr="00381AB2" w:rsidRDefault="00C35C46" w:rsidP="009F0C98">
            <w:pPr>
              <w:suppressAutoHyphens/>
              <w:spacing w:after="60"/>
              <w:jc w:val="both"/>
              <w:rPr>
                <w:sz w:val="18"/>
                <w:szCs w:val="18"/>
              </w:rPr>
            </w:pPr>
            <w:r w:rsidRPr="00381AB2">
              <w:rPr>
                <w:sz w:val="18"/>
                <w:szCs w:val="18"/>
              </w:rPr>
              <w:t>32,089.9</w:t>
            </w:r>
          </w:p>
        </w:tc>
        <w:tc>
          <w:tcPr>
            <w:tcW w:w="1599" w:type="dxa"/>
          </w:tcPr>
          <w:p w:rsidR="00C35C46" w:rsidRPr="00381AB2" w:rsidRDefault="00C35C46" w:rsidP="009F0C98">
            <w:pPr>
              <w:suppressAutoHyphens/>
              <w:spacing w:after="60"/>
              <w:jc w:val="both"/>
              <w:rPr>
                <w:sz w:val="18"/>
                <w:szCs w:val="18"/>
              </w:rPr>
            </w:pPr>
            <w:r w:rsidRPr="00381AB2">
              <w:rPr>
                <w:sz w:val="18"/>
                <w:szCs w:val="18"/>
              </w:rPr>
              <w:t>53,991.1</w:t>
            </w:r>
          </w:p>
        </w:tc>
        <w:tc>
          <w:tcPr>
            <w:tcW w:w="1599" w:type="dxa"/>
          </w:tcPr>
          <w:p w:rsidR="00C35C46" w:rsidRPr="00381AB2" w:rsidRDefault="00C35C46" w:rsidP="009F0C98">
            <w:pPr>
              <w:suppressAutoHyphens/>
              <w:spacing w:after="60"/>
              <w:jc w:val="both"/>
              <w:rPr>
                <w:sz w:val="18"/>
                <w:szCs w:val="18"/>
              </w:rPr>
            </w:pPr>
            <w:r w:rsidRPr="00381AB2">
              <w:rPr>
                <w:sz w:val="18"/>
                <w:szCs w:val="18"/>
              </w:rPr>
              <w:t>53,097.2</w:t>
            </w:r>
          </w:p>
        </w:tc>
        <w:tc>
          <w:tcPr>
            <w:tcW w:w="1599" w:type="dxa"/>
          </w:tcPr>
          <w:p w:rsidR="00C35C46" w:rsidRPr="00381AB2" w:rsidRDefault="00C35C46" w:rsidP="009F0C98">
            <w:pPr>
              <w:suppressAutoHyphens/>
              <w:spacing w:after="60"/>
              <w:jc w:val="both"/>
              <w:rPr>
                <w:sz w:val="18"/>
                <w:szCs w:val="18"/>
              </w:rPr>
            </w:pPr>
            <w:r w:rsidRPr="00381AB2">
              <w:rPr>
                <w:sz w:val="18"/>
                <w:szCs w:val="18"/>
              </w:rPr>
              <w:t>52,620.7</w:t>
            </w:r>
          </w:p>
        </w:tc>
        <w:tc>
          <w:tcPr>
            <w:tcW w:w="1053" w:type="dxa"/>
          </w:tcPr>
          <w:p w:rsidR="00C35C46" w:rsidRPr="00381AB2" w:rsidRDefault="00C35C46" w:rsidP="009F0C98">
            <w:pPr>
              <w:suppressAutoHyphens/>
              <w:spacing w:after="60"/>
              <w:jc w:val="both"/>
              <w:rPr>
                <w:sz w:val="18"/>
                <w:szCs w:val="18"/>
              </w:rPr>
            </w:pPr>
            <w:r w:rsidRPr="00381AB2">
              <w:rPr>
                <w:sz w:val="18"/>
                <w:szCs w:val="18"/>
              </w:rPr>
              <w:t>53,847.2</w:t>
            </w:r>
          </w:p>
        </w:tc>
      </w:tr>
      <w:tr w:rsidR="00C35C46" w:rsidRPr="006C0E8A" w:rsidTr="009F0C98">
        <w:trPr>
          <w:jc w:val="center"/>
        </w:trPr>
        <w:tc>
          <w:tcPr>
            <w:tcW w:w="1407" w:type="dxa"/>
          </w:tcPr>
          <w:p w:rsidR="00C35C46" w:rsidRPr="00381AB2" w:rsidRDefault="00C35C46" w:rsidP="009F0C98">
            <w:pPr>
              <w:suppressAutoHyphens/>
              <w:spacing w:after="60"/>
              <w:jc w:val="both"/>
              <w:rPr>
                <w:b/>
                <w:sz w:val="18"/>
                <w:szCs w:val="18"/>
              </w:rPr>
            </w:pPr>
            <w:r w:rsidRPr="00381AB2">
              <w:rPr>
                <w:b/>
                <w:sz w:val="18"/>
                <w:szCs w:val="18"/>
              </w:rPr>
              <w:t>% of GDP</w:t>
            </w:r>
          </w:p>
        </w:tc>
        <w:tc>
          <w:tcPr>
            <w:tcW w:w="1599" w:type="dxa"/>
          </w:tcPr>
          <w:p w:rsidR="00C35C46" w:rsidRPr="00381AB2" w:rsidRDefault="00C35C46" w:rsidP="009F0C98">
            <w:pPr>
              <w:suppressAutoHyphens/>
              <w:spacing w:after="60"/>
              <w:jc w:val="both"/>
              <w:rPr>
                <w:sz w:val="18"/>
                <w:szCs w:val="18"/>
              </w:rPr>
            </w:pPr>
            <w:r w:rsidRPr="00381AB2">
              <w:rPr>
                <w:sz w:val="18"/>
                <w:szCs w:val="18"/>
              </w:rPr>
              <w:t xml:space="preserve"> 1.1</w:t>
            </w:r>
          </w:p>
        </w:tc>
        <w:tc>
          <w:tcPr>
            <w:tcW w:w="1599" w:type="dxa"/>
          </w:tcPr>
          <w:p w:rsidR="00C35C46" w:rsidRPr="00381AB2" w:rsidRDefault="00C35C46" w:rsidP="009F0C98">
            <w:pPr>
              <w:suppressAutoHyphens/>
              <w:spacing w:after="60"/>
              <w:jc w:val="both"/>
              <w:rPr>
                <w:sz w:val="18"/>
                <w:szCs w:val="18"/>
              </w:rPr>
            </w:pPr>
            <w:r w:rsidRPr="00381AB2">
              <w:rPr>
                <w:sz w:val="18"/>
                <w:szCs w:val="18"/>
              </w:rPr>
              <w:t>1.5</w:t>
            </w:r>
          </w:p>
        </w:tc>
        <w:tc>
          <w:tcPr>
            <w:tcW w:w="1599" w:type="dxa"/>
          </w:tcPr>
          <w:p w:rsidR="00C35C46" w:rsidRPr="00381AB2" w:rsidRDefault="00C35C46" w:rsidP="009F0C98">
            <w:pPr>
              <w:suppressAutoHyphens/>
              <w:spacing w:after="60"/>
              <w:jc w:val="both"/>
              <w:rPr>
                <w:sz w:val="18"/>
                <w:szCs w:val="18"/>
              </w:rPr>
            </w:pPr>
            <w:r w:rsidRPr="00381AB2">
              <w:rPr>
                <w:sz w:val="18"/>
                <w:szCs w:val="18"/>
              </w:rPr>
              <w:t>1.6</w:t>
            </w:r>
          </w:p>
        </w:tc>
        <w:tc>
          <w:tcPr>
            <w:tcW w:w="1599" w:type="dxa"/>
          </w:tcPr>
          <w:p w:rsidR="00C35C46" w:rsidRPr="00381AB2" w:rsidRDefault="00C35C46" w:rsidP="009F0C98">
            <w:pPr>
              <w:suppressAutoHyphens/>
              <w:spacing w:after="60"/>
              <w:jc w:val="both"/>
              <w:rPr>
                <w:sz w:val="18"/>
                <w:szCs w:val="18"/>
              </w:rPr>
            </w:pPr>
            <w:r>
              <w:rPr>
                <w:sz w:val="18"/>
                <w:szCs w:val="18"/>
              </w:rPr>
              <w:t>1.5</w:t>
            </w:r>
          </w:p>
        </w:tc>
        <w:tc>
          <w:tcPr>
            <w:tcW w:w="1053" w:type="dxa"/>
          </w:tcPr>
          <w:p w:rsidR="00C35C46" w:rsidRPr="00381AB2" w:rsidRDefault="00C35C46" w:rsidP="009F0C98">
            <w:pPr>
              <w:suppressAutoHyphens/>
              <w:spacing w:after="60"/>
              <w:jc w:val="both"/>
              <w:rPr>
                <w:sz w:val="18"/>
                <w:szCs w:val="18"/>
              </w:rPr>
            </w:pPr>
            <w:r w:rsidRPr="00381AB2">
              <w:rPr>
                <w:sz w:val="18"/>
                <w:szCs w:val="18"/>
              </w:rPr>
              <w:t>N/A</w:t>
            </w:r>
          </w:p>
        </w:tc>
      </w:tr>
    </w:tbl>
    <w:p w:rsidR="00C35C46" w:rsidRPr="006C0E8A" w:rsidRDefault="00C35C46" w:rsidP="00C35C46">
      <w:pPr>
        <w:suppressAutoHyphens/>
        <w:spacing w:after="60"/>
        <w:jc w:val="both"/>
        <w:rPr>
          <w:i/>
          <w:sz w:val="18"/>
          <w:szCs w:val="18"/>
        </w:rPr>
      </w:pPr>
      <w:r w:rsidRPr="006C0E8A">
        <w:rPr>
          <w:i/>
          <w:sz w:val="18"/>
          <w:szCs w:val="18"/>
        </w:rPr>
        <w:t xml:space="preserve">Source: NASDAQ OMX Armenia </w:t>
      </w:r>
    </w:p>
    <w:p w:rsidR="00600A07" w:rsidRDefault="00600A07" w:rsidP="00600A07">
      <w:pPr>
        <w:pStyle w:val="BodyText"/>
        <w:tabs>
          <w:tab w:val="left" w:pos="360"/>
          <w:tab w:val="left" w:pos="630"/>
        </w:tabs>
        <w:suppressAutoHyphens/>
        <w:spacing w:before="0" w:after="0" w:line="240" w:lineRule="auto"/>
        <w:rPr>
          <w:bCs/>
          <w:sz w:val="22"/>
          <w:szCs w:val="22"/>
          <w:lang w:val="en-GB"/>
        </w:rPr>
      </w:pPr>
    </w:p>
    <w:p w:rsidR="00606D34" w:rsidRDefault="00606D34" w:rsidP="00606D34">
      <w:pPr>
        <w:pStyle w:val="BodyText"/>
        <w:numPr>
          <w:ilvl w:val="0"/>
          <w:numId w:val="5"/>
        </w:numPr>
        <w:tabs>
          <w:tab w:val="left" w:pos="360"/>
          <w:tab w:val="left" w:pos="630"/>
        </w:tabs>
        <w:suppressAutoHyphens/>
        <w:spacing w:before="0" w:after="0" w:line="240" w:lineRule="auto"/>
        <w:ind w:left="0" w:firstLine="0"/>
        <w:rPr>
          <w:bCs/>
          <w:sz w:val="22"/>
          <w:szCs w:val="22"/>
          <w:lang w:val="en-GB"/>
        </w:rPr>
      </w:pPr>
      <w:r w:rsidRPr="00606D34">
        <w:rPr>
          <w:bCs/>
          <w:sz w:val="22"/>
          <w:szCs w:val="22"/>
          <w:lang w:val="en-GB"/>
        </w:rPr>
        <w:t xml:space="preserve">The size of the </w:t>
      </w:r>
      <w:r>
        <w:rPr>
          <w:bCs/>
          <w:sz w:val="22"/>
          <w:szCs w:val="22"/>
          <w:lang w:val="en-GB"/>
        </w:rPr>
        <w:t>non-bank credit</w:t>
      </w:r>
      <w:r w:rsidRPr="00606D34">
        <w:rPr>
          <w:bCs/>
          <w:sz w:val="22"/>
          <w:szCs w:val="22"/>
          <w:lang w:val="en-GB"/>
        </w:rPr>
        <w:t xml:space="preserve"> sector</w:t>
      </w:r>
      <w:r w:rsidR="00B671D4">
        <w:rPr>
          <w:rStyle w:val="FootnoteReference"/>
          <w:bCs/>
          <w:sz w:val="22"/>
          <w:szCs w:val="22"/>
          <w:lang w:val="en-GB"/>
        </w:rPr>
        <w:footnoteReference w:id="5"/>
      </w:r>
      <w:r w:rsidRPr="00606D34">
        <w:rPr>
          <w:bCs/>
          <w:sz w:val="22"/>
          <w:szCs w:val="22"/>
          <w:lang w:val="en-GB"/>
        </w:rPr>
        <w:t xml:space="preserve"> has significantly increased in the past three years. Table </w:t>
      </w:r>
      <w:r>
        <w:rPr>
          <w:bCs/>
          <w:sz w:val="22"/>
          <w:szCs w:val="22"/>
          <w:lang w:val="en-GB"/>
        </w:rPr>
        <w:t>5</w:t>
      </w:r>
      <w:r w:rsidRPr="00606D34">
        <w:rPr>
          <w:bCs/>
          <w:sz w:val="22"/>
          <w:szCs w:val="22"/>
          <w:lang w:val="en-GB"/>
        </w:rPr>
        <w:t xml:space="preserve"> shows that the total credit portfolio of credit organizations and pawnshops has almost doubled from December 2008 to September 2011, despite a slight decrease in 2009. The participation of loans to households in the credit organizations’ portfolio has also increased from 60 percent in December 2008 to 72 percent in September 2011. In terms of assets, the size of the credit organizations segment as percentage of GDP has increased from 1.8% in December 2008 to 2.5% in December 2011.</w:t>
      </w:r>
    </w:p>
    <w:p w:rsidR="00C96DB6" w:rsidRDefault="00C96DB6" w:rsidP="00C63590">
      <w:pPr>
        <w:pStyle w:val="BodyText"/>
        <w:tabs>
          <w:tab w:val="left" w:pos="360"/>
          <w:tab w:val="left" w:pos="630"/>
        </w:tabs>
        <w:suppressAutoHyphens/>
        <w:spacing w:before="0" w:after="60" w:line="240" w:lineRule="auto"/>
        <w:rPr>
          <w:sz w:val="18"/>
          <w:szCs w:val="22"/>
        </w:rPr>
      </w:pPr>
    </w:p>
    <w:p w:rsidR="00606D34" w:rsidRPr="009757D2" w:rsidRDefault="00606D34" w:rsidP="00606D34">
      <w:pPr>
        <w:pStyle w:val="TableofFigures"/>
        <w:rPr>
          <w:i/>
          <w:szCs w:val="22"/>
        </w:rPr>
      </w:pPr>
      <w:bookmarkStart w:id="34" w:name="_Toc318303613"/>
      <w:bookmarkStart w:id="35" w:name="_Toc318971042"/>
      <w:r w:rsidRPr="009757D2">
        <w:rPr>
          <w:i/>
          <w:szCs w:val="22"/>
        </w:rPr>
        <w:t xml:space="preserve">Table </w:t>
      </w:r>
      <w:r>
        <w:rPr>
          <w:i/>
          <w:szCs w:val="22"/>
        </w:rPr>
        <w:t>5</w:t>
      </w:r>
      <w:r w:rsidRPr="009757D2">
        <w:rPr>
          <w:i/>
          <w:szCs w:val="22"/>
        </w:rPr>
        <w:t>: Size of the Non-Bank Credit Sector</w:t>
      </w:r>
      <w:bookmarkEnd w:id="34"/>
      <w:bookmarkEnd w:id="35"/>
    </w:p>
    <w:p w:rsidR="00606D34" w:rsidRDefault="00606D34" w:rsidP="00606D34">
      <w:pPr>
        <w:rPr>
          <w:sz w:val="18"/>
          <w:szCs w:val="18"/>
        </w:rPr>
      </w:pPr>
      <w:r w:rsidRPr="008569E0">
        <w:rPr>
          <w:sz w:val="18"/>
          <w:szCs w:val="18"/>
        </w:rPr>
        <w:t xml:space="preserve">(in </w:t>
      </w:r>
      <w:r>
        <w:rPr>
          <w:sz w:val="18"/>
          <w:szCs w:val="18"/>
        </w:rPr>
        <w:t>AMD mln.</w:t>
      </w:r>
      <w:r w:rsidRPr="008569E0">
        <w:rPr>
          <w:sz w:val="18"/>
          <w:szCs w:val="18"/>
        </w:rPr>
        <w:t>)</w:t>
      </w:r>
    </w:p>
    <w:p w:rsidR="00937B37" w:rsidRDefault="00937B37" w:rsidP="00606D34">
      <w:pPr>
        <w:rPr>
          <w:sz w:val="18"/>
          <w:szCs w:val="18"/>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55"/>
        <w:gridCol w:w="825"/>
        <w:gridCol w:w="855"/>
        <w:gridCol w:w="825"/>
        <w:gridCol w:w="855"/>
        <w:gridCol w:w="825"/>
        <w:gridCol w:w="1005"/>
      </w:tblGrid>
      <w:tr w:rsidR="00B671D4" w:rsidTr="00937B37">
        <w:trPr>
          <w:tblCellSpacing w:w="15" w:type="dxa"/>
        </w:trPr>
        <w:tc>
          <w:tcPr>
            <w:tcW w:w="1665" w:type="dxa"/>
            <w:tcMar>
              <w:top w:w="15" w:type="dxa"/>
              <w:left w:w="15" w:type="dxa"/>
              <w:bottom w:w="15" w:type="dxa"/>
              <w:right w:w="15" w:type="dxa"/>
            </w:tcMar>
            <w:hideMark/>
          </w:tcPr>
          <w:p w:rsidR="00B671D4" w:rsidRDefault="00B671D4">
            <w:r>
              <w:rPr>
                <w:noProof/>
              </w:rPr>
              <w:drawing>
                <wp:inline distT="0" distB="0" distL="0" distR="0">
                  <wp:extent cx="7620" cy="7620"/>
                  <wp:effectExtent l="0" t="0" r="0" b="0"/>
                  <wp:docPr id="17" name="obrázek 1" descr="cid:0__=0ABBF0BBDFC6656E8f9e8a93df@worldbank.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__=0ABBF0BBDFC6656E8f9e8a93df@worldbank.org"/>
                          <pic:cNvPicPr>
                            <a:picLocks noChangeAspect="1" noChangeArrowheads="1"/>
                          </pic:cNvPicPr>
                        </pic:nvPicPr>
                        <pic:blipFill>
                          <a:blip r:embed="rId13" r:link="rId1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1650" w:type="dxa"/>
            <w:gridSpan w:val="2"/>
            <w:tcMar>
              <w:top w:w="15" w:type="dxa"/>
              <w:left w:w="15" w:type="dxa"/>
              <w:bottom w:w="15" w:type="dxa"/>
              <w:right w:w="15" w:type="dxa"/>
            </w:tcMar>
            <w:hideMark/>
          </w:tcPr>
          <w:p w:rsidR="00B671D4" w:rsidRDefault="00B671D4">
            <w:pPr>
              <w:jc w:val="center"/>
            </w:pPr>
            <w:r>
              <w:rPr>
                <w:b/>
                <w:bCs/>
                <w:sz w:val="15"/>
                <w:szCs w:val="15"/>
              </w:rPr>
              <w:t>Dec-2008</w:t>
            </w:r>
          </w:p>
        </w:tc>
        <w:tc>
          <w:tcPr>
            <w:tcW w:w="1650" w:type="dxa"/>
            <w:gridSpan w:val="2"/>
            <w:tcMar>
              <w:top w:w="15" w:type="dxa"/>
              <w:left w:w="15" w:type="dxa"/>
              <w:bottom w:w="15" w:type="dxa"/>
              <w:right w:w="15" w:type="dxa"/>
            </w:tcMar>
            <w:hideMark/>
          </w:tcPr>
          <w:p w:rsidR="00B671D4" w:rsidRDefault="00B671D4">
            <w:pPr>
              <w:jc w:val="center"/>
            </w:pPr>
            <w:r>
              <w:rPr>
                <w:b/>
                <w:bCs/>
                <w:sz w:val="15"/>
                <w:szCs w:val="15"/>
              </w:rPr>
              <w:t>Dec-2009</w:t>
            </w:r>
          </w:p>
        </w:tc>
        <w:tc>
          <w:tcPr>
            <w:tcW w:w="1650" w:type="dxa"/>
            <w:gridSpan w:val="2"/>
            <w:tcMar>
              <w:top w:w="15" w:type="dxa"/>
              <w:left w:w="15" w:type="dxa"/>
              <w:bottom w:w="15" w:type="dxa"/>
              <w:right w:w="15" w:type="dxa"/>
            </w:tcMar>
            <w:hideMark/>
          </w:tcPr>
          <w:p w:rsidR="00B671D4" w:rsidRDefault="00B671D4">
            <w:pPr>
              <w:jc w:val="center"/>
            </w:pPr>
            <w:r>
              <w:rPr>
                <w:b/>
                <w:bCs/>
                <w:sz w:val="15"/>
                <w:szCs w:val="15"/>
              </w:rPr>
              <w:t>Dec-2010</w:t>
            </w:r>
          </w:p>
        </w:tc>
        <w:tc>
          <w:tcPr>
            <w:tcW w:w="960" w:type="dxa"/>
            <w:tcMar>
              <w:top w:w="15" w:type="dxa"/>
              <w:left w:w="15" w:type="dxa"/>
              <w:bottom w:w="15" w:type="dxa"/>
              <w:right w:w="15" w:type="dxa"/>
            </w:tcMar>
            <w:hideMark/>
          </w:tcPr>
          <w:p w:rsidR="00B671D4" w:rsidRDefault="00B671D4">
            <w:pPr>
              <w:jc w:val="center"/>
            </w:pPr>
            <w:r>
              <w:rPr>
                <w:b/>
                <w:bCs/>
                <w:sz w:val="15"/>
                <w:szCs w:val="15"/>
              </w:rPr>
              <w:t>Sep-2011</w:t>
            </w:r>
          </w:p>
        </w:tc>
      </w:tr>
      <w:tr w:rsidR="00B671D4" w:rsidTr="00937B37">
        <w:trPr>
          <w:tblCellSpacing w:w="15" w:type="dxa"/>
        </w:trPr>
        <w:tc>
          <w:tcPr>
            <w:tcW w:w="1665" w:type="dxa"/>
            <w:tcMar>
              <w:top w:w="15" w:type="dxa"/>
              <w:left w:w="15" w:type="dxa"/>
              <w:bottom w:w="15" w:type="dxa"/>
              <w:right w:w="15" w:type="dxa"/>
            </w:tcMar>
            <w:hideMark/>
          </w:tcPr>
          <w:p w:rsidR="00B671D4" w:rsidRDefault="00B671D4">
            <w:r>
              <w:rPr>
                <w:noProof/>
              </w:rPr>
              <w:drawing>
                <wp:inline distT="0" distB="0" distL="0" distR="0">
                  <wp:extent cx="7620" cy="7620"/>
                  <wp:effectExtent l="0" t="0" r="0" b="0"/>
                  <wp:docPr id="2" name="obrázek 2" descr="cid:0__=0ABBF0BBDFC6656E8f9e8a93df@worldbank.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0__=0ABBF0BBDFC6656E8f9e8a93df@worldbank.org"/>
                          <pic:cNvPicPr>
                            <a:picLocks noChangeAspect="1" noChangeArrowheads="1"/>
                          </pic:cNvPicPr>
                        </pic:nvPicPr>
                        <pic:blipFill>
                          <a:blip r:embed="rId13" r:link="rId1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825" w:type="dxa"/>
            <w:tcMar>
              <w:top w:w="15" w:type="dxa"/>
              <w:left w:w="15" w:type="dxa"/>
              <w:bottom w:w="15" w:type="dxa"/>
              <w:right w:w="15" w:type="dxa"/>
            </w:tcMar>
            <w:hideMark/>
          </w:tcPr>
          <w:p w:rsidR="00B671D4" w:rsidRDefault="00B671D4">
            <w:pPr>
              <w:jc w:val="center"/>
            </w:pPr>
            <w:r>
              <w:rPr>
                <w:sz w:val="15"/>
                <w:szCs w:val="15"/>
              </w:rPr>
              <w:t>AMD mln</w:t>
            </w:r>
          </w:p>
        </w:tc>
        <w:tc>
          <w:tcPr>
            <w:tcW w:w="795" w:type="dxa"/>
            <w:tcMar>
              <w:top w:w="15" w:type="dxa"/>
              <w:left w:w="15" w:type="dxa"/>
              <w:bottom w:w="15" w:type="dxa"/>
              <w:right w:w="15" w:type="dxa"/>
            </w:tcMar>
            <w:hideMark/>
          </w:tcPr>
          <w:p w:rsidR="00B671D4" w:rsidRDefault="00B671D4">
            <w:pPr>
              <w:jc w:val="center"/>
            </w:pPr>
            <w:r>
              <w:rPr>
                <w:sz w:val="15"/>
                <w:szCs w:val="15"/>
              </w:rPr>
              <w:t>% GDP</w:t>
            </w:r>
          </w:p>
        </w:tc>
        <w:tc>
          <w:tcPr>
            <w:tcW w:w="825" w:type="dxa"/>
            <w:tcMar>
              <w:top w:w="15" w:type="dxa"/>
              <w:left w:w="15" w:type="dxa"/>
              <w:bottom w:w="15" w:type="dxa"/>
              <w:right w:w="15" w:type="dxa"/>
            </w:tcMar>
            <w:hideMark/>
          </w:tcPr>
          <w:p w:rsidR="00B671D4" w:rsidRDefault="00B671D4">
            <w:pPr>
              <w:jc w:val="center"/>
            </w:pPr>
            <w:r>
              <w:rPr>
                <w:sz w:val="15"/>
                <w:szCs w:val="15"/>
              </w:rPr>
              <w:t>AMD mln</w:t>
            </w:r>
          </w:p>
        </w:tc>
        <w:tc>
          <w:tcPr>
            <w:tcW w:w="795" w:type="dxa"/>
            <w:tcMar>
              <w:top w:w="15" w:type="dxa"/>
              <w:left w:w="15" w:type="dxa"/>
              <w:bottom w:w="15" w:type="dxa"/>
              <w:right w:w="15" w:type="dxa"/>
            </w:tcMar>
            <w:hideMark/>
          </w:tcPr>
          <w:p w:rsidR="00B671D4" w:rsidRDefault="00B671D4">
            <w:pPr>
              <w:jc w:val="center"/>
            </w:pPr>
            <w:r>
              <w:rPr>
                <w:sz w:val="15"/>
                <w:szCs w:val="15"/>
              </w:rPr>
              <w:t>% GDP</w:t>
            </w:r>
          </w:p>
        </w:tc>
        <w:tc>
          <w:tcPr>
            <w:tcW w:w="825" w:type="dxa"/>
            <w:tcMar>
              <w:top w:w="15" w:type="dxa"/>
              <w:left w:w="15" w:type="dxa"/>
              <w:bottom w:w="15" w:type="dxa"/>
              <w:right w:w="15" w:type="dxa"/>
            </w:tcMar>
            <w:hideMark/>
          </w:tcPr>
          <w:p w:rsidR="00B671D4" w:rsidRDefault="00B671D4">
            <w:pPr>
              <w:jc w:val="center"/>
            </w:pPr>
            <w:r>
              <w:rPr>
                <w:sz w:val="15"/>
                <w:szCs w:val="15"/>
              </w:rPr>
              <w:t>AMD mln</w:t>
            </w:r>
          </w:p>
        </w:tc>
        <w:tc>
          <w:tcPr>
            <w:tcW w:w="795" w:type="dxa"/>
            <w:tcMar>
              <w:top w:w="15" w:type="dxa"/>
              <w:left w:w="15" w:type="dxa"/>
              <w:bottom w:w="15" w:type="dxa"/>
              <w:right w:w="15" w:type="dxa"/>
            </w:tcMar>
            <w:hideMark/>
          </w:tcPr>
          <w:p w:rsidR="00B671D4" w:rsidRDefault="00B671D4">
            <w:pPr>
              <w:jc w:val="center"/>
            </w:pPr>
            <w:r>
              <w:rPr>
                <w:sz w:val="15"/>
                <w:szCs w:val="15"/>
              </w:rPr>
              <w:t>% GDP</w:t>
            </w:r>
          </w:p>
        </w:tc>
        <w:tc>
          <w:tcPr>
            <w:tcW w:w="960" w:type="dxa"/>
            <w:tcMar>
              <w:top w:w="15" w:type="dxa"/>
              <w:left w:w="15" w:type="dxa"/>
              <w:bottom w:w="15" w:type="dxa"/>
              <w:right w:w="15" w:type="dxa"/>
            </w:tcMar>
            <w:hideMark/>
          </w:tcPr>
          <w:p w:rsidR="00B671D4" w:rsidRDefault="00B671D4">
            <w:pPr>
              <w:jc w:val="center"/>
            </w:pPr>
            <w:r>
              <w:rPr>
                <w:sz w:val="15"/>
                <w:szCs w:val="15"/>
              </w:rPr>
              <w:t>AMD mln</w:t>
            </w:r>
          </w:p>
        </w:tc>
      </w:tr>
      <w:tr w:rsidR="00B671D4" w:rsidTr="00937B37">
        <w:trPr>
          <w:tblCellSpacing w:w="15" w:type="dxa"/>
        </w:trPr>
        <w:tc>
          <w:tcPr>
            <w:tcW w:w="1665" w:type="dxa"/>
            <w:tcMar>
              <w:top w:w="15" w:type="dxa"/>
              <w:left w:w="15" w:type="dxa"/>
              <w:bottom w:w="15" w:type="dxa"/>
              <w:right w:w="15" w:type="dxa"/>
            </w:tcMar>
            <w:hideMark/>
          </w:tcPr>
          <w:p w:rsidR="00B671D4" w:rsidRDefault="00B671D4" w:rsidP="00B671D4">
            <w:r>
              <w:rPr>
                <w:b/>
                <w:bCs/>
                <w:sz w:val="15"/>
                <w:szCs w:val="15"/>
              </w:rPr>
              <w:t>Credit organizations</w:t>
            </w:r>
          </w:p>
        </w:tc>
        <w:tc>
          <w:tcPr>
            <w:tcW w:w="825" w:type="dxa"/>
            <w:tcMar>
              <w:top w:w="15" w:type="dxa"/>
              <w:left w:w="15" w:type="dxa"/>
              <w:bottom w:w="15" w:type="dxa"/>
              <w:right w:w="15" w:type="dxa"/>
            </w:tcMar>
            <w:hideMark/>
          </w:tcPr>
          <w:p w:rsidR="00B671D4" w:rsidRDefault="00B671D4">
            <w:r>
              <w:rPr>
                <w:noProof/>
              </w:rPr>
              <w:drawing>
                <wp:inline distT="0" distB="0" distL="0" distR="0">
                  <wp:extent cx="7620" cy="7620"/>
                  <wp:effectExtent l="0" t="0" r="0" b="0"/>
                  <wp:docPr id="3" name="obrázek 3" descr="cid:0__=0ABBF0BBDFC6656E8f9e8a93df@worldbank.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0__=0ABBF0BBDFC6656E8f9e8a93df@worldbank.org"/>
                          <pic:cNvPicPr>
                            <a:picLocks noChangeAspect="1" noChangeArrowheads="1"/>
                          </pic:cNvPicPr>
                        </pic:nvPicPr>
                        <pic:blipFill>
                          <a:blip r:embed="rId13" r:link="rId1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795" w:type="dxa"/>
            <w:tcMar>
              <w:top w:w="15" w:type="dxa"/>
              <w:left w:w="15" w:type="dxa"/>
              <w:bottom w:w="15" w:type="dxa"/>
              <w:right w:w="15" w:type="dxa"/>
            </w:tcMar>
            <w:hideMark/>
          </w:tcPr>
          <w:p w:rsidR="00B671D4" w:rsidRDefault="00B671D4">
            <w:r>
              <w:rPr>
                <w:noProof/>
              </w:rPr>
              <w:drawing>
                <wp:inline distT="0" distB="0" distL="0" distR="0">
                  <wp:extent cx="7620" cy="7620"/>
                  <wp:effectExtent l="0" t="0" r="0" b="0"/>
                  <wp:docPr id="4" name="obrázek 4" descr="cid:0__=0ABBF0BBDFC6656E8f9e8a93df@worldbank.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0__=0ABBF0BBDFC6656E8f9e8a93df@worldbank.org"/>
                          <pic:cNvPicPr>
                            <a:picLocks noChangeAspect="1" noChangeArrowheads="1"/>
                          </pic:cNvPicPr>
                        </pic:nvPicPr>
                        <pic:blipFill>
                          <a:blip r:embed="rId13" r:link="rId1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825" w:type="dxa"/>
            <w:tcMar>
              <w:top w:w="15" w:type="dxa"/>
              <w:left w:w="15" w:type="dxa"/>
              <w:bottom w:w="15" w:type="dxa"/>
              <w:right w:w="15" w:type="dxa"/>
            </w:tcMar>
            <w:hideMark/>
          </w:tcPr>
          <w:p w:rsidR="00B671D4" w:rsidRDefault="00B671D4">
            <w:r>
              <w:rPr>
                <w:noProof/>
              </w:rPr>
              <w:drawing>
                <wp:inline distT="0" distB="0" distL="0" distR="0">
                  <wp:extent cx="7620" cy="7620"/>
                  <wp:effectExtent l="0" t="0" r="0" b="0"/>
                  <wp:docPr id="5" name="obrázek 5" descr="cid:0__=0ABBF0BBDFC6656E8f9e8a93df@worldbank.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0__=0ABBF0BBDFC6656E8f9e8a93df@worldbank.org"/>
                          <pic:cNvPicPr>
                            <a:picLocks noChangeAspect="1" noChangeArrowheads="1"/>
                          </pic:cNvPicPr>
                        </pic:nvPicPr>
                        <pic:blipFill>
                          <a:blip r:embed="rId13" r:link="rId1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795" w:type="dxa"/>
            <w:tcMar>
              <w:top w:w="15" w:type="dxa"/>
              <w:left w:w="15" w:type="dxa"/>
              <w:bottom w:w="15" w:type="dxa"/>
              <w:right w:w="15" w:type="dxa"/>
            </w:tcMar>
            <w:hideMark/>
          </w:tcPr>
          <w:p w:rsidR="00B671D4" w:rsidRDefault="00B671D4">
            <w:r>
              <w:rPr>
                <w:noProof/>
              </w:rPr>
              <w:drawing>
                <wp:inline distT="0" distB="0" distL="0" distR="0">
                  <wp:extent cx="7620" cy="7620"/>
                  <wp:effectExtent l="0" t="0" r="0" b="0"/>
                  <wp:docPr id="6" name="obrázek 6" descr="cid:0__=0ABBF0BBDFC6656E8f9e8a93df@worldbank.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0__=0ABBF0BBDFC6656E8f9e8a93df@worldbank.org"/>
                          <pic:cNvPicPr>
                            <a:picLocks noChangeAspect="1" noChangeArrowheads="1"/>
                          </pic:cNvPicPr>
                        </pic:nvPicPr>
                        <pic:blipFill>
                          <a:blip r:embed="rId13" r:link="rId1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825" w:type="dxa"/>
            <w:tcMar>
              <w:top w:w="15" w:type="dxa"/>
              <w:left w:w="15" w:type="dxa"/>
              <w:bottom w:w="15" w:type="dxa"/>
              <w:right w:w="15" w:type="dxa"/>
            </w:tcMar>
            <w:hideMark/>
          </w:tcPr>
          <w:p w:rsidR="00B671D4" w:rsidRDefault="00B671D4">
            <w:r>
              <w:rPr>
                <w:noProof/>
              </w:rPr>
              <w:drawing>
                <wp:inline distT="0" distB="0" distL="0" distR="0">
                  <wp:extent cx="7620" cy="7620"/>
                  <wp:effectExtent l="0" t="0" r="0" b="0"/>
                  <wp:docPr id="1" name="obrázek 7" descr="cid:0__=0ABBF0BBDFC6656E8f9e8a93df@worldbank.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0__=0ABBF0BBDFC6656E8f9e8a93df@worldbank.org"/>
                          <pic:cNvPicPr>
                            <a:picLocks noChangeAspect="1" noChangeArrowheads="1"/>
                          </pic:cNvPicPr>
                        </pic:nvPicPr>
                        <pic:blipFill>
                          <a:blip r:embed="rId13" r:link="rId1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795" w:type="dxa"/>
            <w:tcMar>
              <w:top w:w="15" w:type="dxa"/>
              <w:left w:w="15" w:type="dxa"/>
              <w:bottom w:w="15" w:type="dxa"/>
              <w:right w:w="15" w:type="dxa"/>
            </w:tcMar>
            <w:hideMark/>
          </w:tcPr>
          <w:p w:rsidR="00B671D4" w:rsidRDefault="00B671D4">
            <w:r>
              <w:rPr>
                <w:noProof/>
              </w:rPr>
              <w:drawing>
                <wp:inline distT="0" distB="0" distL="0" distR="0">
                  <wp:extent cx="7620" cy="7620"/>
                  <wp:effectExtent l="0" t="0" r="0" b="0"/>
                  <wp:docPr id="8" name="obrázek 8" descr="cid:0__=0ABBF0BBDFC6656E8f9e8a93df@worldbank.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0__=0ABBF0BBDFC6656E8f9e8a93df@worldbank.org"/>
                          <pic:cNvPicPr>
                            <a:picLocks noChangeAspect="1" noChangeArrowheads="1"/>
                          </pic:cNvPicPr>
                        </pic:nvPicPr>
                        <pic:blipFill>
                          <a:blip r:embed="rId13" r:link="rId1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960" w:type="dxa"/>
            <w:tcMar>
              <w:top w:w="15" w:type="dxa"/>
              <w:left w:w="15" w:type="dxa"/>
              <w:bottom w:w="15" w:type="dxa"/>
              <w:right w:w="15" w:type="dxa"/>
            </w:tcMar>
            <w:hideMark/>
          </w:tcPr>
          <w:p w:rsidR="00B671D4" w:rsidRDefault="00B671D4">
            <w:r>
              <w:rPr>
                <w:noProof/>
              </w:rPr>
              <w:drawing>
                <wp:inline distT="0" distB="0" distL="0" distR="0">
                  <wp:extent cx="7620" cy="7620"/>
                  <wp:effectExtent l="0" t="0" r="0" b="0"/>
                  <wp:docPr id="9" name="obrázek 9" descr="cid:0__=0ABBF0BBDFC6656E8f9e8a93df@worldbank.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0__=0ABBF0BBDFC6656E8f9e8a93df@worldbank.org"/>
                          <pic:cNvPicPr>
                            <a:picLocks noChangeAspect="1" noChangeArrowheads="1"/>
                          </pic:cNvPicPr>
                        </pic:nvPicPr>
                        <pic:blipFill>
                          <a:blip r:embed="rId13" r:link="rId1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B671D4" w:rsidTr="00937B37">
        <w:trPr>
          <w:tblCellSpacing w:w="15" w:type="dxa"/>
        </w:trPr>
        <w:tc>
          <w:tcPr>
            <w:tcW w:w="1665" w:type="dxa"/>
            <w:tcMar>
              <w:top w:w="15" w:type="dxa"/>
              <w:left w:w="15" w:type="dxa"/>
              <w:bottom w:w="15" w:type="dxa"/>
              <w:right w:w="15" w:type="dxa"/>
            </w:tcMar>
            <w:hideMark/>
          </w:tcPr>
          <w:p w:rsidR="00B671D4" w:rsidRDefault="00B671D4" w:rsidP="00B671D4">
            <w:r>
              <w:rPr>
                <w:sz w:val="15"/>
                <w:szCs w:val="15"/>
              </w:rPr>
              <w:t>Assets</w:t>
            </w:r>
          </w:p>
        </w:tc>
        <w:tc>
          <w:tcPr>
            <w:tcW w:w="825" w:type="dxa"/>
            <w:tcMar>
              <w:top w:w="15" w:type="dxa"/>
              <w:left w:w="15" w:type="dxa"/>
              <w:bottom w:w="15" w:type="dxa"/>
              <w:right w:w="15" w:type="dxa"/>
            </w:tcMar>
            <w:hideMark/>
          </w:tcPr>
          <w:p w:rsidR="00B671D4" w:rsidRDefault="00B671D4">
            <w:pPr>
              <w:jc w:val="center"/>
            </w:pPr>
            <w:r>
              <w:rPr>
                <w:sz w:val="15"/>
                <w:szCs w:val="15"/>
              </w:rPr>
              <w:t>65,239</w:t>
            </w:r>
          </w:p>
        </w:tc>
        <w:tc>
          <w:tcPr>
            <w:tcW w:w="795" w:type="dxa"/>
            <w:tcMar>
              <w:top w:w="15" w:type="dxa"/>
              <w:left w:w="15" w:type="dxa"/>
              <w:bottom w:w="15" w:type="dxa"/>
              <w:right w:w="15" w:type="dxa"/>
            </w:tcMar>
            <w:hideMark/>
          </w:tcPr>
          <w:p w:rsidR="00B671D4" w:rsidRDefault="00B671D4">
            <w:pPr>
              <w:jc w:val="center"/>
            </w:pPr>
            <w:r>
              <w:rPr>
                <w:sz w:val="15"/>
                <w:szCs w:val="15"/>
              </w:rPr>
              <w:t>1.8</w:t>
            </w:r>
          </w:p>
        </w:tc>
        <w:tc>
          <w:tcPr>
            <w:tcW w:w="825" w:type="dxa"/>
            <w:tcMar>
              <w:top w:w="15" w:type="dxa"/>
              <w:left w:w="15" w:type="dxa"/>
              <w:bottom w:w="15" w:type="dxa"/>
              <w:right w:w="15" w:type="dxa"/>
            </w:tcMar>
            <w:hideMark/>
          </w:tcPr>
          <w:p w:rsidR="00B671D4" w:rsidRDefault="00B671D4">
            <w:pPr>
              <w:jc w:val="center"/>
            </w:pPr>
            <w:r>
              <w:rPr>
                <w:sz w:val="15"/>
                <w:szCs w:val="15"/>
              </w:rPr>
              <w:t>75,823</w:t>
            </w:r>
          </w:p>
        </w:tc>
        <w:tc>
          <w:tcPr>
            <w:tcW w:w="795" w:type="dxa"/>
            <w:tcMar>
              <w:top w:w="15" w:type="dxa"/>
              <w:left w:w="15" w:type="dxa"/>
              <w:bottom w:w="15" w:type="dxa"/>
              <w:right w:w="15" w:type="dxa"/>
            </w:tcMar>
            <w:hideMark/>
          </w:tcPr>
          <w:p w:rsidR="00B671D4" w:rsidRDefault="00B671D4">
            <w:pPr>
              <w:jc w:val="center"/>
            </w:pPr>
            <w:r>
              <w:rPr>
                <w:sz w:val="15"/>
                <w:szCs w:val="15"/>
              </w:rPr>
              <w:t>2.4</w:t>
            </w:r>
          </w:p>
        </w:tc>
        <w:tc>
          <w:tcPr>
            <w:tcW w:w="825" w:type="dxa"/>
            <w:tcMar>
              <w:top w:w="15" w:type="dxa"/>
              <w:left w:w="15" w:type="dxa"/>
              <w:bottom w:w="15" w:type="dxa"/>
              <w:right w:w="15" w:type="dxa"/>
            </w:tcMar>
            <w:hideMark/>
          </w:tcPr>
          <w:p w:rsidR="00B671D4" w:rsidRDefault="00B671D4">
            <w:pPr>
              <w:jc w:val="center"/>
            </w:pPr>
            <w:r>
              <w:rPr>
                <w:sz w:val="15"/>
                <w:szCs w:val="15"/>
              </w:rPr>
              <w:t>87,195</w:t>
            </w:r>
          </w:p>
        </w:tc>
        <w:tc>
          <w:tcPr>
            <w:tcW w:w="795" w:type="dxa"/>
            <w:tcMar>
              <w:top w:w="15" w:type="dxa"/>
              <w:left w:w="15" w:type="dxa"/>
              <w:bottom w:w="15" w:type="dxa"/>
              <w:right w:w="15" w:type="dxa"/>
            </w:tcMar>
            <w:hideMark/>
          </w:tcPr>
          <w:p w:rsidR="00B671D4" w:rsidRDefault="00B671D4">
            <w:pPr>
              <w:jc w:val="center"/>
            </w:pPr>
            <w:r>
              <w:rPr>
                <w:sz w:val="15"/>
                <w:szCs w:val="15"/>
              </w:rPr>
              <w:t>2.5</w:t>
            </w:r>
          </w:p>
        </w:tc>
        <w:tc>
          <w:tcPr>
            <w:tcW w:w="960" w:type="dxa"/>
            <w:tcMar>
              <w:top w:w="15" w:type="dxa"/>
              <w:left w:w="15" w:type="dxa"/>
              <w:bottom w:w="15" w:type="dxa"/>
              <w:right w:w="15" w:type="dxa"/>
            </w:tcMar>
            <w:hideMark/>
          </w:tcPr>
          <w:p w:rsidR="00B671D4" w:rsidRDefault="00B671D4">
            <w:pPr>
              <w:jc w:val="center"/>
            </w:pPr>
            <w:r>
              <w:rPr>
                <w:sz w:val="15"/>
                <w:szCs w:val="15"/>
              </w:rPr>
              <w:t>109,660</w:t>
            </w:r>
          </w:p>
        </w:tc>
      </w:tr>
      <w:tr w:rsidR="00B671D4" w:rsidTr="00937B37">
        <w:trPr>
          <w:tblCellSpacing w:w="15" w:type="dxa"/>
        </w:trPr>
        <w:tc>
          <w:tcPr>
            <w:tcW w:w="1665" w:type="dxa"/>
            <w:tcMar>
              <w:top w:w="15" w:type="dxa"/>
              <w:left w:w="15" w:type="dxa"/>
              <w:bottom w:w="15" w:type="dxa"/>
              <w:right w:w="15" w:type="dxa"/>
            </w:tcMar>
            <w:hideMark/>
          </w:tcPr>
          <w:p w:rsidR="00B671D4" w:rsidRDefault="00B671D4" w:rsidP="00B671D4">
            <w:r>
              <w:rPr>
                <w:sz w:val="15"/>
                <w:szCs w:val="15"/>
              </w:rPr>
              <w:t>Total Loans</w:t>
            </w:r>
          </w:p>
        </w:tc>
        <w:tc>
          <w:tcPr>
            <w:tcW w:w="825" w:type="dxa"/>
            <w:tcMar>
              <w:top w:w="15" w:type="dxa"/>
              <w:left w:w="15" w:type="dxa"/>
              <w:bottom w:w="15" w:type="dxa"/>
              <w:right w:w="15" w:type="dxa"/>
            </w:tcMar>
            <w:hideMark/>
          </w:tcPr>
          <w:p w:rsidR="00B671D4" w:rsidRDefault="00B671D4">
            <w:pPr>
              <w:jc w:val="center"/>
            </w:pPr>
            <w:r>
              <w:rPr>
                <w:sz w:val="15"/>
                <w:szCs w:val="15"/>
              </w:rPr>
              <w:t>58,424</w:t>
            </w:r>
          </w:p>
        </w:tc>
        <w:tc>
          <w:tcPr>
            <w:tcW w:w="795" w:type="dxa"/>
            <w:tcMar>
              <w:top w:w="15" w:type="dxa"/>
              <w:left w:w="15" w:type="dxa"/>
              <w:bottom w:w="15" w:type="dxa"/>
              <w:right w:w="15" w:type="dxa"/>
            </w:tcMar>
            <w:hideMark/>
          </w:tcPr>
          <w:p w:rsidR="00B671D4" w:rsidRDefault="00B671D4">
            <w:pPr>
              <w:jc w:val="center"/>
            </w:pPr>
            <w:r>
              <w:rPr>
                <w:sz w:val="15"/>
                <w:szCs w:val="15"/>
              </w:rPr>
              <w:t>1.6</w:t>
            </w:r>
          </w:p>
        </w:tc>
        <w:tc>
          <w:tcPr>
            <w:tcW w:w="825" w:type="dxa"/>
            <w:tcMar>
              <w:top w:w="15" w:type="dxa"/>
              <w:left w:w="15" w:type="dxa"/>
              <w:bottom w:w="15" w:type="dxa"/>
              <w:right w:w="15" w:type="dxa"/>
            </w:tcMar>
            <w:hideMark/>
          </w:tcPr>
          <w:p w:rsidR="00B671D4" w:rsidRDefault="00B671D4">
            <w:pPr>
              <w:jc w:val="center"/>
            </w:pPr>
            <w:r>
              <w:rPr>
                <w:sz w:val="15"/>
                <w:szCs w:val="15"/>
              </w:rPr>
              <w:t>50,316</w:t>
            </w:r>
          </w:p>
        </w:tc>
        <w:tc>
          <w:tcPr>
            <w:tcW w:w="795" w:type="dxa"/>
            <w:tcMar>
              <w:top w:w="15" w:type="dxa"/>
              <w:left w:w="15" w:type="dxa"/>
              <w:bottom w:w="15" w:type="dxa"/>
              <w:right w:w="15" w:type="dxa"/>
            </w:tcMar>
            <w:hideMark/>
          </w:tcPr>
          <w:p w:rsidR="00B671D4" w:rsidRDefault="00B671D4">
            <w:pPr>
              <w:jc w:val="center"/>
            </w:pPr>
            <w:r>
              <w:rPr>
                <w:sz w:val="15"/>
                <w:szCs w:val="15"/>
              </w:rPr>
              <w:t>1.6</w:t>
            </w:r>
          </w:p>
        </w:tc>
        <w:tc>
          <w:tcPr>
            <w:tcW w:w="825" w:type="dxa"/>
            <w:tcMar>
              <w:top w:w="15" w:type="dxa"/>
              <w:left w:w="15" w:type="dxa"/>
              <w:bottom w:w="15" w:type="dxa"/>
              <w:right w:w="15" w:type="dxa"/>
            </w:tcMar>
            <w:hideMark/>
          </w:tcPr>
          <w:p w:rsidR="00B671D4" w:rsidRDefault="00B671D4">
            <w:pPr>
              <w:jc w:val="center"/>
            </w:pPr>
            <w:r>
              <w:rPr>
                <w:sz w:val="15"/>
                <w:szCs w:val="15"/>
              </w:rPr>
              <w:t>59,672</w:t>
            </w:r>
          </w:p>
        </w:tc>
        <w:tc>
          <w:tcPr>
            <w:tcW w:w="795" w:type="dxa"/>
            <w:tcMar>
              <w:top w:w="15" w:type="dxa"/>
              <w:left w:w="15" w:type="dxa"/>
              <w:bottom w:w="15" w:type="dxa"/>
              <w:right w:w="15" w:type="dxa"/>
            </w:tcMar>
            <w:hideMark/>
          </w:tcPr>
          <w:p w:rsidR="00B671D4" w:rsidRDefault="00B671D4">
            <w:pPr>
              <w:jc w:val="center"/>
            </w:pPr>
            <w:r>
              <w:rPr>
                <w:sz w:val="15"/>
                <w:szCs w:val="15"/>
              </w:rPr>
              <w:t>1.7</w:t>
            </w:r>
          </w:p>
        </w:tc>
        <w:tc>
          <w:tcPr>
            <w:tcW w:w="960" w:type="dxa"/>
            <w:tcMar>
              <w:top w:w="15" w:type="dxa"/>
              <w:left w:w="15" w:type="dxa"/>
              <w:bottom w:w="15" w:type="dxa"/>
              <w:right w:w="15" w:type="dxa"/>
            </w:tcMar>
            <w:hideMark/>
          </w:tcPr>
          <w:p w:rsidR="00B671D4" w:rsidRDefault="00B671D4">
            <w:pPr>
              <w:jc w:val="center"/>
            </w:pPr>
            <w:r>
              <w:rPr>
                <w:sz w:val="15"/>
                <w:szCs w:val="15"/>
              </w:rPr>
              <w:t>70,286</w:t>
            </w:r>
          </w:p>
        </w:tc>
      </w:tr>
      <w:tr w:rsidR="00B671D4" w:rsidTr="00937B37">
        <w:trPr>
          <w:tblCellSpacing w:w="15" w:type="dxa"/>
        </w:trPr>
        <w:tc>
          <w:tcPr>
            <w:tcW w:w="1665" w:type="dxa"/>
            <w:tcMar>
              <w:top w:w="15" w:type="dxa"/>
              <w:left w:w="15" w:type="dxa"/>
              <w:bottom w:w="15" w:type="dxa"/>
              <w:right w:w="15" w:type="dxa"/>
            </w:tcMar>
            <w:hideMark/>
          </w:tcPr>
          <w:p w:rsidR="00B671D4" w:rsidRDefault="00B671D4" w:rsidP="00B671D4">
            <w:r>
              <w:rPr>
                <w:sz w:val="15"/>
                <w:szCs w:val="15"/>
              </w:rPr>
              <w:t xml:space="preserve"> loans to households</w:t>
            </w:r>
          </w:p>
        </w:tc>
        <w:tc>
          <w:tcPr>
            <w:tcW w:w="825" w:type="dxa"/>
            <w:tcMar>
              <w:top w:w="15" w:type="dxa"/>
              <w:left w:w="15" w:type="dxa"/>
              <w:bottom w:w="15" w:type="dxa"/>
              <w:right w:w="15" w:type="dxa"/>
            </w:tcMar>
            <w:hideMark/>
          </w:tcPr>
          <w:p w:rsidR="00B671D4" w:rsidRDefault="00B671D4">
            <w:pPr>
              <w:jc w:val="center"/>
            </w:pPr>
            <w:r>
              <w:rPr>
                <w:sz w:val="15"/>
                <w:szCs w:val="15"/>
              </w:rPr>
              <w:t>35,039</w:t>
            </w:r>
          </w:p>
        </w:tc>
        <w:tc>
          <w:tcPr>
            <w:tcW w:w="795" w:type="dxa"/>
            <w:tcMar>
              <w:top w:w="15" w:type="dxa"/>
              <w:left w:w="15" w:type="dxa"/>
              <w:bottom w:w="15" w:type="dxa"/>
              <w:right w:w="15" w:type="dxa"/>
            </w:tcMar>
            <w:hideMark/>
          </w:tcPr>
          <w:p w:rsidR="00B671D4" w:rsidRDefault="00B671D4">
            <w:pPr>
              <w:jc w:val="center"/>
            </w:pPr>
            <w:r>
              <w:rPr>
                <w:sz w:val="15"/>
                <w:szCs w:val="15"/>
              </w:rPr>
              <w:t>1.0</w:t>
            </w:r>
          </w:p>
        </w:tc>
        <w:tc>
          <w:tcPr>
            <w:tcW w:w="825" w:type="dxa"/>
            <w:tcMar>
              <w:top w:w="15" w:type="dxa"/>
              <w:left w:w="15" w:type="dxa"/>
              <w:bottom w:w="15" w:type="dxa"/>
              <w:right w:w="15" w:type="dxa"/>
            </w:tcMar>
            <w:hideMark/>
          </w:tcPr>
          <w:p w:rsidR="00B671D4" w:rsidRDefault="00B671D4">
            <w:pPr>
              <w:jc w:val="center"/>
            </w:pPr>
            <w:r>
              <w:rPr>
                <w:sz w:val="15"/>
                <w:szCs w:val="15"/>
              </w:rPr>
              <w:t>32,990</w:t>
            </w:r>
          </w:p>
        </w:tc>
        <w:tc>
          <w:tcPr>
            <w:tcW w:w="795" w:type="dxa"/>
            <w:tcMar>
              <w:top w:w="15" w:type="dxa"/>
              <w:left w:w="15" w:type="dxa"/>
              <w:bottom w:w="15" w:type="dxa"/>
              <w:right w:w="15" w:type="dxa"/>
            </w:tcMar>
            <w:hideMark/>
          </w:tcPr>
          <w:p w:rsidR="00B671D4" w:rsidRDefault="00B671D4">
            <w:pPr>
              <w:jc w:val="center"/>
            </w:pPr>
            <w:r>
              <w:rPr>
                <w:sz w:val="15"/>
                <w:szCs w:val="15"/>
              </w:rPr>
              <w:t>1.1</w:t>
            </w:r>
          </w:p>
        </w:tc>
        <w:tc>
          <w:tcPr>
            <w:tcW w:w="825" w:type="dxa"/>
            <w:tcMar>
              <w:top w:w="15" w:type="dxa"/>
              <w:left w:w="15" w:type="dxa"/>
              <w:bottom w:w="15" w:type="dxa"/>
              <w:right w:w="15" w:type="dxa"/>
            </w:tcMar>
            <w:hideMark/>
          </w:tcPr>
          <w:p w:rsidR="00B671D4" w:rsidRDefault="00B671D4">
            <w:pPr>
              <w:jc w:val="center"/>
            </w:pPr>
            <w:r>
              <w:rPr>
                <w:sz w:val="15"/>
                <w:szCs w:val="15"/>
              </w:rPr>
              <w:t>42,892</w:t>
            </w:r>
          </w:p>
        </w:tc>
        <w:tc>
          <w:tcPr>
            <w:tcW w:w="795" w:type="dxa"/>
            <w:tcMar>
              <w:top w:w="15" w:type="dxa"/>
              <w:left w:w="15" w:type="dxa"/>
              <w:bottom w:w="15" w:type="dxa"/>
              <w:right w:w="15" w:type="dxa"/>
            </w:tcMar>
            <w:hideMark/>
          </w:tcPr>
          <w:p w:rsidR="00B671D4" w:rsidRDefault="00B671D4">
            <w:pPr>
              <w:jc w:val="center"/>
            </w:pPr>
            <w:r>
              <w:rPr>
                <w:sz w:val="15"/>
                <w:szCs w:val="15"/>
              </w:rPr>
              <w:t>1.2</w:t>
            </w:r>
          </w:p>
        </w:tc>
        <w:tc>
          <w:tcPr>
            <w:tcW w:w="960" w:type="dxa"/>
            <w:tcMar>
              <w:top w:w="15" w:type="dxa"/>
              <w:left w:w="15" w:type="dxa"/>
              <w:bottom w:w="15" w:type="dxa"/>
              <w:right w:w="15" w:type="dxa"/>
            </w:tcMar>
            <w:hideMark/>
          </w:tcPr>
          <w:p w:rsidR="00B671D4" w:rsidRDefault="00B671D4">
            <w:pPr>
              <w:jc w:val="center"/>
            </w:pPr>
            <w:r>
              <w:rPr>
                <w:sz w:val="15"/>
                <w:szCs w:val="15"/>
              </w:rPr>
              <w:t>50,720</w:t>
            </w:r>
          </w:p>
        </w:tc>
      </w:tr>
      <w:tr w:rsidR="00B671D4" w:rsidTr="00937B37">
        <w:trPr>
          <w:tblCellSpacing w:w="15" w:type="dxa"/>
        </w:trPr>
        <w:tc>
          <w:tcPr>
            <w:tcW w:w="1665" w:type="dxa"/>
            <w:tcMar>
              <w:top w:w="15" w:type="dxa"/>
              <w:left w:w="15" w:type="dxa"/>
              <w:bottom w:w="15" w:type="dxa"/>
              <w:right w:w="15" w:type="dxa"/>
            </w:tcMar>
            <w:hideMark/>
          </w:tcPr>
          <w:p w:rsidR="00B671D4" w:rsidRDefault="00B671D4" w:rsidP="00B671D4">
            <w:r>
              <w:rPr>
                <w:b/>
                <w:bCs/>
                <w:sz w:val="15"/>
                <w:szCs w:val="15"/>
              </w:rPr>
              <w:t>Pawnshops</w:t>
            </w:r>
          </w:p>
        </w:tc>
        <w:tc>
          <w:tcPr>
            <w:tcW w:w="825" w:type="dxa"/>
            <w:tcMar>
              <w:top w:w="15" w:type="dxa"/>
              <w:left w:w="15" w:type="dxa"/>
              <w:bottom w:w="15" w:type="dxa"/>
              <w:right w:w="15" w:type="dxa"/>
            </w:tcMar>
            <w:hideMark/>
          </w:tcPr>
          <w:p w:rsidR="00B671D4" w:rsidRDefault="00B671D4">
            <w:r>
              <w:rPr>
                <w:noProof/>
              </w:rPr>
              <w:drawing>
                <wp:inline distT="0" distB="0" distL="0" distR="0">
                  <wp:extent cx="7620" cy="7620"/>
                  <wp:effectExtent l="0" t="0" r="0" b="0"/>
                  <wp:docPr id="10" name="obrázek 10" descr="cid:0__=0ABBF0BBDFC6656E8f9e8a93df@worldbank.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0__=0ABBF0BBDFC6656E8f9e8a93df@worldbank.org"/>
                          <pic:cNvPicPr>
                            <a:picLocks noChangeAspect="1" noChangeArrowheads="1"/>
                          </pic:cNvPicPr>
                        </pic:nvPicPr>
                        <pic:blipFill>
                          <a:blip r:embed="rId13" r:link="rId1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795" w:type="dxa"/>
            <w:tcMar>
              <w:top w:w="15" w:type="dxa"/>
              <w:left w:w="15" w:type="dxa"/>
              <w:bottom w:w="15" w:type="dxa"/>
              <w:right w:w="15" w:type="dxa"/>
            </w:tcMar>
            <w:hideMark/>
          </w:tcPr>
          <w:p w:rsidR="00B671D4" w:rsidRDefault="00B671D4">
            <w:r>
              <w:rPr>
                <w:noProof/>
              </w:rPr>
              <w:drawing>
                <wp:inline distT="0" distB="0" distL="0" distR="0">
                  <wp:extent cx="7620" cy="7620"/>
                  <wp:effectExtent l="0" t="0" r="0" b="0"/>
                  <wp:docPr id="11" name="obrázek 11" descr="cid:0__=0ABBF0BBDFC6656E8f9e8a93df@worldbank.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0__=0ABBF0BBDFC6656E8f9e8a93df@worldbank.org"/>
                          <pic:cNvPicPr>
                            <a:picLocks noChangeAspect="1" noChangeArrowheads="1"/>
                          </pic:cNvPicPr>
                        </pic:nvPicPr>
                        <pic:blipFill>
                          <a:blip r:embed="rId13" r:link="rId1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825" w:type="dxa"/>
            <w:tcMar>
              <w:top w:w="15" w:type="dxa"/>
              <w:left w:w="15" w:type="dxa"/>
              <w:bottom w:w="15" w:type="dxa"/>
              <w:right w:w="15" w:type="dxa"/>
            </w:tcMar>
            <w:hideMark/>
          </w:tcPr>
          <w:p w:rsidR="00B671D4" w:rsidRDefault="00B671D4">
            <w:r>
              <w:rPr>
                <w:noProof/>
              </w:rPr>
              <w:drawing>
                <wp:inline distT="0" distB="0" distL="0" distR="0">
                  <wp:extent cx="7620" cy="7620"/>
                  <wp:effectExtent l="0" t="0" r="0" b="0"/>
                  <wp:docPr id="12" name="obrázek 12" descr="cid:0__=0ABBF0BBDFC6656E8f9e8a93df@worldbank.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0__=0ABBF0BBDFC6656E8f9e8a93df@worldbank.org"/>
                          <pic:cNvPicPr>
                            <a:picLocks noChangeAspect="1" noChangeArrowheads="1"/>
                          </pic:cNvPicPr>
                        </pic:nvPicPr>
                        <pic:blipFill>
                          <a:blip r:embed="rId13" r:link="rId1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795" w:type="dxa"/>
            <w:tcMar>
              <w:top w:w="15" w:type="dxa"/>
              <w:left w:w="15" w:type="dxa"/>
              <w:bottom w:w="15" w:type="dxa"/>
              <w:right w:w="15" w:type="dxa"/>
            </w:tcMar>
            <w:hideMark/>
          </w:tcPr>
          <w:p w:rsidR="00B671D4" w:rsidRDefault="00B671D4">
            <w:r>
              <w:rPr>
                <w:noProof/>
              </w:rPr>
              <w:drawing>
                <wp:inline distT="0" distB="0" distL="0" distR="0">
                  <wp:extent cx="7620" cy="7620"/>
                  <wp:effectExtent l="0" t="0" r="0" b="0"/>
                  <wp:docPr id="13" name="obrázek 13" descr="cid:0__=0ABBF0BBDFC6656E8f9e8a93df@worldbank.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0__=0ABBF0BBDFC6656E8f9e8a93df@worldbank.org"/>
                          <pic:cNvPicPr>
                            <a:picLocks noChangeAspect="1" noChangeArrowheads="1"/>
                          </pic:cNvPicPr>
                        </pic:nvPicPr>
                        <pic:blipFill>
                          <a:blip r:embed="rId13" r:link="rId1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825" w:type="dxa"/>
            <w:tcMar>
              <w:top w:w="15" w:type="dxa"/>
              <w:left w:w="15" w:type="dxa"/>
              <w:bottom w:w="15" w:type="dxa"/>
              <w:right w:w="15" w:type="dxa"/>
            </w:tcMar>
            <w:hideMark/>
          </w:tcPr>
          <w:p w:rsidR="00B671D4" w:rsidRDefault="00B671D4">
            <w:r>
              <w:rPr>
                <w:noProof/>
              </w:rPr>
              <w:drawing>
                <wp:inline distT="0" distB="0" distL="0" distR="0">
                  <wp:extent cx="7620" cy="7620"/>
                  <wp:effectExtent l="0" t="0" r="0" b="0"/>
                  <wp:docPr id="14" name="obrázek 14" descr="cid:0__=0ABBF0BBDFC6656E8f9e8a93df@worldbank.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0__=0ABBF0BBDFC6656E8f9e8a93df@worldbank.org"/>
                          <pic:cNvPicPr>
                            <a:picLocks noChangeAspect="1" noChangeArrowheads="1"/>
                          </pic:cNvPicPr>
                        </pic:nvPicPr>
                        <pic:blipFill>
                          <a:blip r:embed="rId13" r:link="rId1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795" w:type="dxa"/>
            <w:tcMar>
              <w:top w:w="15" w:type="dxa"/>
              <w:left w:w="15" w:type="dxa"/>
              <w:bottom w:w="15" w:type="dxa"/>
              <w:right w:w="15" w:type="dxa"/>
            </w:tcMar>
            <w:hideMark/>
          </w:tcPr>
          <w:p w:rsidR="00B671D4" w:rsidRDefault="00B671D4">
            <w:r>
              <w:rPr>
                <w:noProof/>
              </w:rPr>
              <w:drawing>
                <wp:inline distT="0" distB="0" distL="0" distR="0">
                  <wp:extent cx="7620" cy="7620"/>
                  <wp:effectExtent l="0" t="0" r="0" b="0"/>
                  <wp:docPr id="15" name="obrázek 15" descr="cid:0__=0ABBF0BBDFC6656E8f9e8a93df@worldbank.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0__=0ABBF0BBDFC6656E8f9e8a93df@worldbank.org"/>
                          <pic:cNvPicPr>
                            <a:picLocks noChangeAspect="1" noChangeArrowheads="1"/>
                          </pic:cNvPicPr>
                        </pic:nvPicPr>
                        <pic:blipFill>
                          <a:blip r:embed="rId13" r:link="rId1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960" w:type="dxa"/>
            <w:tcMar>
              <w:top w:w="15" w:type="dxa"/>
              <w:left w:w="15" w:type="dxa"/>
              <w:bottom w:w="15" w:type="dxa"/>
              <w:right w:w="15" w:type="dxa"/>
            </w:tcMar>
            <w:hideMark/>
          </w:tcPr>
          <w:p w:rsidR="00B671D4" w:rsidRDefault="00B671D4">
            <w:r>
              <w:rPr>
                <w:noProof/>
              </w:rPr>
              <w:drawing>
                <wp:inline distT="0" distB="0" distL="0" distR="0">
                  <wp:extent cx="7620" cy="7620"/>
                  <wp:effectExtent l="0" t="0" r="0" b="0"/>
                  <wp:docPr id="16" name="obrázek 16" descr="cid:0__=0ABBF0BBDFC6656E8f9e8a93df@worldbank.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0__=0ABBF0BBDFC6656E8f9e8a93df@worldbank.org"/>
                          <pic:cNvPicPr>
                            <a:picLocks noChangeAspect="1" noChangeArrowheads="1"/>
                          </pic:cNvPicPr>
                        </pic:nvPicPr>
                        <pic:blipFill>
                          <a:blip r:embed="rId13" r:link="rId1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B671D4" w:rsidTr="00937B37">
        <w:trPr>
          <w:tblCellSpacing w:w="15" w:type="dxa"/>
        </w:trPr>
        <w:tc>
          <w:tcPr>
            <w:tcW w:w="1665" w:type="dxa"/>
            <w:tcMar>
              <w:top w:w="15" w:type="dxa"/>
              <w:left w:w="15" w:type="dxa"/>
              <w:bottom w:w="15" w:type="dxa"/>
              <w:right w:w="15" w:type="dxa"/>
            </w:tcMar>
            <w:hideMark/>
          </w:tcPr>
          <w:p w:rsidR="00B671D4" w:rsidRDefault="00B671D4" w:rsidP="00B671D4">
            <w:r>
              <w:rPr>
                <w:sz w:val="15"/>
                <w:szCs w:val="15"/>
              </w:rPr>
              <w:lastRenderedPageBreak/>
              <w:t>Total Loans</w:t>
            </w:r>
          </w:p>
        </w:tc>
        <w:tc>
          <w:tcPr>
            <w:tcW w:w="825" w:type="dxa"/>
            <w:tcMar>
              <w:top w:w="15" w:type="dxa"/>
              <w:left w:w="15" w:type="dxa"/>
              <w:bottom w:w="15" w:type="dxa"/>
              <w:right w:w="15" w:type="dxa"/>
            </w:tcMar>
            <w:hideMark/>
          </w:tcPr>
          <w:p w:rsidR="00B671D4" w:rsidRDefault="00B671D4">
            <w:pPr>
              <w:jc w:val="center"/>
            </w:pPr>
            <w:r>
              <w:rPr>
                <w:sz w:val="15"/>
                <w:szCs w:val="15"/>
              </w:rPr>
              <w:t>3.92</w:t>
            </w:r>
          </w:p>
        </w:tc>
        <w:tc>
          <w:tcPr>
            <w:tcW w:w="795" w:type="dxa"/>
            <w:tcMar>
              <w:top w:w="15" w:type="dxa"/>
              <w:left w:w="15" w:type="dxa"/>
              <w:bottom w:w="15" w:type="dxa"/>
              <w:right w:w="15" w:type="dxa"/>
            </w:tcMar>
            <w:hideMark/>
          </w:tcPr>
          <w:p w:rsidR="00B671D4" w:rsidRDefault="00B671D4">
            <w:pPr>
              <w:jc w:val="center"/>
            </w:pPr>
            <w:r>
              <w:rPr>
                <w:sz w:val="15"/>
                <w:szCs w:val="15"/>
              </w:rPr>
              <w:t>0.1</w:t>
            </w:r>
          </w:p>
        </w:tc>
        <w:tc>
          <w:tcPr>
            <w:tcW w:w="825" w:type="dxa"/>
            <w:tcMar>
              <w:top w:w="15" w:type="dxa"/>
              <w:left w:w="15" w:type="dxa"/>
              <w:bottom w:w="15" w:type="dxa"/>
              <w:right w:w="15" w:type="dxa"/>
            </w:tcMar>
            <w:hideMark/>
          </w:tcPr>
          <w:p w:rsidR="00B671D4" w:rsidRDefault="00B671D4">
            <w:pPr>
              <w:jc w:val="center"/>
            </w:pPr>
            <w:r>
              <w:rPr>
                <w:sz w:val="15"/>
                <w:szCs w:val="15"/>
              </w:rPr>
              <w:t>5.15</w:t>
            </w:r>
          </w:p>
        </w:tc>
        <w:tc>
          <w:tcPr>
            <w:tcW w:w="795" w:type="dxa"/>
            <w:tcMar>
              <w:top w:w="15" w:type="dxa"/>
              <w:left w:w="15" w:type="dxa"/>
              <w:bottom w:w="15" w:type="dxa"/>
              <w:right w:w="15" w:type="dxa"/>
            </w:tcMar>
            <w:hideMark/>
          </w:tcPr>
          <w:p w:rsidR="00B671D4" w:rsidRDefault="00B671D4">
            <w:pPr>
              <w:jc w:val="center"/>
            </w:pPr>
            <w:r>
              <w:rPr>
                <w:sz w:val="15"/>
                <w:szCs w:val="15"/>
              </w:rPr>
              <w:t>0.2</w:t>
            </w:r>
          </w:p>
        </w:tc>
        <w:tc>
          <w:tcPr>
            <w:tcW w:w="825" w:type="dxa"/>
            <w:tcMar>
              <w:top w:w="15" w:type="dxa"/>
              <w:left w:w="15" w:type="dxa"/>
              <w:bottom w:w="15" w:type="dxa"/>
              <w:right w:w="15" w:type="dxa"/>
            </w:tcMar>
            <w:hideMark/>
          </w:tcPr>
          <w:p w:rsidR="00B671D4" w:rsidRDefault="00B671D4">
            <w:pPr>
              <w:jc w:val="center"/>
            </w:pPr>
            <w:r>
              <w:rPr>
                <w:sz w:val="15"/>
                <w:szCs w:val="15"/>
              </w:rPr>
              <w:t>9.93</w:t>
            </w:r>
          </w:p>
        </w:tc>
        <w:tc>
          <w:tcPr>
            <w:tcW w:w="795" w:type="dxa"/>
            <w:tcMar>
              <w:top w:w="15" w:type="dxa"/>
              <w:left w:w="15" w:type="dxa"/>
              <w:bottom w:w="15" w:type="dxa"/>
              <w:right w:w="15" w:type="dxa"/>
            </w:tcMar>
            <w:hideMark/>
          </w:tcPr>
          <w:p w:rsidR="00B671D4" w:rsidRDefault="00B671D4">
            <w:pPr>
              <w:jc w:val="center"/>
            </w:pPr>
            <w:r>
              <w:rPr>
                <w:sz w:val="15"/>
                <w:szCs w:val="15"/>
              </w:rPr>
              <w:t>0.3</w:t>
            </w:r>
          </w:p>
        </w:tc>
        <w:tc>
          <w:tcPr>
            <w:tcW w:w="960" w:type="dxa"/>
            <w:tcMar>
              <w:top w:w="15" w:type="dxa"/>
              <w:left w:w="15" w:type="dxa"/>
              <w:bottom w:w="15" w:type="dxa"/>
              <w:right w:w="15" w:type="dxa"/>
            </w:tcMar>
            <w:hideMark/>
          </w:tcPr>
          <w:p w:rsidR="00B671D4" w:rsidRDefault="00B671D4">
            <w:pPr>
              <w:jc w:val="center"/>
            </w:pPr>
            <w:r>
              <w:rPr>
                <w:sz w:val="15"/>
                <w:szCs w:val="15"/>
              </w:rPr>
              <w:t>11.58</w:t>
            </w:r>
          </w:p>
        </w:tc>
      </w:tr>
    </w:tbl>
    <w:p w:rsidR="00606D34" w:rsidRPr="008569E0" w:rsidRDefault="00606D34" w:rsidP="00606D34">
      <w:pPr>
        <w:jc w:val="both"/>
        <w:rPr>
          <w:i/>
          <w:sz w:val="18"/>
          <w:szCs w:val="18"/>
        </w:rPr>
      </w:pPr>
      <w:r w:rsidRPr="008569E0">
        <w:rPr>
          <w:i/>
          <w:sz w:val="18"/>
          <w:szCs w:val="18"/>
        </w:rPr>
        <w:t xml:space="preserve">Source: </w:t>
      </w:r>
      <w:r w:rsidRPr="009F0F3B">
        <w:rPr>
          <w:i/>
          <w:sz w:val="18"/>
          <w:szCs w:val="18"/>
        </w:rPr>
        <w:t>CBA</w:t>
      </w:r>
    </w:p>
    <w:p w:rsidR="00606D34" w:rsidRDefault="00606D34" w:rsidP="00C63590">
      <w:pPr>
        <w:pStyle w:val="BodyText"/>
        <w:tabs>
          <w:tab w:val="left" w:pos="360"/>
          <w:tab w:val="left" w:pos="630"/>
        </w:tabs>
        <w:suppressAutoHyphens/>
        <w:spacing w:before="0" w:after="60" w:line="240" w:lineRule="auto"/>
        <w:rPr>
          <w:sz w:val="18"/>
          <w:szCs w:val="22"/>
        </w:rPr>
      </w:pPr>
    </w:p>
    <w:p w:rsidR="00B570C9" w:rsidRPr="00CE0C0F" w:rsidRDefault="00B570C9" w:rsidP="00B570C9">
      <w:pPr>
        <w:pStyle w:val="BodyText"/>
        <w:tabs>
          <w:tab w:val="left" w:pos="360"/>
          <w:tab w:val="left" w:pos="630"/>
        </w:tabs>
        <w:suppressAutoHyphens/>
        <w:spacing w:before="0" w:after="0" w:line="240" w:lineRule="auto"/>
        <w:rPr>
          <w:sz w:val="22"/>
          <w:szCs w:val="22"/>
        </w:rPr>
      </w:pPr>
    </w:p>
    <w:p w:rsidR="00515B9D" w:rsidRPr="00515B9D" w:rsidRDefault="00515B9D" w:rsidP="00515B9D">
      <w:pPr>
        <w:rPr>
          <w:lang w:eastAsia="cs-CZ"/>
        </w:rPr>
      </w:pPr>
    </w:p>
    <w:p w:rsidR="00057AAD" w:rsidRPr="002E65C8" w:rsidRDefault="00057AAD" w:rsidP="002E65C8">
      <w:pPr>
        <w:pStyle w:val="Heading1"/>
        <w:numPr>
          <w:ilvl w:val="0"/>
          <w:numId w:val="41"/>
        </w:numPr>
        <w:ind w:left="0" w:firstLine="0"/>
        <w:jc w:val="center"/>
        <w:rPr>
          <w:rFonts w:ascii="Times New Roman" w:hAnsi="Times New Roman" w:cs="Times New Roman"/>
          <w:sz w:val="28"/>
          <w:lang w:eastAsia="cs-CZ"/>
        </w:rPr>
      </w:pPr>
      <w:bookmarkStart w:id="36" w:name="_Toc331409060"/>
      <w:r w:rsidRPr="002E65C8">
        <w:rPr>
          <w:rFonts w:ascii="Times New Roman" w:hAnsi="Times New Roman" w:cs="Times New Roman"/>
          <w:sz w:val="28"/>
          <w:lang w:eastAsia="cs-CZ"/>
        </w:rPr>
        <w:t>Importance of Consumer Protection and Financial Literacy</w:t>
      </w:r>
      <w:bookmarkEnd w:id="18"/>
      <w:bookmarkEnd w:id="19"/>
      <w:bookmarkEnd w:id="36"/>
    </w:p>
    <w:p w:rsidR="00057AAD" w:rsidRPr="00E06713" w:rsidRDefault="00057AAD" w:rsidP="00E41228">
      <w:pPr>
        <w:jc w:val="both"/>
        <w:rPr>
          <w:b/>
          <w:color w:val="000000"/>
          <w:sz w:val="22"/>
          <w:szCs w:val="22"/>
        </w:rPr>
      </w:pPr>
    </w:p>
    <w:p w:rsidR="00057AAD" w:rsidRPr="00E06713" w:rsidRDefault="00057AAD" w:rsidP="007933CB">
      <w:pPr>
        <w:pStyle w:val="BodyText"/>
        <w:numPr>
          <w:ilvl w:val="0"/>
          <w:numId w:val="5"/>
        </w:numPr>
        <w:tabs>
          <w:tab w:val="left" w:pos="360"/>
          <w:tab w:val="left" w:pos="630"/>
        </w:tabs>
        <w:suppressAutoHyphens/>
        <w:spacing w:before="0" w:after="0" w:line="240" w:lineRule="auto"/>
        <w:ind w:left="0" w:firstLine="0"/>
        <w:rPr>
          <w:sz w:val="22"/>
          <w:szCs w:val="22"/>
        </w:rPr>
      </w:pPr>
      <w:bookmarkStart w:id="37" w:name="_Toc171737662"/>
      <w:bookmarkStart w:id="38" w:name="_Toc157329317"/>
      <w:r w:rsidRPr="00E06713">
        <w:rPr>
          <w:b/>
          <w:bCs/>
          <w:sz w:val="22"/>
          <w:szCs w:val="22"/>
        </w:rPr>
        <w:t>At its heart, the need for consumer protection arises from</w:t>
      </w:r>
      <w:r w:rsidRPr="00E06713">
        <w:rPr>
          <w:bCs/>
          <w:sz w:val="22"/>
          <w:szCs w:val="22"/>
        </w:rPr>
        <w:t xml:space="preserve"> </w:t>
      </w:r>
      <w:r w:rsidRPr="00E06713">
        <w:rPr>
          <w:b/>
          <w:bCs/>
          <w:i/>
          <w:sz w:val="22"/>
          <w:szCs w:val="22"/>
        </w:rPr>
        <w:t xml:space="preserve">an imbalance of power, information and resources </w:t>
      </w:r>
      <w:r w:rsidRPr="00E06713">
        <w:rPr>
          <w:b/>
          <w:bCs/>
          <w:sz w:val="22"/>
          <w:szCs w:val="22"/>
        </w:rPr>
        <w:t xml:space="preserve">between consumers and their financial service providers, placing consumers at a disadvantage. </w:t>
      </w:r>
      <w:r w:rsidRPr="00E06713">
        <w:rPr>
          <w:bCs/>
          <w:sz w:val="22"/>
          <w:szCs w:val="22"/>
        </w:rPr>
        <w:t>Consumer protection aims to address this market failure.</w:t>
      </w:r>
      <w:r w:rsidRPr="00E06713">
        <w:rPr>
          <w:b/>
          <w:bCs/>
          <w:sz w:val="22"/>
          <w:szCs w:val="22"/>
        </w:rPr>
        <w:t xml:space="preserve"> </w:t>
      </w:r>
      <w:r w:rsidRPr="00E06713">
        <w:rPr>
          <w:bCs/>
          <w:sz w:val="22"/>
          <w:szCs w:val="22"/>
        </w:rPr>
        <w:t xml:space="preserve">Financial institutions know their products and services well, </w:t>
      </w:r>
      <w:r w:rsidR="00135D44">
        <w:rPr>
          <w:bCs/>
          <w:sz w:val="22"/>
          <w:szCs w:val="22"/>
        </w:rPr>
        <w:t xml:space="preserve">but individual retail consumers may </w:t>
      </w:r>
      <w:r w:rsidRPr="00E06713">
        <w:rPr>
          <w:bCs/>
          <w:sz w:val="22"/>
          <w:szCs w:val="22"/>
        </w:rPr>
        <w:t>find it difficult or costly to obtain sufficient information on their financial purchases</w:t>
      </w:r>
      <w:r w:rsidR="00135D44">
        <w:rPr>
          <w:bCs/>
          <w:sz w:val="22"/>
          <w:szCs w:val="22"/>
        </w:rPr>
        <w:t>.</w:t>
      </w:r>
      <w:r w:rsidRPr="00E06713">
        <w:rPr>
          <w:bCs/>
          <w:sz w:val="22"/>
          <w:szCs w:val="22"/>
        </w:rPr>
        <w:t xml:space="preserve"> In addition, </w:t>
      </w:r>
      <w:r w:rsidR="00135D44" w:rsidRPr="00E06713">
        <w:rPr>
          <w:sz w:val="22"/>
          <w:szCs w:val="22"/>
        </w:rPr>
        <w:t xml:space="preserve">even when all relevant information is </w:t>
      </w:r>
      <w:r w:rsidR="00135D44">
        <w:rPr>
          <w:sz w:val="22"/>
          <w:szCs w:val="22"/>
        </w:rPr>
        <w:t>obtained,</w:t>
      </w:r>
      <w:r w:rsidR="00135D44" w:rsidRPr="00E06713">
        <w:rPr>
          <w:bCs/>
          <w:sz w:val="22"/>
          <w:szCs w:val="22"/>
        </w:rPr>
        <w:t xml:space="preserve"> </w:t>
      </w:r>
      <w:r w:rsidR="00135D44">
        <w:rPr>
          <w:bCs/>
          <w:sz w:val="22"/>
          <w:szCs w:val="22"/>
        </w:rPr>
        <w:t xml:space="preserve">this might be difficult to process, understand and assess, especially in countries like </w:t>
      </w:r>
      <w:r w:rsidR="00E14CDE">
        <w:rPr>
          <w:bCs/>
          <w:sz w:val="22"/>
          <w:szCs w:val="22"/>
        </w:rPr>
        <w:t>Armenia</w:t>
      </w:r>
      <w:r w:rsidR="00135D44">
        <w:rPr>
          <w:bCs/>
          <w:sz w:val="22"/>
          <w:szCs w:val="22"/>
        </w:rPr>
        <w:t xml:space="preserve"> where consumers have limited knowledge and experience using financial services. </w:t>
      </w:r>
    </w:p>
    <w:p w:rsidR="00057AAD" w:rsidRPr="00E06713" w:rsidRDefault="00057AAD" w:rsidP="007933CB">
      <w:pPr>
        <w:pStyle w:val="Default"/>
        <w:rPr>
          <w:sz w:val="22"/>
          <w:szCs w:val="22"/>
        </w:rPr>
      </w:pPr>
    </w:p>
    <w:p w:rsidR="00B07204" w:rsidRDefault="00B07204" w:rsidP="00B07204">
      <w:pPr>
        <w:pStyle w:val="BodyText"/>
        <w:numPr>
          <w:ilvl w:val="0"/>
          <w:numId w:val="5"/>
        </w:numPr>
        <w:tabs>
          <w:tab w:val="left" w:pos="360"/>
          <w:tab w:val="left" w:pos="630"/>
        </w:tabs>
        <w:suppressAutoHyphens/>
        <w:spacing w:before="0" w:after="0" w:line="240" w:lineRule="auto"/>
        <w:ind w:left="0" w:firstLine="0"/>
        <w:rPr>
          <w:sz w:val="22"/>
          <w:szCs w:val="22"/>
        </w:rPr>
      </w:pPr>
      <w:r w:rsidRPr="00B07204">
        <w:rPr>
          <w:b/>
          <w:sz w:val="22"/>
          <w:szCs w:val="22"/>
        </w:rPr>
        <w:t>Financial consumer protection promotes the efficiency, transparency and deepening of retail financial markets.</w:t>
      </w:r>
      <w:r w:rsidRPr="0093493D">
        <w:rPr>
          <w:sz w:val="22"/>
          <w:szCs w:val="22"/>
        </w:rPr>
        <w:t xml:space="preserve"> Consumers who are empowered with information and basic rights—and who are aware of their responsibilities—provide an important source of market discipline to the financial system, encouraging financial institutions to compete by offering useful products and services</w:t>
      </w:r>
      <w:r w:rsidR="008F748A">
        <w:rPr>
          <w:sz w:val="22"/>
          <w:szCs w:val="22"/>
        </w:rPr>
        <w:t>, and to disclose information more transparently</w:t>
      </w:r>
      <w:r w:rsidRPr="0093493D">
        <w:rPr>
          <w:sz w:val="22"/>
          <w:szCs w:val="22"/>
        </w:rPr>
        <w:t xml:space="preserve">. In turn, this promotes consumer trust and engagement with the formal financial services market. </w:t>
      </w:r>
      <w:r w:rsidR="008F748A">
        <w:rPr>
          <w:sz w:val="22"/>
          <w:szCs w:val="22"/>
        </w:rPr>
        <w:t>Increased consumer trust a</w:t>
      </w:r>
      <w:r w:rsidR="00DF0987">
        <w:rPr>
          <w:sz w:val="22"/>
          <w:szCs w:val="22"/>
        </w:rPr>
        <w:t xml:space="preserve">s well as </w:t>
      </w:r>
      <w:r w:rsidR="008F748A">
        <w:rPr>
          <w:sz w:val="22"/>
          <w:szCs w:val="22"/>
        </w:rPr>
        <w:t xml:space="preserve">financial sector deepening and competitiveness are key </w:t>
      </w:r>
      <w:r w:rsidR="00DF0987">
        <w:rPr>
          <w:sz w:val="22"/>
          <w:szCs w:val="22"/>
        </w:rPr>
        <w:t>elements for</w:t>
      </w:r>
      <w:r w:rsidR="008F748A">
        <w:rPr>
          <w:sz w:val="22"/>
          <w:szCs w:val="22"/>
        </w:rPr>
        <w:t xml:space="preserve"> financial sector development in </w:t>
      </w:r>
      <w:r w:rsidR="00E14CDE">
        <w:rPr>
          <w:bCs/>
          <w:sz w:val="22"/>
          <w:szCs w:val="22"/>
        </w:rPr>
        <w:t>Armenia</w:t>
      </w:r>
      <w:r w:rsidR="008F748A">
        <w:rPr>
          <w:sz w:val="22"/>
          <w:szCs w:val="22"/>
        </w:rPr>
        <w:t>.</w:t>
      </w:r>
    </w:p>
    <w:p w:rsidR="00B07204" w:rsidRDefault="00B07204" w:rsidP="00B07204">
      <w:pPr>
        <w:pStyle w:val="ListParagraph"/>
        <w:ind w:left="0"/>
        <w:rPr>
          <w:sz w:val="22"/>
          <w:szCs w:val="22"/>
        </w:rPr>
      </w:pPr>
    </w:p>
    <w:p w:rsidR="00057AAD" w:rsidRPr="00E06713" w:rsidRDefault="00057AAD" w:rsidP="007933CB">
      <w:pPr>
        <w:pStyle w:val="BodyText"/>
        <w:numPr>
          <w:ilvl w:val="0"/>
          <w:numId w:val="5"/>
        </w:numPr>
        <w:tabs>
          <w:tab w:val="left" w:pos="360"/>
          <w:tab w:val="left" w:pos="630"/>
        </w:tabs>
        <w:suppressAutoHyphens/>
        <w:spacing w:before="0" w:after="0" w:line="240" w:lineRule="auto"/>
        <w:ind w:left="0" w:firstLine="0"/>
        <w:rPr>
          <w:sz w:val="22"/>
          <w:szCs w:val="22"/>
        </w:rPr>
      </w:pPr>
      <w:r w:rsidRPr="00E06713">
        <w:rPr>
          <w:b/>
          <w:bCs/>
          <w:sz w:val="22"/>
          <w:szCs w:val="22"/>
        </w:rPr>
        <w:t xml:space="preserve">Financial consumer protection is needed to ensure that expanded financial inclusion results in equitable growth. </w:t>
      </w:r>
      <w:r w:rsidRPr="00E06713">
        <w:rPr>
          <w:sz w:val="22"/>
          <w:szCs w:val="22"/>
        </w:rPr>
        <w:t xml:space="preserve">Strong consumer protection helps to ensure that increased use of financial services benefits all consumers and does not create undue risk for households. Furthermore, weak financial consumer protection can cause the growth-promoting benefits of access to consumer financial products and services to be lost or greatly diminished. Weak protection combined with no appreciable financial literacy undermines consumers’ confidence and public trust, thus either discouraging households from purchasing any financial products and services or increasing the likelihood that any financial product or service they purchase will fail to meet their needs and objectives. </w:t>
      </w:r>
    </w:p>
    <w:p w:rsidR="00057AAD" w:rsidRPr="00E06713" w:rsidRDefault="00057AAD" w:rsidP="007933CB">
      <w:pPr>
        <w:pStyle w:val="ListParagraph"/>
        <w:rPr>
          <w:sz w:val="22"/>
          <w:szCs w:val="22"/>
        </w:rPr>
      </w:pPr>
    </w:p>
    <w:p w:rsidR="00057AAD" w:rsidRPr="00E06713" w:rsidRDefault="00057AAD" w:rsidP="00BC0E2F">
      <w:pPr>
        <w:pStyle w:val="BodyText"/>
        <w:numPr>
          <w:ilvl w:val="0"/>
          <w:numId w:val="5"/>
        </w:numPr>
        <w:tabs>
          <w:tab w:val="left" w:pos="360"/>
          <w:tab w:val="left" w:pos="630"/>
        </w:tabs>
        <w:suppressAutoHyphens/>
        <w:spacing w:before="0" w:line="240" w:lineRule="auto"/>
        <w:ind w:left="0" w:firstLine="0"/>
        <w:rPr>
          <w:sz w:val="22"/>
          <w:szCs w:val="22"/>
        </w:rPr>
      </w:pPr>
      <w:r w:rsidRPr="00E06713">
        <w:rPr>
          <w:b/>
          <w:bCs/>
          <w:sz w:val="22"/>
          <w:szCs w:val="22"/>
        </w:rPr>
        <w:t xml:space="preserve">An efficient and well-regulated financial system should provide consumers with five key elements: </w:t>
      </w:r>
    </w:p>
    <w:p w:rsidR="00057AAD" w:rsidRPr="00E06713" w:rsidRDefault="00057AAD" w:rsidP="00BC0E2F">
      <w:pPr>
        <w:pStyle w:val="Default"/>
        <w:spacing w:after="18"/>
        <w:ind w:left="360"/>
        <w:rPr>
          <w:sz w:val="22"/>
          <w:szCs w:val="22"/>
        </w:rPr>
      </w:pPr>
      <w:r w:rsidRPr="00E06713">
        <w:rPr>
          <w:sz w:val="22"/>
          <w:szCs w:val="22"/>
        </w:rPr>
        <w:t xml:space="preserve">(1) </w:t>
      </w:r>
      <w:r w:rsidRPr="00E06713">
        <w:rPr>
          <w:b/>
          <w:bCs/>
          <w:i/>
          <w:iCs/>
          <w:sz w:val="22"/>
          <w:szCs w:val="22"/>
        </w:rPr>
        <w:t>Transparency</w:t>
      </w:r>
      <w:r w:rsidRPr="00E06713">
        <w:rPr>
          <w:b/>
          <w:bCs/>
          <w:sz w:val="22"/>
          <w:szCs w:val="22"/>
        </w:rPr>
        <w:t xml:space="preserve">, </w:t>
      </w:r>
      <w:r w:rsidRPr="00E06713">
        <w:rPr>
          <w:sz w:val="22"/>
          <w:szCs w:val="22"/>
        </w:rPr>
        <w:t xml:space="preserve">by providing full, plain, adequate and comparable information about the prices, terms and conditions (and inherent risks) of financial products and services: </w:t>
      </w:r>
    </w:p>
    <w:p w:rsidR="00057AAD" w:rsidRPr="00E06713" w:rsidRDefault="00057AAD" w:rsidP="00BC0E2F">
      <w:pPr>
        <w:pStyle w:val="Default"/>
        <w:spacing w:after="18"/>
        <w:ind w:left="360"/>
        <w:rPr>
          <w:sz w:val="22"/>
          <w:szCs w:val="22"/>
        </w:rPr>
      </w:pPr>
      <w:r w:rsidRPr="00E06713">
        <w:rPr>
          <w:sz w:val="22"/>
          <w:szCs w:val="22"/>
        </w:rPr>
        <w:t xml:space="preserve">(2) </w:t>
      </w:r>
      <w:r w:rsidRPr="00E06713">
        <w:rPr>
          <w:b/>
          <w:bCs/>
          <w:i/>
          <w:iCs/>
          <w:sz w:val="22"/>
          <w:szCs w:val="22"/>
        </w:rPr>
        <w:t>Choice</w:t>
      </w:r>
      <w:r w:rsidRPr="00E06713">
        <w:rPr>
          <w:b/>
          <w:bCs/>
          <w:sz w:val="22"/>
          <w:szCs w:val="22"/>
        </w:rPr>
        <w:t xml:space="preserve">, </w:t>
      </w:r>
      <w:r w:rsidRPr="00E06713">
        <w:rPr>
          <w:sz w:val="22"/>
          <w:szCs w:val="22"/>
        </w:rPr>
        <w:t xml:space="preserve">by ensuring fair, non-coercive and reasonable practices in the selling and advertising of financial products and services, and collection of payments; </w:t>
      </w:r>
    </w:p>
    <w:p w:rsidR="00057AAD" w:rsidRPr="00E06713" w:rsidRDefault="00057AAD" w:rsidP="00BC0E2F">
      <w:pPr>
        <w:pStyle w:val="Default"/>
        <w:spacing w:after="18"/>
        <w:ind w:left="360"/>
        <w:rPr>
          <w:sz w:val="22"/>
          <w:szCs w:val="22"/>
        </w:rPr>
      </w:pPr>
      <w:r w:rsidRPr="00E06713">
        <w:rPr>
          <w:sz w:val="22"/>
          <w:szCs w:val="22"/>
        </w:rPr>
        <w:t xml:space="preserve">(3) </w:t>
      </w:r>
      <w:r w:rsidRPr="00E06713">
        <w:rPr>
          <w:b/>
          <w:bCs/>
          <w:i/>
          <w:iCs/>
          <w:sz w:val="22"/>
          <w:szCs w:val="22"/>
        </w:rPr>
        <w:t>Redress</w:t>
      </w:r>
      <w:r w:rsidRPr="00E06713">
        <w:rPr>
          <w:b/>
          <w:bCs/>
          <w:sz w:val="22"/>
          <w:szCs w:val="22"/>
        </w:rPr>
        <w:t xml:space="preserve">, </w:t>
      </w:r>
      <w:r w:rsidRPr="00E06713">
        <w:rPr>
          <w:sz w:val="22"/>
          <w:szCs w:val="22"/>
        </w:rPr>
        <w:t xml:space="preserve">by providing inexpensive and speedy mechanisms to address complaints and resolve disputes; </w:t>
      </w:r>
    </w:p>
    <w:p w:rsidR="00057AAD" w:rsidRPr="00E06713" w:rsidRDefault="00057AAD" w:rsidP="00BC0E2F">
      <w:pPr>
        <w:pStyle w:val="Default"/>
        <w:spacing w:after="18"/>
        <w:ind w:left="360"/>
        <w:rPr>
          <w:sz w:val="22"/>
          <w:szCs w:val="22"/>
        </w:rPr>
      </w:pPr>
      <w:r w:rsidRPr="00E06713">
        <w:rPr>
          <w:sz w:val="22"/>
          <w:szCs w:val="22"/>
        </w:rPr>
        <w:t xml:space="preserve">(4) </w:t>
      </w:r>
      <w:r w:rsidRPr="00E06713">
        <w:rPr>
          <w:b/>
          <w:bCs/>
          <w:i/>
          <w:iCs/>
          <w:sz w:val="22"/>
          <w:szCs w:val="22"/>
        </w:rPr>
        <w:t>Privacy</w:t>
      </w:r>
      <w:r w:rsidRPr="00E06713">
        <w:rPr>
          <w:b/>
          <w:bCs/>
          <w:sz w:val="22"/>
          <w:szCs w:val="22"/>
        </w:rPr>
        <w:t xml:space="preserve">, </w:t>
      </w:r>
      <w:r w:rsidRPr="00E06713">
        <w:rPr>
          <w:sz w:val="22"/>
          <w:szCs w:val="22"/>
        </w:rPr>
        <w:t xml:space="preserve">by ensuring protection over third-party access to personal financial information; and </w:t>
      </w:r>
    </w:p>
    <w:p w:rsidR="00057AAD" w:rsidRPr="00E06713" w:rsidRDefault="00057AAD" w:rsidP="00BC0E2F">
      <w:pPr>
        <w:pStyle w:val="Default"/>
        <w:spacing w:after="120"/>
        <w:ind w:left="360"/>
        <w:rPr>
          <w:sz w:val="22"/>
          <w:szCs w:val="22"/>
        </w:rPr>
      </w:pPr>
      <w:r w:rsidRPr="00E06713">
        <w:rPr>
          <w:sz w:val="22"/>
          <w:szCs w:val="22"/>
        </w:rPr>
        <w:t xml:space="preserve">(5) </w:t>
      </w:r>
      <w:r w:rsidRPr="00E06713">
        <w:rPr>
          <w:b/>
          <w:bCs/>
          <w:i/>
          <w:iCs/>
          <w:sz w:val="22"/>
          <w:szCs w:val="22"/>
        </w:rPr>
        <w:t>Trust</w:t>
      </w:r>
      <w:r w:rsidRPr="00E06713">
        <w:rPr>
          <w:b/>
          <w:bCs/>
          <w:sz w:val="22"/>
          <w:szCs w:val="22"/>
        </w:rPr>
        <w:t xml:space="preserve">, </w:t>
      </w:r>
      <w:r w:rsidRPr="00E06713">
        <w:rPr>
          <w:sz w:val="22"/>
          <w:szCs w:val="22"/>
        </w:rPr>
        <w:t xml:space="preserve">by ensuring that financial firms act professionally and deliver what they promise. </w:t>
      </w:r>
    </w:p>
    <w:p w:rsidR="00057AAD" w:rsidRPr="00E06713" w:rsidRDefault="00057AAD" w:rsidP="000F22C5">
      <w:pPr>
        <w:pStyle w:val="Default"/>
        <w:ind w:left="360"/>
        <w:rPr>
          <w:sz w:val="22"/>
          <w:szCs w:val="22"/>
        </w:rPr>
      </w:pPr>
    </w:p>
    <w:p w:rsidR="00057AAD" w:rsidRPr="00E06713" w:rsidRDefault="00057AAD" w:rsidP="000F22C5">
      <w:pPr>
        <w:pStyle w:val="BodyText"/>
        <w:numPr>
          <w:ilvl w:val="0"/>
          <w:numId w:val="5"/>
        </w:numPr>
        <w:tabs>
          <w:tab w:val="left" w:pos="360"/>
          <w:tab w:val="left" w:pos="630"/>
        </w:tabs>
        <w:suppressAutoHyphens/>
        <w:spacing w:before="0" w:after="0" w:line="240" w:lineRule="auto"/>
        <w:ind w:left="0" w:firstLine="0"/>
        <w:rPr>
          <w:sz w:val="22"/>
          <w:szCs w:val="22"/>
        </w:rPr>
      </w:pPr>
      <w:r w:rsidRPr="00E06713">
        <w:rPr>
          <w:b/>
          <w:bCs/>
          <w:sz w:val="22"/>
          <w:szCs w:val="22"/>
        </w:rPr>
        <w:lastRenderedPageBreak/>
        <w:t xml:space="preserve">Financial consumer protection is delivered in two ways: financial regulation and financial education. </w:t>
      </w:r>
      <w:r w:rsidRPr="00E06713">
        <w:rPr>
          <w:sz w:val="22"/>
          <w:szCs w:val="22"/>
        </w:rPr>
        <w:t xml:space="preserve">Such financial regulation consists of market conduct regulation, i.e. laws and regulations regarding the business conduct of financial institutions in delivering financial products and services to consumers. </w:t>
      </w:r>
      <w:r w:rsidR="000F7D54">
        <w:rPr>
          <w:sz w:val="22"/>
          <w:szCs w:val="22"/>
        </w:rPr>
        <w:t>These rules of conduct aim to ensure that consumers</w:t>
      </w:r>
      <w:r w:rsidR="000F7D54" w:rsidRPr="000F7D54">
        <w:rPr>
          <w:sz w:val="22"/>
          <w:szCs w:val="22"/>
        </w:rPr>
        <w:t>: (1) receive information to allow them to make informed decisions, (2) are not subject to unfair or deceptive practices and (3) have access to recourse mechanisms to resolve disputes.</w:t>
      </w:r>
      <w:r w:rsidR="000F7D54">
        <w:rPr>
          <w:sz w:val="22"/>
          <w:szCs w:val="22"/>
        </w:rPr>
        <w:t xml:space="preserve"> </w:t>
      </w:r>
      <w:r w:rsidRPr="00E06713">
        <w:rPr>
          <w:sz w:val="22"/>
          <w:szCs w:val="22"/>
        </w:rPr>
        <w:t xml:space="preserve">Such business conduct regulation includes </w:t>
      </w:r>
      <w:r w:rsidRPr="00E06713">
        <w:rPr>
          <w:i/>
          <w:iCs/>
          <w:sz w:val="22"/>
          <w:szCs w:val="22"/>
        </w:rPr>
        <w:t>government regulation</w:t>
      </w:r>
      <w:r w:rsidRPr="00E06713">
        <w:rPr>
          <w:sz w:val="22"/>
          <w:szCs w:val="22"/>
        </w:rPr>
        <w:t>, i.e. laws and regulations issued by government agencies such as financial supervisors and consumer protection agencies</w:t>
      </w:r>
      <w:r w:rsidR="000F7D54">
        <w:rPr>
          <w:sz w:val="22"/>
          <w:szCs w:val="22"/>
        </w:rPr>
        <w:t>; and</w:t>
      </w:r>
      <w:r w:rsidRPr="00E06713">
        <w:rPr>
          <w:sz w:val="22"/>
          <w:szCs w:val="22"/>
        </w:rPr>
        <w:t xml:space="preserve"> </w:t>
      </w:r>
      <w:r w:rsidRPr="00E06713">
        <w:rPr>
          <w:i/>
          <w:iCs/>
          <w:sz w:val="22"/>
          <w:szCs w:val="22"/>
        </w:rPr>
        <w:t>self-regulation</w:t>
      </w:r>
      <w:r w:rsidRPr="00E06713">
        <w:rPr>
          <w:sz w:val="22"/>
          <w:szCs w:val="22"/>
        </w:rPr>
        <w:t xml:space="preserve">, that is, the voluntary codes of conduct and other responsible finance practices adopted by industry associations as a means of encouraging improved business practices by financial institutions. </w:t>
      </w:r>
      <w:r w:rsidRPr="00E06713">
        <w:rPr>
          <w:i/>
          <w:sz w:val="22"/>
          <w:szCs w:val="22"/>
        </w:rPr>
        <w:t>Financial education</w:t>
      </w:r>
      <w:r w:rsidRPr="00E06713">
        <w:rPr>
          <w:sz w:val="22"/>
          <w:szCs w:val="22"/>
        </w:rPr>
        <w:t xml:space="preserve"> consists of programs of financial literacy t</w:t>
      </w:r>
      <w:r w:rsidR="00461F70">
        <w:rPr>
          <w:sz w:val="22"/>
          <w:szCs w:val="22"/>
        </w:rPr>
        <w:t>hat</w:t>
      </w:r>
      <w:r w:rsidRPr="00E06713">
        <w:rPr>
          <w:sz w:val="22"/>
          <w:szCs w:val="22"/>
        </w:rPr>
        <w:t xml:space="preserve"> help consumers understand the risks and rewards, as well as their rights and obligations, in using financial products and services</w:t>
      </w:r>
      <w:r w:rsidR="000F7D54">
        <w:rPr>
          <w:sz w:val="22"/>
          <w:szCs w:val="22"/>
        </w:rPr>
        <w:t xml:space="preserve">, </w:t>
      </w:r>
      <w:r w:rsidR="00461F70">
        <w:rPr>
          <w:sz w:val="22"/>
          <w:szCs w:val="22"/>
        </w:rPr>
        <w:t xml:space="preserve">and that </w:t>
      </w:r>
      <w:r w:rsidR="000F7D54">
        <w:rPr>
          <w:sz w:val="22"/>
          <w:szCs w:val="22"/>
        </w:rPr>
        <w:t xml:space="preserve">empower </w:t>
      </w:r>
      <w:r w:rsidR="00461F70">
        <w:rPr>
          <w:sz w:val="22"/>
          <w:szCs w:val="22"/>
        </w:rPr>
        <w:t>consumers</w:t>
      </w:r>
      <w:r w:rsidR="000F7D54">
        <w:rPr>
          <w:sz w:val="22"/>
          <w:szCs w:val="22"/>
        </w:rPr>
        <w:t xml:space="preserve"> to purchase financial products and services that best meet their needs and those of their families</w:t>
      </w:r>
      <w:r w:rsidRPr="00E06713">
        <w:rPr>
          <w:sz w:val="22"/>
          <w:szCs w:val="22"/>
        </w:rPr>
        <w:t>. Financial education and regulation are complementary and should be combined in a program of reform of financial consumer protection. However, addressing the main weaknesses in consumer protection can be done quickly with immediate impact, whereas improving financial literacy and capability is inevitably a long-term effort, for which little, as yet, is clearly understood in terms of what works (and what does not) in improving financial behavior.</w:t>
      </w:r>
      <w:r w:rsidRPr="00E06713">
        <w:rPr>
          <w:rStyle w:val="FootnoteReference"/>
          <w:color w:val="000000"/>
          <w:sz w:val="22"/>
          <w:szCs w:val="22"/>
        </w:rPr>
        <w:footnoteReference w:id="6"/>
      </w:r>
      <w:r w:rsidRPr="00E06713">
        <w:rPr>
          <w:sz w:val="22"/>
          <w:szCs w:val="22"/>
        </w:rPr>
        <w:t xml:space="preserve"> Financial education should, therefore, be encouraged, but it should be rigorously tested and evaluated and be viewed as a long-term investment.</w:t>
      </w:r>
    </w:p>
    <w:p w:rsidR="00057AAD" w:rsidRPr="00E06713" w:rsidRDefault="00057AAD" w:rsidP="000F22C5">
      <w:pPr>
        <w:pStyle w:val="ListParagraph"/>
        <w:rPr>
          <w:sz w:val="22"/>
          <w:szCs w:val="22"/>
        </w:rPr>
      </w:pPr>
    </w:p>
    <w:p w:rsidR="00057AAD" w:rsidRPr="00E06713" w:rsidRDefault="00057AAD" w:rsidP="000F22C5">
      <w:pPr>
        <w:pStyle w:val="BodyText"/>
        <w:numPr>
          <w:ilvl w:val="0"/>
          <w:numId w:val="5"/>
        </w:numPr>
        <w:tabs>
          <w:tab w:val="left" w:pos="360"/>
          <w:tab w:val="left" w:pos="630"/>
        </w:tabs>
        <w:suppressAutoHyphens/>
        <w:spacing w:before="0" w:after="0" w:line="240" w:lineRule="auto"/>
        <w:ind w:left="0" w:firstLine="0"/>
        <w:rPr>
          <w:sz w:val="22"/>
          <w:szCs w:val="22"/>
        </w:rPr>
      </w:pPr>
      <w:r w:rsidRPr="00E06713">
        <w:rPr>
          <w:b/>
          <w:bCs/>
          <w:sz w:val="22"/>
          <w:szCs w:val="22"/>
        </w:rPr>
        <w:t xml:space="preserve">Financial regulation is needed, but the challenge is to strike the right balance between government regulation and the forces of market competition. </w:t>
      </w:r>
      <w:r w:rsidRPr="00E06713">
        <w:rPr>
          <w:bCs/>
          <w:sz w:val="22"/>
          <w:szCs w:val="22"/>
        </w:rPr>
        <w:t>Government intervention should be considered when it is both feasible and cost-effective. Rules need to be proactive to prevent abuses and not simply react to problems of the past. In particular, this requires that violations of regulations are sufficiently punished with the aim at least of deterring future infringements. At the same time, undue regulation can stifle financial innovation. Regulators should strive for the highest standards of consumer protection without eliminating the beneficial effects of responsible innovation on consumer choice and access to credit.</w:t>
      </w:r>
      <w:r w:rsidR="00DF0987">
        <w:rPr>
          <w:rStyle w:val="FootnoteReference"/>
          <w:bCs/>
          <w:sz w:val="22"/>
          <w:szCs w:val="22"/>
        </w:rPr>
        <w:footnoteReference w:id="7"/>
      </w:r>
      <w:r w:rsidRPr="00E06713">
        <w:rPr>
          <w:bCs/>
          <w:sz w:val="22"/>
          <w:szCs w:val="22"/>
        </w:rPr>
        <w:t xml:space="preserve"> Regulators should also</w:t>
      </w:r>
      <w:r w:rsidRPr="00E06713">
        <w:rPr>
          <w:sz w:val="22"/>
        </w:rPr>
        <w:t xml:space="preserve"> be careful not to intervene in matters that are best dealt with through competitive market forces so as to avoid placing an undue regulatory burden on the industry.</w:t>
      </w:r>
      <w:r w:rsidRPr="00E06713">
        <w:rPr>
          <w:bCs/>
          <w:sz w:val="22"/>
          <w:szCs w:val="22"/>
        </w:rPr>
        <w:t xml:space="preserve"> Whenever possible, the costs and benefits of proposed financial consumer protection reforms should be analyzed. </w:t>
      </w:r>
    </w:p>
    <w:p w:rsidR="00057AAD" w:rsidRPr="00E06713" w:rsidRDefault="00057AAD" w:rsidP="000F22C5">
      <w:pPr>
        <w:pStyle w:val="ListParagraph"/>
        <w:rPr>
          <w:color w:val="000000"/>
          <w:sz w:val="22"/>
          <w:szCs w:val="22"/>
        </w:rPr>
      </w:pPr>
    </w:p>
    <w:p w:rsidR="00057AAD" w:rsidRDefault="00057AAD" w:rsidP="00733370">
      <w:pPr>
        <w:pStyle w:val="BodyText"/>
        <w:numPr>
          <w:ilvl w:val="0"/>
          <w:numId w:val="5"/>
        </w:numPr>
        <w:tabs>
          <w:tab w:val="left" w:pos="360"/>
          <w:tab w:val="left" w:pos="630"/>
        </w:tabs>
        <w:suppressAutoHyphens/>
        <w:spacing w:before="0" w:line="240" w:lineRule="auto"/>
        <w:ind w:left="0" w:firstLine="0"/>
        <w:rPr>
          <w:sz w:val="22"/>
          <w:szCs w:val="22"/>
        </w:rPr>
      </w:pPr>
      <w:r w:rsidRPr="00E06713">
        <w:rPr>
          <w:b/>
          <w:bCs/>
          <w:sz w:val="22"/>
          <w:szCs w:val="22"/>
        </w:rPr>
        <w:t xml:space="preserve">Although self-regulation can be useful in improving the business practices of financial institutions, it should not be a substitute for government regulation to protect consumers. </w:t>
      </w:r>
      <w:r w:rsidRPr="00E06713">
        <w:rPr>
          <w:sz w:val="22"/>
          <w:szCs w:val="22"/>
        </w:rPr>
        <w:t xml:space="preserve">Codes of conduct primarily act to complement financial regulation, particularly if the regulator (or supervisor) oversees the codes and reports on their effectiveness. However, particularly in developing countries, self-regulation is frequently ineffective since institutional capacities of industry associations are typically limited and financial markets are highly concentrated and dominated by a small number of institutions. </w:t>
      </w:r>
    </w:p>
    <w:p w:rsidR="0093493D" w:rsidRDefault="0093493D" w:rsidP="00E764D6">
      <w:pPr>
        <w:pStyle w:val="ListParagraph"/>
        <w:ind w:left="0"/>
        <w:rPr>
          <w:sz w:val="22"/>
          <w:szCs w:val="22"/>
        </w:rPr>
      </w:pPr>
    </w:p>
    <w:p w:rsidR="00FA7286" w:rsidRDefault="00FA7286" w:rsidP="00E764D6">
      <w:pPr>
        <w:pStyle w:val="ListParagraph"/>
        <w:ind w:left="0"/>
        <w:rPr>
          <w:sz w:val="22"/>
          <w:szCs w:val="22"/>
        </w:rPr>
      </w:pPr>
    </w:p>
    <w:p w:rsidR="00E14CDE" w:rsidRDefault="00E14CDE">
      <w:pPr>
        <w:rPr>
          <w:sz w:val="22"/>
          <w:szCs w:val="22"/>
        </w:rPr>
      </w:pPr>
      <w:r>
        <w:rPr>
          <w:sz w:val="22"/>
          <w:szCs w:val="22"/>
        </w:rPr>
        <w:br w:type="page"/>
      </w:r>
    </w:p>
    <w:p w:rsidR="00057AAD" w:rsidRPr="006A5E65" w:rsidRDefault="00057AAD" w:rsidP="002E65C8">
      <w:pPr>
        <w:pStyle w:val="Heading1"/>
        <w:numPr>
          <w:ilvl w:val="0"/>
          <w:numId w:val="41"/>
        </w:numPr>
        <w:ind w:left="0" w:firstLine="0"/>
        <w:jc w:val="center"/>
        <w:rPr>
          <w:rFonts w:ascii="Times New Roman" w:hAnsi="Times New Roman" w:cs="Times New Roman"/>
          <w:sz w:val="28"/>
          <w:szCs w:val="28"/>
        </w:rPr>
      </w:pPr>
      <w:bookmarkStart w:id="39" w:name="_Toc263494677"/>
      <w:bookmarkStart w:id="40" w:name="_Toc331409061"/>
      <w:r w:rsidRPr="006A5E65">
        <w:rPr>
          <w:rFonts w:ascii="Times New Roman" w:hAnsi="Times New Roman" w:cs="Times New Roman"/>
          <w:sz w:val="28"/>
          <w:szCs w:val="28"/>
          <w:lang w:eastAsia="cs-CZ"/>
        </w:rPr>
        <w:lastRenderedPageBreak/>
        <w:t>Consumer Protection</w:t>
      </w:r>
      <w:bookmarkEnd w:id="37"/>
      <w:r w:rsidRPr="006A5E65">
        <w:rPr>
          <w:rFonts w:ascii="Times New Roman" w:hAnsi="Times New Roman" w:cs="Times New Roman"/>
          <w:sz w:val="28"/>
          <w:szCs w:val="28"/>
          <w:lang w:eastAsia="cs-CZ"/>
        </w:rPr>
        <w:t xml:space="preserve"> and Financial </w:t>
      </w:r>
      <w:bookmarkEnd w:id="39"/>
      <w:r w:rsidRPr="006A5E65">
        <w:rPr>
          <w:rFonts w:ascii="Times New Roman" w:hAnsi="Times New Roman" w:cs="Times New Roman"/>
          <w:sz w:val="28"/>
          <w:szCs w:val="28"/>
          <w:lang w:eastAsia="cs-CZ"/>
        </w:rPr>
        <w:t>Literacy</w:t>
      </w:r>
      <w:r w:rsidRPr="006A5E65">
        <w:rPr>
          <w:rFonts w:ascii="Times New Roman" w:hAnsi="Times New Roman" w:cs="Times New Roman"/>
          <w:sz w:val="28"/>
          <w:szCs w:val="28"/>
        </w:rPr>
        <w:t xml:space="preserve"> </w:t>
      </w:r>
      <w:bookmarkEnd w:id="38"/>
      <w:r w:rsidRPr="006A5E65">
        <w:rPr>
          <w:rFonts w:ascii="Times New Roman" w:hAnsi="Times New Roman" w:cs="Times New Roman"/>
          <w:sz w:val="28"/>
          <w:szCs w:val="28"/>
        </w:rPr>
        <w:t xml:space="preserve">in </w:t>
      </w:r>
      <w:r w:rsidR="0065155A">
        <w:rPr>
          <w:rFonts w:ascii="Times New Roman" w:hAnsi="Times New Roman" w:cs="Times New Roman"/>
          <w:sz w:val="28"/>
          <w:szCs w:val="28"/>
        </w:rPr>
        <w:t>Armenia</w:t>
      </w:r>
      <w:r w:rsidR="00A80480">
        <w:rPr>
          <w:rFonts w:ascii="Times New Roman" w:hAnsi="Times New Roman" w:cs="Times New Roman"/>
          <w:sz w:val="28"/>
          <w:szCs w:val="28"/>
        </w:rPr>
        <w:t xml:space="preserve">: </w:t>
      </w:r>
      <w:r w:rsidRPr="006A5E65">
        <w:rPr>
          <w:rFonts w:ascii="Times New Roman" w:hAnsi="Times New Roman" w:cs="Times New Roman"/>
          <w:sz w:val="28"/>
          <w:szCs w:val="28"/>
        </w:rPr>
        <w:t xml:space="preserve">Existing Policy and Institutional </w:t>
      </w:r>
      <w:r w:rsidR="008574D3" w:rsidRPr="006A5E65">
        <w:rPr>
          <w:rFonts w:ascii="Times New Roman" w:hAnsi="Times New Roman" w:cs="Times New Roman"/>
          <w:sz w:val="28"/>
          <w:szCs w:val="28"/>
        </w:rPr>
        <w:t>Framework</w:t>
      </w:r>
      <w:bookmarkEnd w:id="40"/>
    </w:p>
    <w:p w:rsidR="00057AAD" w:rsidRPr="00E06713" w:rsidRDefault="00057AAD" w:rsidP="00827F28"/>
    <w:p w:rsidR="00507999" w:rsidRDefault="002F04B7" w:rsidP="00507999">
      <w:pPr>
        <w:pStyle w:val="BodyText"/>
        <w:numPr>
          <w:ilvl w:val="0"/>
          <w:numId w:val="5"/>
        </w:numPr>
        <w:tabs>
          <w:tab w:val="left" w:pos="360"/>
          <w:tab w:val="left" w:pos="630"/>
        </w:tabs>
        <w:suppressAutoHyphens/>
        <w:spacing w:before="0" w:after="0" w:line="240" w:lineRule="auto"/>
        <w:ind w:left="0" w:firstLine="0"/>
        <w:rPr>
          <w:sz w:val="22"/>
          <w:szCs w:val="22"/>
        </w:rPr>
      </w:pPr>
      <w:r w:rsidRPr="002F04B7">
        <w:rPr>
          <w:b/>
          <w:sz w:val="22"/>
          <w:szCs w:val="22"/>
        </w:rPr>
        <w:t xml:space="preserve">Financial literacy and consumer protection have been identified as </w:t>
      </w:r>
      <w:r w:rsidR="0065155A">
        <w:rPr>
          <w:b/>
          <w:sz w:val="22"/>
          <w:szCs w:val="22"/>
        </w:rPr>
        <w:t>significant</w:t>
      </w:r>
      <w:r w:rsidRPr="002F04B7">
        <w:rPr>
          <w:b/>
          <w:sz w:val="22"/>
          <w:szCs w:val="22"/>
        </w:rPr>
        <w:t xml:space="preserve"> </w:t>
      </w:r>
      <w:r w:rsidR="00C14833">
        <w:rPr>
          <w:b/>
          <w:sz w:val="22"/>
          <w:szCs w:val="22"/>
        </w:rPr>
        <w:t>elements of</w:t>
      </w:r>
      <w:r w:rsidRPr="002F04B7">
        <w:rPr>
          <w:b/>
          <w:sz w:val="22"/>
          <w:szCs w:val="22"/>
        </w:rPr>
        <w:t xml:space="preserve"> the </w:t>
      </w:r>
      <w:r w:rsidR="0065155A">
        <w:rPr>
          <w:b/>
          <w:sz w:val="22"/>
          <w:szCs w:val="22"/>
        </w:rPr>
        <w:t>Central Bank of Armenia Strategy 2012-2014</w:t>
      </w:r>
      <w:r w:rsidRPr="002F04B7">
        <w:rPr>
          <w:b/>
          <w:sz w:val="22"/>
          <w:szCs w:val="22"/>
        </w:rPr>
        <w:t>.</w:t>
      </w:r>
      <w:r w:rsidR="00E764D6" w:rsidRPr="002F04B7">
        <w:rPr>
          <w:b/>
          <w:sz w:val="22"/>
          <w:szCs w:val="22"/>
        </w:rPr>
        <w:t xml:space="preserve"> </w:t>
      </w:r>
      <w:r w:rsidR="00E764D6" w:rsidRPr="002F04B7">
        <w:rPr>
          <w:sz w:val="22"/>
          <w:szCs w:val="22"/>
        </w:rPr>
        <w:t xml:space="preserve">The </w:t>
      </w:r>
      <w:r w:rsidR="006A5E65">
        <w:rPr>
          <w:sz w:val="22"/>
          <w:szCs w:val="22"/>
        </w:rPr>
        <w:t xml:space="preserve">overall policy objective of the </w:t>
      </w:r>
      <w:r w:rsidR="00507999">
        <w:rPr>
          <w:sz w:val="22"/>
          <w:szCs w:val="22"/>
        </w:rPr>
        <w:t>CBA</w:t>
      </w:r>
      <w:r w:rsidR="00507999" w:rsidRPr="00507999">
        <w:rPr>
          <w:sz w:val="22"/>
          <w:szCs w:val="22"/>
        </w:rPr>
        <w:t xml:space="preserve"> Strategy 2012-2014 points out the importance </w:t>
      </w:r>
      <w:r w:rsidR="00507999">
        <w:rPr>
          <w:sz w:val="22"/>
          <w:szCs w:val="22"/>
        </w:rPr>
        <w:t>of</w:t>
      </w:r>
      <w:r w:rsidR="00507999" w:rsidRPr="00507999">
        <w:rPr>
          <w:sz w:val="22"/>
          <w:szCs w:val="22"/>
        </w:rPr>
        <w:t xml:space="preserve"> develop</w:t>
      </w:r>
      <w:r w:rsidR="00507999">
        <w:rPr>
          <w:sz w:val="22"/>
          <w:szCs w:val="22"/>
        </w:rPr>
        <w:t>ing</w:t>
      </w:r>
      <w:r w:rsidR="00507999" w:rsidRPr="00507999">
        <w:rPr>
          <w:sz w:val="22"/>
          <w:szCs w:val="22"/>
        </w:rPr>
        <w:t xml:space="preserve"> a framework designed to increase consumer protection and financial literacy and awareness levels, in compliance with best international practices. CBA is</w:t>
      </w:r>
      <w:r w:rsidR="00507999">
        <w:rPr>
          <w:sz w:val="22"/>
          <w:szCs w:val="22"/>
        </w:rPr>
        <w:t xml:space="preserve"> also</w:t>
      </w:r>
      <w:r w:rsidR="00507999" w:rsidRPr="00507999">
        <w:rPr>
          <w:sz w:val="22"/>
          <w:szCs w:val="22"/>
        </w:rPr>
        <w:t xml:space="preserve"> planning to develop and implement the “National Education Strategy” in 2012, combining and coordinating the efforts of CBA, Ministry of Education and Science (MoES), Pension Awareness Center Foundation and other stakeholders.</w:t>
      </w:r>
    </w:p>
    <w:p w:rsidR="00507999" w:rsidRDefault="00507999" w:rsidP="00507999">
      <w:pPr>
        <w:pStyle w:val="BodyText"/>
        <w:tabs>
          <w:tab w:val="left" w:pos="360"/>
          <w:tab w:val="left" w:pos="630"/>
        </w:tabs>
        <w:suppressAutoHyphens/>
        <w:spacing w:before="0" w:after="0" w:line="240" w:lineRule="auto"/>
        <w:rPr>
          <w:sz w:val="22"/>
          <w:szCs w:val="22"/>
        </w:rPr>
      </w:pPr>
      <w:r>
        <w:rPr>
          <w:b/>
          <w:sz w:val="22"/>
          <w:szCs w:val="22"/>
        </w:rPr>
        <w:t xml:space="preserve"> </w:t>
      </w:r>
    </w:p>
    <w:p w:rsidR="00507999" w:rsidRDefault="00507999" w:rsidP="00507999">
      <w:pPr>
        <w:pStyle w:val="BodyText"/>
        <w:numPr>
          <w:ilvl w:val="0"/>
          <w:numId w:val="5"/>
        </w:numPr>
        <w:tabs>
          <w:tab w:val="left" w:pos="360"/>
          <w:tab w:val="left" w:pos="630"/>
        </w:tabs>
        <w:suppressAutoHyphens/>
        <w:spacing w:before="0" w:after="0" w:line="240" w:lineRule="auto"/>
        <w:ind w:left="0" w:firstLine="0"/>
        <w:rPr>
          <w:sz w:val="22"/>
          <w:szCs w:val="22"/>
        </w:rPr>
      </w:pPr>
      <w:r w:rsidRPr="00507999">
        <w:rPr>
          <w:b/>
          <w:sz w:val="22"/>
          <w:szCs w:val="22"/>
        </w:rPr>
        <w:t xml:space="preserve">The Central Bank of Armenia is the single regulator </w:t>
      </w:r>
      <w:r w:rsidR="00D962DD">
        <w:rPr>
          <w:b/>
          <w:sz w:val="22"/>
          <w:szCs w:val="22"/>
        </w:rPr>
        <w:t xml:space="preserve">and supervisor </w:t>
      </w:r>
      <w:r w:rsidRPr="00507999">
        <w:rPr>
          <w:b/>
          <w:sz w:val="22"/>
          <w:szCs w:val="22"/>
        </w:rPr>
        <w:t xml:space="preserve">of the financial sector in Armenia, including pawn shops and foreign exchange bureaus. </w:t>
      </w:r>
      <w:r w:rsidRPr="00507999">
        <w:rPr>
          <w:sz w:val="22"/>
          <w:szCs w:val="22"/>
        </w:rPr>
        <w:t>The CBA is also responsible for developing, implementing and enforcing consumer protection policy in Armenia</w:t>
      </w:r>
      <w:r>
        <w:rPr>
          <w:sz w:val="22"/>
          <w:szCs w:val="22"/>
        </w:rPr>
        <w:t xml:space="preserve"> in the area of financial services</w:t>
      </w:r>
      <w:r w:rsidRPr="00507999">
        <w:rPr>
          <w:sz w:val="22"/>
          <w:szCs w:val="22"/>
        </w:rPr>
        <w:t>.</w:t>
      </w:r>
      <w:r w:rsidR="00D962DD">
        <w:rPr>
          <w:sz w:val="22"/>
          <w:szCs w:val="22"/>
        </w:rPr>
        <w:t xml:space="preserve"> </w:t>
      </w:r>
      <w:r w:rsidR="00D962DD" w:rsidRPr="00D962DD">
        <w:rPr>
          <w:sz w:val="22"/>
          <w:szCs w:val="22"/>
        </w:rPr>
        <w:t>The consumer protection mandate of the CBA stems from Article 5. 1. f) of the Law on the Central Bank, defining the objective of the CBA to "ensure essential conditions for protection of rights and lawful interests of the financial system consumers".</w:t>
      </w:r>
      <w:r w:rsidR="00D962DD">
        <w:rPr>
          <w:sz w:val="22"/>
          <w:szCs w:val="22"/>
        </w:rPr>
        <w:t xml:space="preserve"> </w:t>
      </w:r>
    </w:p>
    <w:p w:rsidR="00D962DD" w:rsidRDefault="00D962DD" w:rsidP="00D962DD">
      <w:pPr>
        <w:pStyle w:val="ListParagraph"/>
        <w:rPr>
          <w:sz w:val="22"/>
          <w:szCs w:val="22"/>
        </w:rPr>
      </w:pPr>
    </w:p>
    <w:p w:rsidR="00D962DD" w:rsidRDefault="004939A3" w:rsidP="00D962DD">
      <w:pPr>
        <w:pStyle w:val="BodyText"/>
        <w:numPr>
          <w:ilvl w:val="0"/>
          <w:numId w:val="5"/>
        </w:numPr>
        <w:tabs>
          <w:tab w:val="left" w:pos="360"/>
          <w:tab w:val="left" w:pos="630"/>
        </w:tabs>
        <w:suppressAutoHyphens/>
        <w:spacing w:before="0" w:after="0" w:line="240" w:lineRule="auto"/>
        <w:ind w:left="0" w:firstLine="0"/>
        <w:rPr>
          <w:sz w:val="22"/>
          <w:szCs w:val="22"/>
        </w:rPr>
      </w:pPr>
      <w:r>
        <w:rPr>
          <w:b/>
          <w:sz w:val="22"/>
          <w:szCs w:val="22"/>
        </w:rPr>
        <w:t xml:space="preserve">The CBA has a well-defined organizational structure. </w:t>
      </w:r>
      <w:r w:rsidR="00D962DD" w:rsidRPr="004939A3">
        <w:rPr>
          <w:sz w:val="22"/>
          <w:szCs w:val="22"/>
        </w:rPr>
        <w:t>There is a dedicated team in the CBA responsible for consumer protection and financial education. The team is currently housed within the Financial System Stability and Development department of the CBA. There is a board member of the CBA Board responsible for overseeing financial education activities of the CBA. However, no board member has such a responsibility for consumer protection. Financial sector regulations (from laws through CBA Regulations to supervision manuals) are prepared by the Financial System Regulation department. Legal opinions to both prepared regulations and conducted inspections are provided by the Legal department of the CBA. The Legal department is also responsible for licensing of financial institutions in Armenia. Supervision of the financial market is conducted by the Financial Supervision department of the CBA. Supervisors use a combination of on-site and off-site supervision based on the yearly plan of supervision that takes into account key risk factors such as the size of the institution, its retail activities as well as complaints against the institution. On-site and off-site supervision functions are combined in one division and in most cases both on-site and off-site supervision of a financial institution is conducted by the same supervisor or group of supervisors to ensure fluid communication and interaction.</w:t>
      </w:r>
      <w:r>
        <w:rPr>
          <w:sz w:val="22"/>
          <w:szCs w:val="22"/>
        </w:rPr>
        <w:t xml:space="preserve"> </w:t>
      </w:r>
    </w:p>
    <w:p w:rsidR="004939A3" w:rsidRDefault="004939A3" w:rsidP="004939A3">
      <w:pPr>
        <w:pStyle w:val="BodyText"/>
        <w:tabs>
          <w:tab w:val="left" w:pos="360"/>
          <w:tab w:val="left" w:pos="630"/>
        </w:tabs>
        <w:suppressAutoHyphens/>
        <w:spacing w:before="0" w:after="0" w:line="240" w:lineRule="auto"/>
        <w:rPr>
          <w:sz w:val="22"/>
          <w:szCs w:val="22"/>
        </w:rPr>
      </w:pPr>
      <w:r>
        <w:rPr>
          <w:b/>
          <w:sz w:val="22"/>
          <w:szCs w:val="22"/>
        </w:rPr>
        <w:t xml:space="preserve"> </w:t>
      </w:r>
    </w:p>
    <w:p w:rsidR="004939A3" w:rsidRDefault="004939A3" w:rsidP="00D962DD">
      <w:pPr>
        <w:pStyle w:val="BodyText"/>
        <w:numPr>
          <w:ilvl w:val="0"/>
          <w:numId w:val="5"/>
        </w:numPr>
        <w:tabs>
          <w:tab w:val="left" w:pos="360"/>
          <w:tab w:val="left" w:pos="630"/>
        </w:tabs>
        <w:suppressAutoHyphens/>
        <w:spacing w:before="0" w:after="0" w:line="240" w:lineRule="auto"/>
        <w:ind w:left="0" w:firstLine="0"/>
        <w:rPr>
          <w:sz w:val="22"/>
          <w:szCs w:val="22"/>
        </w:rPr>
      </w:pPr>
      <w:r w:rsidRPr="004939A3">
        <w:rPr>
          <w:b/>
          <w:sz w:val="22"/>
          <w:szCs w:val="22"/>
        </w:rPr>
        <w:t>The legal setup seems to be sufficient and the CBA has enough powers to react to market developments as needed.</w:t>
      </w:r>
      <w:r>
        <w:rPr>
          <w:sz w:val="22"/>
          <w:szCs w:val="22"/>
        </w:rPr>
        <w:t xml:space="preserve"> The CBA is responsible for drafting the financial services regulations. Many technical details of both prudential and market conduct rules are defined through the CBA Regulations that may be issued and updated speedily. </w:t>
      </w:r>
    </w:p>
    <w:p w:rsidR="004939A3" w:rsidRDefault="004939A3" w:rsidP="004939A3">
      <w:pPr>
        <w:pStyle w:val="ListParagraph"/>
        <w:rPr>
          <w:sz w:val="22"/>
          <w:szCs w:val="22"/>
        </w:rPr>
      </w:pPr>
    </w:p>
    <w:p w:rsidR="004939A3" w:rsidRDefault="004939A3" w:rsidP="00D962DD">
      <w:pPr>
        <w:pStyle w:val="BodyText"/>
        <w:numPr>
          <w:ilvl w:val="0"/>
          <w:numId w:val="5"/>
        </w:numPr>
        <w:tabs>
          <w:tab w:val="left" w:pos="360"/>
          <w:tab w:val="left" w:pos="630"/>
        </w:tabs>
        <w:suppressAutoHyphens/>
        <w:spacing w:before="0" w:after="0" w:line="240" w:lineRule="auto"/>
        <w:ind w:left="0" w:firstLine="0"/>
        <w:rPr>
          <w:sz w:val="22"/>
          <w:szCs w:val="22"/>
        </w:rPr>
      </w:pPr>
      <w:r>
        <w:rPr>
          <w:b/>
          <w:sz w:val="22"/>
          <w:szCs w:val="22"/>
        </w:rPr>
        <w:t xml:space="preserve">The Financial </w:t>
      </w:r>
      <w:r w:rsidR="00F73797">
        <w:rPr>
          <w:b/>
          <w:sz w:val="22"/>
          <w:szCs w:val="22"/>
        </w:rPr>
        <w:t>System</w:t>
      </w:r>
      <w:r w:rsidRPr="004939A3">
        <w:rPr>
          <w:b/>
          <w:sz w:val="22"/>
          <w:szCs w:val="22"/>
        </w:rPr>
        <w:t xml:space="preserve"> Mediator</w:t>
      </w:r>
      <w:r>
        <w:rPr>
          <w:b/>
          <w:sz w:val="22"/>
          <w:szCs w:val="22"/>
        </w:rPr>
        <w:t xml:space="preserve"> is the key person in settling financial services-related disputes out of court. </w:t>
      </w:r>
      <w:r w:rsidRPr="004939A3">
        <w:rPr>
          <w:sz w:val="22"/>
          <w:szCs w:val="22"/>
        </w:rPr>
        <w:t>The Office of the Financial System Mediator is an independently-managed institution founded by the Central Bank of Armenia</w:t>
      </w:r>
      <w:r>
        <w:rPr>
          <w:sz w:val="22"/>
          <w:szCs w:val="22"/>
        </w:rPr>
        <w:t xml:space="preserve"> and</w:t>
      </w:r>
      <w:r w:rsidRPr="004939A3">
        <w:rPr>
          <w:sz w:val="22"/>
          <w:szCs w:val="22"/>
        </w:rPr>
        <w:t xml:space="preserve"> is responsible for resolution of disputes between individual consumers and financial organizations. The Mediator’s services are free of charge</w:t>
      </w:r>
      <w:r>
        <w:rPr>
          <w:sz w:val="22"/>
          <w:szCs w:val="22"/>
        </w:rPr>
        <w:t xml:space="preserve"> with focus on mediated solutions – but the Mediator also has a power to issue a binding decision if the parties are unable to agree on a solution</w:t>
      </w:r>
      <w:r w:rsidRPr="004939A3">
        <w:rPr>
          <w:sz w:val="22"/>
          <w:szCs w:val="22"/>
        </w:rPr>
        <w:t>.</w:t>
      </w:r>
      <w:r w:rsidR="00C56BC7">
        <w:rPr>
          <w:sz w:val="22"/>
          <w:szCs w:val="22"/>
        </w:rPr>
        <w:t xml:space="preserve"> </w:t>
      </w:r>
    </w:p>
    <w:p w:rsidR="00C56BC7" w:rsidRDefault="00C56BC7" w:rsidP="00C56BC7">
      <w:pPr>
        <w:pStyle w:val="ListParagraph"/>
        <w:rPr>
          <w:sz w:val="22"/>
          <w:szCs w:val="22"/>
        </w:rPr>
      </w:pPr>
    </w:p>
    <w:p w:rsidR="003609C9" w:rsidRPr="003609C9" w:rsidRDefault="003609C9" w:rsidP="001971B6">
      <w:pPr>
        <w:keepNext/>
        <w:ind w:left="720"/>
        <w:jc w:val="both"/>
        <w:rPr>
          <w:b/>
          <w:sz w:val="22"/>
          <w:szCs w:val="22"/>
        </w:rPr>
      </w:pPr>
      <w:r w:rsidRPr="003609C9">
        <w:rPr>
          <w:b/>
          <w:sz w:val="22"/>
          <w:szCs w:val="22"/>
        </w:rPr>
        <w:lastRenderedPageBreak/>
        <w:t>Box 1: The Financial System Mediator</w:t>
      </w:r>
    </w:p>
    <w:p w:rsidR="003609C9" w:rsidRPr="003609C9" w:rsidRDefault="003609C9" w:rsidP="001971B6">
      <w:pPr>
        <w:keepNext/>
        <w:ind w:left="720"/>
        <w:jc w:val="both"/>
        <w:rPr>
          <w:sz w:val="22"/>
          <w:szCs w:val="22"/>
        </w:rPr>
      </w:pPr>
    </w:p>
    <w:p w:rsidR="003609C9" w:rsidRDefault="003609C9" w:rsidP="001971B6">
      <w:pPr>
        <w:keepNext/>
        <w:ind w:left="720"/>
        <w:jc w:val="both"/>
        <w:rPr>
          <w:sz w:val="22"/>
          <w:szCs w:val="22"/>
        </w:rPr>
      </w:pPr>
      <w:r w:rsidRPr="003609C9">
        <w:rPr>
          <w:sz w:val="22"/>
          <w:szCs w:val="22"/>
        </w:rPr>
        <w:t xml:space="preserve">The Office of the Financial System Mediator is an independently-managed institution founded in January 2009 by the Central Bank of Armenia in accordance with the Law on the Financial System Mediator adopted on June 17, 2008. The central mission of the Mediator is the protection of consumer rights and interests in the financial system, as well as resolving disputes between individual consumers and financial institutions. The Office of Financial System Mediator is the independent institution funded by mandatory contributions made by financial organizations (banks, insurance and investment companies, credit organizations, pawnshops, etc). The Office of Mediator is managed by the Board of Trustees (consisting of seven independent members) and the office manager, the Mediator (appointed by the Board of Trustees). </w:t>
      </w:r>
    </w:p>
    <w:p w:rsidR="003609C9" w:rsidRPr="003609C9" w:rsidRDefault="003609C9" w:rsidP="003609C9">
      <w:pPr>
        <w:ind w:left="720"/>
        <w:jc w:val="both"/>
        <w:rPr>
          <w:sz w:val="22"/>
          <w:szCs w:val="22"/>
        </w:rPr>
      </w:pPr>
    </w:p>
    <w:p w:rsidR="003609C9" w:rsidRDefault="003609C9" w:rsidP="003609C9">
      <w:pPr>
        <w:ind w:left="720"/>
        <w:jc w:val="both"/>
        <w:rPr>
          <w:sz w:val="22"/>
          <w:szCs w:val="22"/>
        </w:rPr>
      </w:pPr>
      <w:r w:rsidRPr="003609C9">
        <w:rPr>
          <w:sz w:val="22"/>
          <w:szCs w:val="22"/>
        </w:rPr>
        <w:t xml:space="preserve">All individual consumers of financial services may apply to the Financial System Mediator for dispute resolution whether or not such a right is provided for under the contract between the customer and the financial organization. Any agreements or stipulations that confine the customer’s right to resort to the Mediator are not valid according to the Law on the Financial System Mediator. </w:t>
      </w:r>
    </w:p>
    <w:p w:rsidR="003609C9" w:rsidRPr="003609C9" w:rsidRDefault="003609C9" w:rsidP="003609C9">
      <w:pPr>
        <w:ind w:left="720"/>
        <w:jc w:val="both"/>
        <w:rPr>
          <w:sz w:val="22"/>
          <w:szCs w:val="22"/>
        </w:rPr>
      </w:pPr>
    </w:p>
    <w:p w:rsidR="003609C9" w:rsidRDefault="003609C9" w:rsidP="003609C9">
      <w:pPr>
        <w:ind w:left="720"/>
        <w:jc w:val="both"/>
        <w:rPr>
          <w:sz w:val="22"/>
          <w:szCs w:val="22"/>
        </w:rPr>
      </w:pPr>
      <w:r w:rsidRPr="003609C9">
        <w:rPr>
          <w:sz w:val="22"/>
          <w:szCs w:val="22"/>
        </w:rPr>
        <w:t xml:space="preserve">The customer can apply to the Mediator office via phone, e-complaint forms, letters or directly visiting the office. The front office (handling specialists) receives and records complaints and provides with advice depending on whether the complaint is within the jurisdiction of the Mediator. If the complaint is within the jurisdiction of the Mediator a case handling specialist directs and helps to file a written complaint with the financial organization first. The financial organization has 10 business days to answer the complaint. If the organization doesn't respond to the complaint or the customer is not satisfied with the answer, he gets the right to submit a claim to the Mediator. </w:t>
      </w:r>
    </w:p>
    <w:p w:rsidR="003609C9" w:rsidRPr="003609C9" w:rsidRDefault="003609C9" w:rsidP="003609C9">
      <w:pPr>
        <w:ind w:left="720"/>
        <w:jc w:val="both"/>
        <w:rPr>
          <w:sz w:val="22"/>
          <w:szCs w:val="22"/>
        </w:rPr>
      </w:pPr>
    </w:p>
    <w:p w:rsidR="003609C9" w:rsidRDefault="003609C9" w:rsidP="003609C9">
      <w:pPr>
        <w:ind w:left="720"/>
        <w:jc w:val="both"/>
        <w:rPr>
          <w:sz w:val="22"/>
          <w:szCs w:val="22"/>
        </w:rPr>
      </w:pPr>
      <w:r w:rsidRPr="003609C9">
        <w:rPr>
          <w:sz w:val="22"/>
          <w:szCs w:val="22"/>
        </w:rPr>
        <w:t xml:space="preserve">When receiving the claim the case handling specialist within one business day sends a letter to the corresponding financial organization describing the content of the claim as well as requesting additional information for the investigation. The financial organization has 14 business days to respond to the Mediator’s office. As soon as the organization replies the Mediator commences case investigation within 14 business days (in some cases the investigation process can be prolonged for extra 14 days). </w:t>
      </w:r>
    </w:p>
    <w:p w:rsidR="003609C9" w:rsidRPr="003609C9" w:rsidRDefault="003609C9" w:rsidP="003609C9">
      <w:pPr>
        <w:ind w:left="720"/>
        <w:jc w:val="both"/>
        <w:rPr>
          <w:sz w:val="22"/>
          <w:szCs w:val="22"/>
        </w:rPr>
      </w:pPr>
    </w:p>
    <w:p w:rsidR="003609C9" w:rsidRDefault="003609C9" w:rsidP="003609C9">
      <w:pPr>
        <w:ind w:left="720"/>
        <w:jc w:val="both"/>
        <w:rPr>
          <w:sz w:val="22"/>
          <w:szCs w:val="22"/>
        </w:rPr>
      </w:pPr>
      <w:r w:rsidRPr="003609C9">
        <w:rPr>
          <w:sz w:val="22"/>
          <w:szCs w:val="22"/>
        </w:rPr>
        <w:t xml:space="preserve">During investigation the Mediator can call for oral hearings, invite an independent expert and detect industry best practice. The Mediator is using the examination results to decide whether to satisfy the claim (partially satisfy), or to decline the claim. The decision of Mediator is mandatory for both parties if the customer agrees with the decision. </w:t>
      </w:r>
    </w:p>
    <w:p w:rsidR="003609C9" w:rsidRPr="003609C9" w:rsidRDefault="003609C9" w:rsidP="003609C9">
      <w:pPr>
        <w:ind w:left="720"/>
        <w:jc w:val="both"/>
        <w:rPr>
          <w:sz w:val="22"/>
          <w:szCs w:val="22"/>
        </w:rPr>
      </w:pPr>
    </w:p>
    <w:p w:rsidR="003609C9" w:rsidRDefault="003609C9" w:rsidP="003609C9">
      <w:pPr>
        <w:ind w:left="720"/>
        <w:jc w:val="both"/>
        <w:rPr>
          <w:sz w:val="22"/>
          <w:szCs w:val="22"/>
        </w:rPr>
      </w:pPr>
      <w:r w:rsidRPr="003609C9">
        <w:rPr>
          <w:sz w:val="22"/>
          <w:szCs w:val="22"/>
        </w:rPr>
        <w:t xml:space="preserve">During 2011 the Mediator’s office received 803 complaints against financial institutions, of which 53% against banks, 34% - insurance companies, 7% - credit organizations and 6% - pawnshops and others. At the same time, a total of 144 claims (43% against banks, 47% - insurance companies, 6% - pawnshops, 4% - credit organizations) were processed by the Office and 68% of which were resolved in favor </w:t>
      </w:r>
      <w:r>
        <w:rPr>
          <w:sz w:val="22"/>
          <w:szCs w:val="22"/>
        </w:rPr>
        <w:t>of the client. Additionally, 43 </w:t>
      </w:r>
      <w:r w:rsidRPr="003609C9">
        <w:rPr>
          <w:sz w:val="22"/>
          <w:szCs w:val="22"/>
        </w:rPr>
        <w:t xml:space="preserve">complaints were settled down in the stage of the complaint filing to the financial institution.  </w:t>
      </w:r>
    </w:p>
    <w:p w:rsidR="003609C9" w:rsidRPr="003609C9" w:rsidRDefault="003609C9" w:rsidP="003609C9">
      <w:pPr>
        <w:ind w:left="720"/>
        <w:jc w:val="both"/>
        <w:rPr>
          <w:sz w:val="22"/>
          <w:szCs w:val="22"/>
        </w:rPr>
      </w:pPr>
    </w:p>
    <w:p w:rsidR="003609C9" w:rsidRPr="003609C9" w:rsidRDefault="003609C9" w:rsidP="003609C9">
      <w:pPr>
        <w:ind w:left="720"/>
        <w:jc w:val="both"/>
        <w:rPr>
          <w:sz w:val="22"/>
          <w:szCs w:val="22"/>
        </w:rPr>
      </w:pPr>
      <w:r w:rsidRPr="003609C9">
        <w:rPr>
          <w:sz w:val="22"/>
          <w:szCs w:val="22"/>
        </w:rPr>
        <w:t>During the three year of operations the Mediator has received over 1900 complaints against financial organizations, 330 claims were investigated and customers were reimbursed about 109 million AMD through reconciliation and binding decision.</w:t>
      </w:r>
    </w:p>
    <w:p w:rsidR="003609C9" w:rsidRDefault="003609C9" w:rsidP="00C56BC7">
      <w:pPr>
        <w:pStyle w:val="ListParagraph"/>
        <w:rPr>
          <w:sz w:val="22"/>
          <w:szCs w:val="22"/>
        </w:rPr>
      </w:pPr>
    </w:p>
    <w:p w:rsidR="00C56BC7" w:rsidRDefault="00C56BC7" w:rsidP="00D962DD">
      <w:pPr>
        <w:pStyle w:val="BodyText"/>
        <w:numPr>
          <w:ilvl w:val="0"/>
          <w:numId w:val="5"/>
        </w:numPr>
        <w:tabs>
          <w:tab w:val="left" w:pos="360"/>
          <w:tab w:val="left" w:pos="630"/>
        </w:tabs>
        <w:suppressAutoHyphens/>
        <w:spacing w:before="0" w:after="0" w:line="240" w:lineRule="auto"/>
        <w:ind w:left="0" w:firstLine="0"/>
        <w:rPr>
          <w:sz w:val="22"/>
          <w:szCs w:val="22"/>
        </w:rPr>
      </w:pPr>
      <w:r w:rsidRPr="00C56BC7">
        <w:rPr>
          <w:b/>
          <w:sz w:val="22"/>
          <w:szCs w:val="22"/>
        </w:rPr>
        <w:t xml:space="preserve">The State Commission for the Protection of Economic Competition may also assist in strengthening the Armenian financial sector. </w:t>
      </w:r>
      <w:r>
        <w:rPr>
          <w:sz w:val="22"/>
          <w:szCs w:val="22"/>
        </w:rPr>
        <w:t xml:space="preserve">The CBA and the Competition Commission </w:t>
      </w:r>
      <w:r w:rsidRPr="00C56BC7">
        <w:rPr>
          <w:sz w:val="22"/>
          <w:szCs w:val="22"/>
        </w:rPr>
        <w:t xml:space="preserve">have signed a </w:t>
      </w:r>
      <w:r>
        <w:rPr>
          <w:sz w:val="22"/>
          <w:szCs w:val="22"/>
        </w:rPr>
        <w:t>Memorandum of Understanding</w:t>
      </w:r>
      <w:r w:rsidRPr="00C56BC7">
        <w:rPr>
          <w:sz w:val="22"/>
          <w:szCs w:val="22"/>
        </w:rPr>
        <w:t xml:space="preserve"> that should improve their cooperation and coordination. </w:t>
      </w:r>
      <w:r>
        <w:rPr>
          <w:sz w:val="22"/>
          <w:szCs w:val="22"/>
        </w:rPr>
        <w:t>T</w:t>
      </w:r>
      <w:r w:rsidRPr="00C56BC7">
        <w:rPr>
          <w:sz w:val="22"/>
          <w:szCs w:val="22"/>
        </w:rPr>
        <w:t xml:space="preserve">he </w:t>
      </w:r>
      <w:r w:rsidR="007A39A9">
        <w:rPr>
          <w:sz w:val="22"/>
          <w:szCs w:val="22"/>
        </w:rPr>
        <w:t xml:space="preserve">cooperation </w:t>
      </w:r>
      <w:r>
        <w:rPr>
          <w:sz w:val="22"/>
          <w:szCs w:val="22"/>
        </w:rPr>
        <w:t xml:space="preserve">between the institutions </w:t>
      </w:r>
      <w:r w:rsidRPr="00C56BC7">
        <w:rPr>
          <w:sz w:val="22"/>
          <w:szCs w:val="22"/>
        </w:rPr>
        <w:t xml:space="preserve">is </w:t>
      </w:r>
      <w:r>
        <w:rPr>
          <w:sz w:val="22"/>
          <w:szCs w:val="22"/>
        </w:rPr>
        <w:t>key in supporting competition in the financial market</w:t>
      </w:r>
      <w:r w:rsidR="00C246DE" w:rsidRPr="00C246DE">
        <w:rPr>
          <w:sz w:val="22"/>
          <w:szCs w:val="22"/>
        </w:rPr>
        <w:t xml:space="preserve"> </w:t>
      </w:r>
      <w:r w:rsidR="00C246DE">
        <w:rPr>
          <w:sz w:val="22"/>
          <w:szCs w:val="22"/>
        </w:rPr>
        <w:t>and developing CBA's competition know-how</w:t>
      </w:r>
      <w:r w:rsidR="007A39A9">
        <w:rPr>
          <w:sz w:val="22"/>
          <w:szCs w:val="22"/>
        </w:rPr>
        <w:t>.</w:t>
      </w:r>
      <w:r>
        <w:rPr>
          <w:sz w:val="22"/>
          <w:szCs w:val="22"/>
        </w:rPr>
        <w:t xml:space="preserve"> </w:t>
      </w:r>
    </w:p>
    <w:p w:rsidR="007A39A9" w:rsidRDefault="007A39A9" w:rsidP="007A39A9">
      <w:pPr>
        <w:pStyle w:val="ListParagraph"/>
        <w:rPr>
          <w:sz w:val="22"/>
          <w:szCs w:val="22"/>
        </w:rPr>
      </w:pPr>
    </w:p>
    <w:p w:rsidR="007A39A9" w:rsidRPr="00755A04" w:rsidRDefault="00755A04" w:rsidP="00755A04">
      <w:pPr>
        <w:pStyle w:val="BodyText"/>
        <w:numPr>
          <w:ilvl w:val="0"/>
          <w:numId w:val="5"/>
        </w:numPr>
        <w:tabs>
          <w:tab w:val="left" w:pos="360"/>
          <w:tab w:val="left" w:pos="630"/>
        </w:tabs>
        <w:suppressAutoHyphens/>
        <w:spacing w:before="0" w:after="0" w:line="240" w:lineRule="auto"/>
        <w:ind w:left="0" w:firstLine="0"/>
        <w:rPr>
          <w:sz w:val="22"/>
          <w:szCs w:val="22"/>
        </w:rPr>
      </w:pPr>
      <w:r w:rsidRPr="009F0C98">
        <w:rPr>
          <w:b/>
          <w:sz w:val="22"/>
          <w:szCs w:val="22"/>
        </w:rPr>
        <w:t xml:space="preserve">In the area of financial education, the CBA is developing a national strategy but the Ministry of Education and Science is another key stakeholder. </w:t>
      </w:r>
      <w:r>
        <w:rPr>
          <w:sz w:val="22"/>
          <w:szCs w:val="22"/>
        </w:rPr>
        <w:t xml:space="preserve">The MOES </w:t>
      </w:r>
      <w:r w:rsidRPr="00755A04">
        <w:rPr>
          <w:sz w:val="22"/>
          <w:szCs w:val="22"/>
        </w:rPr>
        <w:t xml:space="preserve">elaborates and implements the policies </w:t>
      </w:r>
      <w:r>
        <w:rPr>
          <w:sz w:val="22"/>
          <w:szCs w:val="22"/>
        </w:rPr>
        <w:t xml:space="preserve">agreed by the </w:t>
      </w:r>
      <w:r w:rsidRPr="00755A04">
        <w:rPr>
          <w:sz w:val="22"/>
          <w:szCs w:val="22"/>
        </w:rPr>
        <w:t>Armenia</w:t>
      </w:r>
      <w:r>
        <w:rPr>
          <w:sz w:val="22"/>
          <w:szCs w:val="22"/>
        </w:rPr>
        <w:t>n</w:t>
      </w:r>
      <w:r w:rsidRPr="00755A04">
        <w:rPr>
          <w:sz w:val="22"/>
          <w:szCs w:val="22"/>
        </w:rPr>
        <w:t xml:space="preserve"> </w:t>
      </w:r>
      <w:r>
        <w:rPr>
          <w:sz w:val="22"/>
          <w:szCs w:val="22"/>
        </w:rPr>
        <w:t>g</w:t>
      </w:r>
      <w:r w:rsidRPr="00755A04">
        <w:rPr>
          <w:sz w:val="22"/>
          <w:szCs w:val="22"/>
        </w:rPr>
        <w:t>overnment in the education and science sectors</w:t>
      </w:r>
      <w:r>
        <w:rPr>
          <w:sz w:val="22"/>
          <w:szCs w:val="22"/>
        </w:rPr>
        <w:t xml:space="preserve"> and its</w:t>
      </w:r>
      <w:r w:rsidRPr="00755A04">
        <w:rPr>
          <w:sz w:val="22"/>
          <w:szCs w:val="22"/>
        </w:rPr>
        <w:t xml:space="preserve"> National Institute of Education provides teacher trainings and development of teaching materials.</w:t>
      </w:r>
    </w:p>
    <w:p w:rsidR="00057AAD" w:rsidRPr="00E06713" w:rsidRDefault="00057AAD" w:rsidP="00AA218A">
      <w:pPr>
        <w:pStyle w:val="ListParagraph"/>
        <w:ind w:left="0"/>
        <w:rPr>
          <w:sz w:val="22"/>
        </w:rPr>
      </w:pPr>
    </w:p>
    <w:p w:rsidR="00057AAD" w:rsidRPr="00E06713" w:rsidRDefault="00057AAD" w:rsidP="00714BD0">
      <w:pPr>
        <w:pStyle w:val="ListParagraph"/>
        <w:ind w:left="0"/>
        <w:rPr>
          <w:sz w:val="22"/>
        </w:rPr>
      </w:pPr>
    </w:p>
    <w:p w:rsidR="0065722A" w:rsidRDefault="0065722A">
      <w:pPr>
        <w:rPr>
          <w:b/>
          <w:bCs/>
          <w:kern w:val="32"/>
          <w:sz w:val="28"/>
          <w:szCs w:val="28"/>
          <w:lang w:eastAsia="cs-CZ"/>
        </w:rPr>
      </w:pPr>
      <w:bookmarkStart w:id="41" w:name="_Toc263494680"/>
      <w:r>
        <w:rPr>
          <w:sz w:val="28"/>
          <w:szCs w:val="28"/>
          <w:lang w:eastAsia="cs-CZ"/>
        </w:rPr>
        <w:br w:type="page"/>
      </w:r>
    </w:p>
    <w:p w:rsidR="00057AAD" w:rsidRPr="002E65C8" w:rsidRDefault="008574D3" w:rsidP="002E65C8">
      <w:pPr>
        <w:pStyle w:val="Heading1"/>
        <w:numPr>
          <w:ilvl w:val="0"/>
          <w:numId w:val="41"/>
        </w:numPr>
        <w:ind w:left="0" w:firstLine="0"/>
        <w:jc w:val="center"/>
        <w:rPr>
          <w:rFonts w:ascii="Times New Roman" w:hAnsi="Times New Roman" w:cs="Times New Roman"/>
          <w:sz w:val="28"/>
          <w:szCs w:val="28"/>
          <w:lang w:eastAsia="cs-CZ"/>
        </w:rPr>
      </w:pPr>
      <w:bookmarkStart w:id="42" w:name="_Toc331409062"/>
      <w:r w:rsidRPr="002E65C8">
        <w:rPr>
          <w:rFonts w:ascii="Times New Roman" w:hAnsi="Times New Roman" w:cs="Times New Roman"/>
          <w:sz w:val="28"/>
          <w:szCs w:val="28"/>
          <w:lang w:eastAsia="cs-CZ"/>
        </w:rPr>
        <w:lastRenderedPageBreak/>
        <w:t>K</w:t>
      </w:r>
      <w:r w:rsidR="00057AAD" w:rsidRPr="002E65C8">
        <w:rPr>
          <w:rFonts w:ascii="Times New Roman" w:hAnsi="Times New Roman" w:cs="Times New Roman"/>
          <w:sz w:val="28"/>
          <w:szCs w:val="28"/>
          <w:lang w:eastAsia="cs-CZ"/>
        </w:rPr>
        <w:t>ey Findings and Recommendations</w:t>
      </w:r>
      <w:bookmarkEnd w:id="41"/>
      <w:bookmarkEnd w:id="42"/>
    </w:p>
    <w:p w:rsidR="00057AAD" w:rsidRPr="00E06713" w:rsidRDefault="00057AAD" w:rsidP="00250604">
      <w:pPr>
        <w:rPr>
          <w:bCs/>
          <w:sz w:val="22"/>
          <w:szCs w:val="22"/>
        </w:rPr>
      </w:pPr>
    </w:p>
    <w:p w:rsidR="00057AAD" w:rsidRPr="00E06713" w:rsidRDefault="00057AAD" w:rsidP="00C10844">
      <w:pPr>
        <w:pStyle w:val="BodyText"/>
        <w:numPr>
          <w:ilvl w:val="0"/>
          <w:numId w:val="5"/>
        </w:numPr>
        <w:tabs>
          <w:tab w:val="left" w:pos="360"/>
          <w:tab w:val="left" w:pos="630"/>
        </w:tabs>
        <w:suppressAutoHyphens/>
        <w:spacing w:before="0" w:line="240" w:lineRule="auto"/>
        <w:ind w:left="0" w:firstLine="0"/>
        <w:rPr>
          <w:bCs/>
          <w:sz w:val="22"/>
          <w:szCs w:val="22"/>
        </w:rPr>
      </w:pPr>
      <w:r w:rsidRPr="00E06713">
        <w:rPr>
          <w:b/>
          <w:bCs/>
          <w:sz w:val="22"/>
          <w:szCs w:val="22"/>
        </w:rPr>
        <w:t xml:space="preserve">The Diagnostic Review proposes that consumer protection in respect of financial products and services </w:t>
      </w:r>
      <w:r w:rsidR="00136793">
        <w:rPr>
          <w:b/>
          <w:bCs/>
          <w:sz w:val="22"/>
          <w:szCs w:val="22"/>
        </w:rPr>
        <w:t xml:space="preserve">in Armenia </w:t>
      </w:r>
      <w:r w:rsidRPr="00E06713">
        <w:rPr>
          <w:b/>
          <w:bCs/>
          <w:sz w:val="22"/>
          <w:szCs w:val="22"/>
        </w:rPr>
        <w:t xml:space="preserve">be strengthened in ways that improve consumer confidence in financial </w:t>
      </w:r>
      <w:r w:rsidR="00136793">
        <w:rPr>
          <w:b/>
          <w:bCs/>
          <w:sz w:val="22"/>
          <w:szCs w:val="22"/>
        </w:rPr>
        <w:t>markets</w:t>
      </w:r>
      <w:r w:rsidRPr="00E06713">
        <w:rPr>
          <w:b/>
          <w:bCs/>
          <w:sz w:val="22"/>
          <w:szCs w:val="22"/>
        </w:rPr>
        <w:t xml:space="preserve">. </w:t>
      </w:r>
      <w:r w:rsidRPr="00E06713">
        <w:rPr>
          <w:bCs/>
          <w:sz w:val="22"/>
          <w:szCs w:val="22"/>
        </w:rPr>
        <w:t xml:space="preserve">Five key </w:t>
      </w:r>
      <w:r w:rsidR="00136793">
        <w:rPr>
          <w:bCs/>
          <w:sz w:val="22"/>
          <w:szCs w:val="22"/>
        </w:rPr>
        <w:t xml:space="preserve">areas of </w:t>
      </w:r>
      <w:r w:rsidRPr="00E06713">
        <w:rPr>
          <w:bCs/>
          <w:sz w:val="22"/>
          <w:szCs w:val="22"/>
        </w:rPr>
        <w:t xml:space="preserve">measures </w:t>
      </w:r>
      <w:r w:rsidR="00136793" w:rsidRPr="00886280">
        <w:rPr>
          <w:szCs w:val="22"/>
        </w:rPr>
        <w:t>have been identified where coordinated action of all stakeholders is needed</w:t>
      </w:r>
      <w:r w:rsidRPr="00E06713">
        <w:rPr>
          <w:bCs/>
          <w:sz w:val="22"/>
          <w:szCs w:val="22"/>
        </w:rPr>
        <w:t>:</w:t>
      </w:r>
    </w:p>
    <w:p w:rsidR="00057AAD" w:rsidRPr="00E06713" w:rsidRDefault="00057AAD" w:rsidP="00C10844">
      <w:pPr>
        <w:numPr>
          <w:ilvl w:val="0"/>
          <w:numId w:val="21"/>
        </w:numPr>
        <w:jc w:val="both"/>
        <w:rPr>
          <w:bCs/>
          <w:sz w:val="22"/>
          <w:szCs w:val="22"/>
        </w:rPr>
      </w:pPr>
      <w:r w:rsidRPr="00E06713">
        <w:rPr>
          <w:bCs/>
          <w:sz w:val="22"/>
          <w:szCs w:val="22"/>
        </w:rPr>
        <w:t>Strengthen the institutional framework for consumer protection and financial literacy</w:t>
      </w:r>
      <w:r w:rsidR="00E73989">
        <w:rPr>
          <w:bCs/>
          <w:sz w:val="22"/>
          <w:szCs w:val="22"/>
        </w:rPr>
        <w:t>;</w:t>
      </w:r>
    </w:p>
    <w:p w:rsidR="00886280" w:rsidRPr="00E06713" w:rsidRDefault="00886280" w:rsidP="00886280">
      <w:pPr>
        <w:numPr>
          <w:ilvl w:val="0"/>
          <w:numId w:val="21"/>
        </w:numPr>
        <w:jc w:val="both"/>
        <w:rPr>
          <w:bCs/>
          <w:sz w:val="22"/>
          <w:szCs w:val="22"/>
        </w:rPr>
      </w:pPr>
      <w:r w:rsidRPr="00E06713">
        <w:rPr>
          <w:bCs/>
          <w:sz w:val="22"/>
          <w:szCs w:val="22"/>
        </w:rPr>
        <w:t>Improve disclosure of information for financial consumers</w:t>
      </w:r>
      <w:r>
        <w:rPr>
          <w:bCs/>
          <w:sz w:val="22"/>
          <w:szCs w:val="22"/>
        </w:rPr>
        <w:t>;</w:t>
      </w:r>
    </w:p>
    <w:p w:rsidR="00747351" w:rsidRPr="00E06713" w:rsidRDefault="00747351" w:rsidP="00747351">
      <w:pPr>
        <w:numPr>
          <w:ilvl w:val="0"/>
          <w:numId w:val="21"/>
        </w:numPr>
        <w:jc w:val="both"/>
        <w:rPr>
          <w:bCs/>
          <w:sz w:val="22"/>
          <w:szCs w:val="22"/>
        </w:rPr>
      </w:pPr>
      <w:r w:rsidRPr="00E06713">
        <w:rPr>
          <w:bCs/>
          <w:sz w:val="22"/>
          <w:szCs w:val="22"/>
        </w:rPr>
        <w:t>Develop regulation of business practices of all financial institutions</w:t>
      </w:r>
      <w:r>
        <w:rPr>
          <w:bCs/>
          <w:sz w:val="22"/>
          <w:szCs w:val="22"/>
        </w:rPr>
        <w:t>;</w:t>
      </w:r>
    </w:p>
    <w:p w:rsidR="00057AAD" w:rsidRPr="00E06713" w:rsidRDefault="00136793" w:rsidP="00C10844">
      <w:pPr>
        <w:numPr>
          <w:ilvl w:val="0"/>
          <w:numId w:val="21"/>
        </w:numPr>
        <w:jc w:val="both"/>
        <w:rPr>
          <w:bCs/>
          <w:sz w:val="22"/>
          <w:szCs w:val="22"/>
        </w:rPr>
      </w:pPr>
      <w:r>
        <w:rPr>
          <w:bCs/>
          <w:sz w:val="22"/>
          <w:szCs w:val="22"/>
        </w:rPr>
        <w:t>Update</w:t>
      </w:r>
      <w:r w:rsidRPr="00E06713">
        <w:rPr>
          <w:bCs/>
          <w:sz w:val="22"/>
          <w:szCs w:val="22"/>
        </w:rPr>
        <w:t xml:space="preserve"> </w:t>
      </w:r>
      <w:r w:rsidR="00057AAD" w:rsidRPr="00E06713">
        <w:rPr>
          <w:bCs/>
          <w:sz w:val="22"/>
          <w:szCs w:val="22"/>
        </w:rPr>
        <w:t>dispute resolution mechanisms</w:t>
      </w:r>
      <w:r w:rsidR="00E73989">
        <w:rPr>
          <w:bCs/>
          <w:sz w:val="22"/>
          <w:szCs w:val="22"/>
        </w:rPr>
        <w:t>;</w:t>
      </w:r>
    </w:p>
    <w:p w:rsidR="00057AAD" w:rsidRPr="00E06713" w:rsidRDefault="00113B9D" w:rsidP="00C10844">
      <w:pPr>
        <w:numPr>
          <w:ilvl w:val="0"/>
          <w:numId w:val="21"/>
        </w:numPr>
        <w:jc w:val="both"/>
        <w:rPr>
          <w:b/>
          <w:bCs/>
          <w:sz w:val="22"/>
          <w:szCs w:val="22"/>
        </w:rPr>
      </w:pPr>
      <w:r>
        <w:rPr>
          <w:bCs/>
          <w:sz w:val="22"/>
          <w:szCs w:val="22"/>
        </w:rPr>
        <w:t>Develop a</w:t>
      </w:r>
      <w:r w:rsidR="00057AAD" w:rsidRPr="00E06713">
        <w:rPr>
          <w:bCs/>
          <w:sz w:val="22"/>
          <w:szCs w:val="22"/>
        </w:rPr>
        <w:t xml:space="preserve"> </w:t>
      </w:r>
      <w:r>
        <w:rPr>
          <w:bCs/>
          <w:sz w:val="22"/>
          <w:szCs w:val="22"/>
        </w:rPr>
        <w:t xml:space="preserve">multi-stakeholder </w:t>
      </w:r>
      <w:r w:rsidR="00057AAD" w:rsidRPr="00E06713">
        <w:rPr>
          <w:bCs/>
          <w:sz w:val="22"/>
          <w:szCs w:val="22"/>
        </w:rPr>
        <w:t xml:space="preserve">financial education program for </w:t>
      </w:r>
      <w:r>
        <w:rPr>
          <w:bCs/>
          <w:sz w:val="22"/>
          <w:szCs w:val="22"/>
        </w:rPr>
        <w:t>consumers</w:t>
      </w:r>
      <w:r w:rsidR="00057AAD" w:rsidRPr="00E06713">
        <w:rPr>
          <w:bCs/>
          <w:sz w:val="22"/>
          <w:szCs w:val="22"/>
        </w:rPr>
        <w:t>.</w:t>
      </w:r>
    </w:p>
    <w:p w:rsidR="00057AAD" w:rsidRDefault="00057AAD" w:rsidP="000F72CF">
      <w:pPr>
        <w:jc w:val="both"/>
        <w:rPr>
          <w:szCs w:val="22"/>
        </w:rPr>
      </w:pPr>
    </w:p>
    <w:p w:rsidR="009E5193" w:rsidRPr="002E65C8" w:rsidRDefault="009E5193" w:rsidP="009E5193">
      <w:pPr>
        <w:pStyle w:val="Heading1"/>
        <w:rPr>
          <w:rFonts w:ascii="Times New Roman" w:hAnsi="Times New Roman" w:cs="Times New Roman"/>
          <w:i/>
          <w:sz w:val="28"/>
        </w:rPr>
      </w:pPr>
      <w:bookmarkStart w:id="43" w:name="_Toc331409063"/>
      <w:r w:rsidRPr="002E65C8">
        <w:rPr>
          <w:rFonts w:ascii="Times New Roman" w:hAnsi="Times New Roman" w:cs="Times New Roman"/>
          <w:i/>
          <w:sz w:val="28"/>
        </w:rPr>
        <w:t>Institutional Framework</w:t>
      </w:r>
      <w:bookmarkEnd w:id="43"/>
    </w:p>
    <w:p w:rsidR="009E5193" w:rsidRDefault="009E5193" w:rsidP="009E5193">
      <w:pPr>
        <w:pStyle w:val="BodyText"/>
        <w:tabs>
          <w:tab w:val="left" w:pos="360"/>
          <w:tab w:val="left" w:pos="630"/>
        </w:tabs>
        <w:suppressAutoHyphens/>
        <w:spacing w:before="0" w:after="0" w:line="240" w:lineRule="auto"/>
        <w:rPr>
          <w:bCs/>
          <w:sz w:val="22"/>
          <w:szCs w:val="22"/>
        </w:rPr>
      </w:pPr>
    </w:p>
    <w:p w:rsidR="001C57D8" w:rsidRDefault="001C57D8" w:rsidP="001C57D8">
      <w:pPr>
        <w:pStyle w:val="BodyText"/>
        <w:numPr>
          <w:ilvl w:val="0"/>
          <w:numId w:val="5"/>
        </w:numPr>
        <w:tabs>
          <w:tab w:val="left" w:pos="360"/>
          <w:tab w:val="left" w:pos="630"/>
        </w:tabs>
        <w:suppressAutoHyphens/>
        <w:spacing w:before="0" w:after="0" w:line="240" w:lineRule="auto"/>
        <w:ind w:left="0" w:firstLine="0"/>
        <w:rPr>
          <w:bCs/>
          <w:sz w:val="22"/>
          <w:szCs w:val="22"/>
        </w:rPr>
      </w:pPr>
      <w:r w:rsidRPr="001C57D8">
        <w:rPr>
          <w:b/>
          <w:bCs/>
          <w:sz w:val="22"/>
          <w:szCs w:val="22"/>
        </w:rPr>
        <w:t>A separate Consumer Protection and Market Conduct Department within the CBA would be helpful.</w:t>
      </w:r>
      <w:r w:rsidRPr="001C57D8">
        <w:rPr>
          <w:bCs/>
          <w:sz w:val="22"/>
          <w:szCs w:val="22"/>
        </w:rPr>
        <w:t xml:space="preserve"> The CBA has taken commendable steps to set up a separate consumer protection and market conduct division within its structures </w:t>
      </w:r>
      <w:r w:rsidR="00643797">
        <w:rPr>
          <w:bCs/>
          <w:sz w:val="22"/>
          <w:szCs w:val="22"/>
        </w:rPr>
        <w:t xml:space="preserve">(part of the Financial Stability Department) </w:t>
      </w:r>
      <w:r w:rsidRPr="001C57D8">
        <w:rPr>
          <w:bCs/>
          <w:sz w:val="22"/>
          <w:szCs w:val="22"/>
        </w:rPr>
        <w:t>and integrate consumer protection and financial education as parts of its responsibilities for a robust financial services market in Armenia. As the consumer protection team at the CBA faces many tasks, it should be set up as a separate Consumer Protection and Market Conduct Department</w:t>
      </w:r>
      <w:r w:rsidR="00DA01CB">
        <w:rPr>
          <w:bCs/>
          <w:sz w:val="22"/>
          <w:szCs w:val="22"/>
        </w:rPr>
        <w:t xml:space="preserve"> to publicly proclaim market conduct to be on par with other key CBA activities</w:t>
      </w:r>
      <w:r w:rsidRPr="001C57D8">
        <w:rPr>
          <w:bCs/>
          <w:sz w:val="22"/>
          <w:szCs w:val="22"/>
        </w:rPr>
        <w:t>. The Consumer Protection and Market Conduct Department should be responsible for on-site and off-site market conduct supervision, including inspections. Consideration could also be given to strengthen the role of the Consumer Protection and Market Conduct Department related to market conduct regulatory framework, financial education, and international cooperation</w:t>
      </w:r>
      <w:r w:rsidR="001A4911">
        <w:rPr>
          <w:bCs/>
          <w:sz w:val="22"/>
          <w:szCs w:val="22"/>
        </w:rPr>
        <w:t xml:space="preserve"> to promote the advances Armenia has achieved in consumer protection compared to many other countries</w:t>
      </w:r>
      <w:r w:rsidRPr="001C57D8">
        <w:rPr>
          <w:bCs/>
          <w:sz w:val="22"/>
          <w:szCs w:val="22"/>
        </w:rPr>
        <w:t xml:space="preserve">. </w:t>
      </w:r>
    </w:p>
    <w:p w:rsidR="001C57D8" w:rsidRDefault="001C57D8" w:rsidP="001C57D8">
      <w:pPr>
        <w:pStyle w:val="BodyText"/>
        <w:tabs>
          <w:tab w:val="left" w:pos="360"/>
          <w:tab w:val="left" w:pos="630"/>
        </w:tabs>
        <w:suppressAutoHyphens/>
        <w:spacing w:before="0" w:after="0" w:line="240" w:lineRule="auto"/>
        <w:rPr>
          <w:bCs/>
          <w:sz w:val="22"/>
          <w:szCs w:val="22"/>
        </w:rPr>
      </w:pPr>
      <w:r>
        <w:rPr>
          <w:b/>
          <w:bCs/>
          <w:sz w:val="22"/>
          <w:szCs w:val="22"/>
        </w:rPr>
        <w:t xml:space="preserve"> </w:t>
      </w:r>
    </w:p>
    <w:p w:rsidR="001C57D8" w:rsidRDefault="001C57D8" w:rsidP="001C57D8">
      <w:pPr>
        <w:pStyle w:val="BodyText"/>
        <w:numPr>
          <w:ilvl w:val="0"/>
          <w:numId w:val="5"/>
        </w:numPr>
        <w:tabs>
          <w:tab w:val="left" w:pos="360"/>
          <w:tab w:val="left" w:pos="630"/>
        </w:tabs>
        <w:suppressAutoHyphens/>
        <w:spacing w:before="0" w:after="0" w:line="240" w:lineRule="auto"/>
        <w:ind w:left="0" w:firstLine="0"/>
        <w:rPr>
          <w:bCs/>
          <w:sz w:val="22"/>
          <w:szCs w:val="22"/>
        </w:rPr>
      </w:pPr>
      <w:r>
        <w:rPr>
          <w:b/>
          <w:bCs/>
          <w:sz w:val="22"/>
          <w:szCs w:val="22"/>
        </w:rPr>
        <w:t xml:space="preserve">The Consumer Protection and Market Conduct team should be equipped with sufficient capacity and resources. </w:t>
      </w:r>
      <w:r w:rsidRPr="001C57D8">
        <w:rPr>
          <w:bCs/>
          <w:sz w:val="22"/>
          <w:szCs w:val="22"/>
        </w:rPr>
        <w:t xml:space="preserve">To ensure that the department has adequate resources, an institutional needs analysis to identify and prioritize its tasks and define appropriate resources should be conducted. Based on the analysis, a long-term capacity building program needs to be put in place to ensure the continued high level of consumer protection. </w:t>
      </w:r>
    </w:p>
    <w:p w:rsidR="001A4911" w:rsidRDefault="001A4911" w:rsidP="001A4911">
      <w:pPr>
        <w:pStyle w:val="ListParagraph"/>
        <w:rPr>
          <w:bCs/>
          <w:sz w:val="22"/>
          <w:szCs w:val="22"/>
        </w:rPr>
      </w:pPr>
    </w:p>
    <w:p w:rsidR="001A4911" w:rsidRDefault="001A4911" w:rsidP="001C57D8">
      <w:pPr>
        <w:pStyle w:val="BodyText"/>
        <w:numPr>
          <w:ilvl w:val="0"/>
          <w:numId w:val="5"/>
        </w:numPr>
        <w:tabs>
          <w:tab w:val="left" w:pos="360"/>
          <w:tab w:val="left" w:pos="630"/>
        </w:tabs>
        <w:suppressAutoHyphens/>
        <w:spacing w:before="0" w:after="0" w:line="240" w:lineRule="auto"/>
        <w:ind w:left="0" w:firstLine="0"/>
        <w:rPr>
          <w:bCs/>
          <w:sz w:val="22"/>
          <w:szCs w:val="22"/>
        </w:rPr>
      </w:pPr>
      <w:r w:rsidRPr="001A4911">
        <w:rPr>
          <w:b/>
          <w:bCs/>
          <w:sz w:val="22"/>
          <w:szCs w:val="22"/>
        </w:rPr>
        <w:t>Sufficient supervisory powers need to be given to the Consumer Protection and Market Conduct team and the team should be allowed to use modern supervisory tools.</w:t>
      </w:r>
      <w:r>
        <w:rPr>
          <w:bCs/>
          <w:sz w:val="22"/>
          <w:szCs w:val="22"/>
        </w:rPr>
        <w:t xml:space="preserve"> Mystery shopping should be used regularly by the CBA to monitor market practices, guide its regulatory work and prosecute market participants that act unfairly. The market conduct rules should prohibit unfair and aggressive business practices and </w:t>
      </w:r>
      <w:r w:rsidRPr="001A4911">
        <w:rPr>
          <w:bCs/>
          <w:sz w:val="22"/>
          <w:szCs w:val="22"/>
        </w:rPr>
        <w:t>full range of investigative tools set forth in the EU MiFID Directive</w:t>
      </w:r>
      <w:r>
        <w:rPr>
          <w:bCs/>
          <w:sz w:val="22"/>
          <w:szCs w:val="22"/>
        </w:rPr>
        <w:t xml:space="preserve"> should be accorded to the CBA</w:t>
      </w:r>
      <w:r w:rsidRPr="001A4911">
        <w:rPr>
          <w:bCs/>
          <w:sz w:val="22"/>
          <w:szCs w:val="22"/>
        </w:rPr>
        <w:t>.</w:t>
      </w:r>
    </w:p>
    <w:p w:rsidR="001C57D8" w:rsidRDefault="001C57D8" w:rsidP="001C57D8">
      <w:pPr>
        <w:pStyle w:val="ListParagraph"/>
        <w:rPr>
          <w:bCs/>
          <w:sz w:val="22"/>
          <w:szCs w:val="22"/>
        </w:rPr>
      </w:pPr>
    </w:p>
    <w:p w:rsidR="001A4911" w:rsidRPr="001A4911" w:rsidRDefault="001C57D8" w:rsidP="001A4911">
      <w:pPr>
        <w:pStyle w:val="BodyText"/>
        <w:numPr>
          <w:ilvl w:val="0"/>
          <w:numId w:val="5"/>
        </w:numPr>
        <w:tabs>
          <w:tab w:val="left" w:pos="360"/>
          <w:tab w:val="left" w:pos="630"/>
        </w:tabs>
        <w:suppressAutoHyphens/>
        <w:spacing w:before="0" w:after="0" w:line="240" w:lineRule="auto"/>
        <w:ind w:left="0" w:firstLine="0"/>
        <w:rPr>
          <w:bCs/>
          <w:sz w:val="22"/>
          <w:szCs w:val="22"/>
        </w:rPr>
      </w:pPr>
      <w:r w:rsidRPr="001C57D8">
        <w:rPr>
          <w:b/>
          <w:bCs/>
          <w:sz w:val="22"/>
          <w:szCs w:val="22"/>
        </w:rPr>
        <w:t>A member of the board of the CBA should be made responsible for the consumer protection agenda.</w:t>
      </w:r>
      <w:r>
        <w:rPr>
          <w:bCs/>
          <w:sz w:val="22"/>
          <w:szCs w:val="22"/>
        </w:rPr>
        <w:t xml:space="preserve"> As the importance accorded to consumer protection and the number of consumer protection-related cases shows, the consumer protection agenda is significant for the effective financial sector supervision and for building public trust in financial services. Therefore,</w:t>
      </w:r>
      <w:r w:rsidRPr="001C57D8">
        <w:rPr>
          <w:bCs/>
          <w:sz w:val="22"/>
          <w:szCs w:val="22"/>
        </w:rPr>
        <w:t xml:space="preserve"> </w:t>
      </w:r>
      <w:r>
        <w:rPr>
          <w:bCs/>
          <w:sz w:val="22"/>
          <w:szCs w:val="22"/>
        </w:rPr>
        <w:t>a</w:t>
      </w:r>
      <w:r w:rsidRPr="001C57D8">
        <w:rPr>
          <w:bCs/>
          <w:sz w:val="22"/>
          <w:szCs w:val="22"/>
        </w:rPr>
        <w:t xml:space="preserve"> member of the board of the CBA should be made responsible for the consumer protection agenda just as there is a board member responsible for the issue of financial education</w:t>
      </w:r>
      <w:r>
        <w:rPr>
          <w:bCs/>
          <w:sz w:val="22"/>
          <w:szCs w:val="22"/>
        </w:rPr>
        <w:t xml:space="preserve">, </w:t>
      </w:r>
      <w:r>
        <w:rPr>
          <w:bCs/>
          <w:sz w:val="22"/>
          <w:szCs w:val="22"/>
        </w:rPr>
        <w:lastRenderedPageBreak/>
        <w:t>representing the consumer protection activities both within the CBA Board and towards professional associations, consumer NGOs, media and the Armenian public</w:t>
      </w:r>
      <w:r w:rsidRPr="001C57D8">
        <w:rPr>
          <w:bCs/>
          <w:sz w:val="22"/>
          <w:szCs w:val="22"/>
        </w:rPr>
        <w:t xml:space="preserve">. </w:t>
      </w:r>
    </w:p>
    <w:p w:rsidR="001C57D8" w:rsidRPr="001C57D8" w:rsidRDefault="001C57D8" w:rsidP="001C57D8">
      <w:pPr>
        <w:pStyle w:val="BodyText"/>
        <w:tabs>
          <w:tab w:val="left" w:pos="360"/>
          <w:tab w:val="left" w:pos="630"/>
        </w:tabs>
        <w:suppressAutoHyphens/>
        <w:spacing w:before="0" w:after="0" w:line="240" w:lineRule="auto"/>
        <w:rPr>
          <w:bCs/>
          <w:sz w:val="22"/>
          <w:szCs w:val="22"/>
        </w:rPr>
      </w:pPr>
    </w:p>
    <w:p w:rsidR="00F04EC5" w:rsidRDefault="00427E21" w:rsidP="001C57D8">
      <w:pPr>
        <w:pStyle w:val="BodyText"/>
        <w:numPr>
          <w:ilvl w:val="0"/>
          <w:numId w:val="5"/>
        </w:numPr>
        <w:tabs>
          <w:tab w:val="left" w:pos="360"/>
          <w:tab w:val="left" w:pos="630"/>
        </w:tabs>
        <w:suppressAutoHyphens/>
        <w:spacing w:before="0" w:after="0" w:line="240" w:lineRule="auto"/>
        <w:ind w:left="0" w:firstLine="0"/>
        <w:rPr>
          <w:bCs/>
          <w:sz w:val="22"/>
          <w:szCs w:val="22"/>
        </w:rPr>
      </w:pPr>
      <w:r>
        <w:rPr>
          <w:b/>
          <w:bCs/>
          <w:sz w:val="22"/>
          <w:szCs w:val="22"/>
        </w:rPr>
        <w:t xml:space="preserve">A </w:t>
      </w:r>
      <w:r w:rsidRPr="00427E21">
        <w:rPr>
          <w:b/>
          <w:bCs/>
          <w:sz w:val="22"/>
          <w:szCs w:val="22"/>
        </w:rPr>
        <w:t xml:space="preserve">joint effort is needed between consumer organizations, financial associations and CBA to strengthen </w:t>
      </w:r>
      <w:r>
        <w:rPr>
          <w:b/>
          <w:bCs/>
          <w:sz w:val="22"/>
          <w:szCs w:val="22"/>
        </w:rPr>
        <w:t>the involvement of c</w:t>
      </w:r>
      <w:r w:rsidR="001C57D8" w:rsidRPr="00F04EC5">
        <w:rPr>
          <w:b/>
          <w:bCs/>
          <w:sz w:val="22"/>
          <w:szCs w:val="22"/>
        </w:rPr>
        <w:t>onsumer organizations in financial services.</w:t>
      </w:r>
      <w:r w:rsidR="001C57D8" w:rsidRPr="001C57D8">
        <w:rPr>
          <w:bCs/>
          <w:sz w:val="22"/>
          <w:szCs w:val="22"/>
        </w:rPr>
        <w:t xml:space="preserve"> Consumer organizations are not yet fully effective in supporting proper consumer protection environment in Armenia. To make the consumer organizations more effective, the </w:t>
      </w:r>
      <w:r w:rsidR="00D01EE3">
        <w:rPr>
          <w:bCs/>
          <w:sz w:val="22"/>
          <w:szCs w:val="22"/>
        </w:rPr>
        <w:t xml:space="preserve">World Bank and other international organizations could provide advice on how to strengthen the involvement of the NGOs in the financial sector. </w:t>
      </w:r>
      <w:r w:rsidR="001C57D8" w:rsidRPr="001C57D8">
        <w:rPr>
          <w:bCs/>
          <w:sz w:val="22"/>
          <w:szCs w:val="22"/>
        </w:rPr>
        <w:t xml:space="preserve">CBA should </w:t>
      </w:r>
      <w:r w:rsidR="00D01EE3">
        <w:rPr>
          <w:bCs/>
          <w:sz w:val="22"/>
          <w:szCs w:val="22"/>
        </w:rPr>
        <w:t xml:space="preserve">also </w:t>
      </w:r>
      <w:r w:rsidR="001C57D8" w:rsidRPr="001C57D8">
        <w:rPr>
          <w:bCs/>
          <w:sz w:val="22"/>
          <w:szCs w:val="22"/>
        </w:rPr>
        <w:t xml:space="preserve">consider supporting some of their consumer protection and financial literacy activities through education of NGO representatives so that they better understand financial services. Institutional capacity of consumer organizations should also be supported through international cooperation. International organizations such as Consumers International should identify effective Armenian projects for consumer protection in financial services with a yearly award for best projects. </w:t>
      </w:r>
    </w:p>
    <w:p w:rsidR="00F04EC5" w:rsidRDefault="00F04EC5" w:rsidP="00F04EC5">
      <w:pPr>
        <w:pStyle w:val="ListParagraph"/>
        <w:rPr>
          <w:bCs/>
          <w:sz w:val="22"/>
          <w:szCs w:val="22"/>
        </w:rPr>
      </w:pPr>
    </w:p>
    <w:p w:rsidR="001C57D8" w:rsidRPr="00F04EC5" w:rsidRDefault="001C57D8" w:rsidP="00F04EC5">
      <w:pPr>
        <w:pStyle w:val="BodyText"/>
        <w:numPr>
          <w:ilvl w:val="0"/>
          <w:numId w:val="5"/>
        </w:numPr>
        <w:tabs>
          <w:tab w:val="left" w:pos="360"/>
          <w:tab w:val="left" w:pos="630"/>
        </w:tabs>
        <w:suppressAutoHyphens/>
        <w:spacing w:before="0" w:after="0" w:line="240" w:lineRule="auto"/>
        <w:ind w:left="0" w:firstLine="0"/>
        <w:rPr>
          <w:bCs/>
          <w:sz w:val="22"/>
          <w:szCs w:val="22"/>
        </w:rPr>
      </w:pPr>
      <w:r w:rsidRPr="00F04EC5">
        <w:rPr>
          <w:b/>
          <w:bCs/>
          <w:sz w:val="22"/>
          <w:szCs w:val="22"/>
        </w:rPr>
        <w:t>Both international organizations and the CBA should provide grant funding and technical assistance to develop effective consumer protection activities for consumer organizations.</w:t>
      </w:r>
      <w:r w:rsidRPr="00F04EC5">
        <w:rPr>
          <w:bCs/>
          <w:sz w:val="22"/>
          <w:szCs w:val="22"/>
        </w:rPr>
        <w:t xml:space="preserve"> Consumer organizations </w:t>
      </w:r>
      <w:r w:rsidR="00F04EC5">
        <w:rPr>
          <w:bCs/>
          <w:sz w:val="22"/>
          <w:szCs w:val="22"/>
        </w:rPr>
        <w:t>c</w:t>
      </w:r>
      <w:r w:rsidRPr="00F04EC5">
        <w:rPr>
          <w:bCs/>
          <w:sz w:val="22"/>
          <w:szCs w:val="22"/>
        </w:rPr>
        <w:t>ould also be assigned specific tasks</w:t>
      </w:r>
      <w:r w:rsidR="00F04EC5">
        <w:rPr>
          <w:bCs/>
          <w:sz w:val="22"/>
          <w:szCs w:val="22"/>
        </w:rPr>
        <w:t xml:space="preserve"> by the CBA to assist its consumer protection activities</w:t>
      </w:r>
      <w:r w:rsidRPr="00F04EC5">
        <w:rPr>
          <w:bCs/>
          <w:sz w:val="22"/>
          <w:szCs w:val="22"/>
        </w:rPr>
        <w:t>, such as monitoring unfair and aggressive advertising</w:t>
      </w:r>
      <w:r w:rsidR="00D01EE3">
        <w:rPr>
          <w:bCs/>
          <w:sz w:val="22"/>
          <w:szCs w:val="22"/>
        </w:rPr>
        <w:t xml:space="preserve"> and business practices</w:t>
      </w:r>
      <w:r w:rsidRPr="00F04EC5">
        <w:rPr>
          <w:bCs/>
          <w:sz w:val="22"/>
          <w:szCs w:val="22"/>
        </w:rPr>
        <w:t>, conducting mystery shopping, and distributing financial education materials.</w:t>
      </w:r>
      <w:r w:rsidR="00444D6C">
        <w:rPr>
          <w:bCs/>
          <w:sz w:val="22"/>
          <w:szCs w:val="22"/>
        </w:rPr>
        <w:t xml:space="preserve"> </w:t>
      </w:r>
      <w:r w:rsidR="00444D6C" w:rsidRPr="00444D6C">
        <w:rPr>
          <w:bCs/>
          <w:sz w:val="22"/>
          <w:szCs w:val="22"/>
        </w:rPr>
        <w:t>At the same time, the CBA should support the development of guidelines for evaluation of the performance of consumer organizations.</w:t>
      </w:r>
    </w:p>
    <w:p w:rsidR="001C57D8" w:rsidRPr="001C57D8" w:rsidRDefault="001C57D8" w:rsidP="00F04EC5">
      <w:pPr>
        <w:pStyle w:val="BodyText"/>
        <w:tabs>
          <w:tab w:val="left" w:pos="360"/>
          <w:tab w:val="left" w:pos="630"/>
        </w:tabs>
        <w:suppressAutoHyphens/>
        <w:spacing w:before="0" w:after="0" w:line="240" w:lineRule="auto"/>
        <w:rPr>
          <w:bCs/>
          <w:sz w:val="22"/>
          <w:szCs w:val="22"/>
        </w:rPr>
      </w:pPr>
    </w:p>
    <w:p w:rsidR="001C57D8" w:rsidRPr="001C57D8" w:rsidRDefault="001C57D8" w:rsidP="001C57D8">
      <w:pPr>
        <w:pStyle w:val="BodyText"/>
        <w:numPr>
          <w:ilvl w:val="0"/>
          <w:numId w:val="5"/>
        </w:numPr>
        <w:tabs>
          <w:tab w:val="left" w:pos="360"/>
          <w:tab w:val="left" w:pos="630"/>
        </w:tabs>
        <w:suppressAutoHyphens/>
        <w:spacing w:before="0" w:after="0" w:line="240" w:lineRule="auto"/>
        <w:ind w:left="0" w:firstLine="0"/>
        <w:rPr>
          <w:bCs/>
          <w:sz w:val="22"/>
          <w:szCs w:val="22"/>
        </w:rPr>
      </w:pPr>
      <w:r w:rsidRPr="00F04EC5">
        <w:rPr>
          <w:b/>
          <w:bCs/>
          <w:sz w:val="22"/>
          <w:szCs w:val="22"/>
        </w:rPr>
        <w:t>Competition in the financial services sector should be increased.</w:t>
      </w:r>
      <w:r w:rsidRPr="001C57D8">
        <w:rPr>
          <w:bCs/>
          <w:sz w:val="22"/>
          <w:szCs w:val="22"/>
        </w:rPr>
        <w:t xml:space="preserve"> </w:t>
      </w:r>
      <w:r w:rsidR="000E46F3">
        <w:rPr>
          <w:bCs/>
          <w:sz w:val="22"/>
          <w:szCs w:val="22"/>
        </w:rPr>
        <w:t xml:space="preserve">A special </w:t>
      </w:r>
      <w:r w:rsidR="00F04EC5">
        <w:rPr>
          <w:bCs/>
          <w:sz w:val="22"/>
          <w:szCs w:val="22"/>
        </w:rPr>
        <w:t xml:space="preserve">program </w:t>
      </w:r>
      <w:r w:rsidR="00C246DE">
        <w:rPr>
          <w:bCs/>
          <w:sz w:val="22"/>
          <w:szCs w:val="22"/>
        </w:rPr>
        <w:t xml:space="preserve">or methodology </w:t>
      </w:r>
      <w:r w:rsidRPr="001C57D8">
        <w:rPr>
          <w:bCs/>
          <w:sz w:val="22"/>
          <w:szCs w:val="22"/>
        </w:rPr>
        <w:t xml:space="preserve">to monitor and regularly evaluate the level of competition for various types of financial products </w:t>
      </w:r>
      <w:r w:rsidR="00C246DE">
        <w:rPr>
          <w:bCs/>
          <w:sz w:val="22"/>
          <w:szCs w:val="22"/>
        </w:rPr>
        <w:t>c</w:t>
      </w:r>
      <w:r w:rsidR="00C246DE" w:rsidRPr="001C57D8">
        <w:rPr>
          <w:bCs/>
          <w:sz w:val="22"/>
          <w:szCs w:val="22"/>
        </w:rPr>
        <w:t xml:space="preserve">ould </w:t>
      </w:r>
      <w:r w:rsidRPr="001C57D8">
        <w:rPr>
          <w:bCs/>
          <w:sz w:val="22"/>
          <w:szCs w:val="22"/>
        </w:rPr>
        <w:t xml:space="preserve">be </w:t>
      </w:r>
      <w:r w:rsidR="00F04EC5">
        <w:rPr>
          <w:bCs/>
          <w:sz w:val="22"/>
          <w:szCs w:val="22"/>
        </w:rPr>
        <w:t>developed</w:t>
      </w:r>
      <w:r w:rsidRPr="001C57D8">
        <w:rPr>
          <w:bCs/>
          <w:sz w:val="22"/>
          <w:szCs w:val="22"/>
        </w:rPr>
        <w:t xml:space="preserve">. </w:t>
      </w:r>
      <w:r w:rsidR="000E46F3" w:rsidRPr="000E46F3">
        <w:rPr>
          <w:bCs/>
          <w:sz w:val="22"/>
          <w:szCs w:val="22"/>
        </w:rPr>
        <w:t>The institutional capability of the CBA to monitor and regularly evaluate the level of competition for various types of financial pr</w:t>
      </w:r>
      <w:r w:rsidR="000E46F3">
        <w:rPr>
          <w:bCs/>
          <w:sz w:val="22"/>
          <w:szCs w:val="22"/>
        </w:rPr>
        <w:t>oducts should be supported and the results shared with all relevant stakeholders. Consumer complaints received by t</w:t>
      </w:r>
      <w:r w:rsidR="000E46F3" w:rsidRPr="001C57D8">
        <w:rPr>
          <w:bCs/>
          <w:sz w:val="22"/>
          <w:szCs w:val="22"/>
        </w:rPr>
        <w:t xml:space="preserve">he </w:t>
      </w:r>
      <w:r w:rsidRPr="001C57D8">
        <w:rPr>
          <w:bCs/>
          <w:sz w:val="22"/>
          <w:szCs w:val="22"/>
        </w:rPr>
        <w:t xml:space="preserve">CBA and the Financial System Mediator should </w:t>
      </w:r>
      <w:r w:rsidR="000E46F3">
        <w:rPr>
          <w:bCs/>
          <w:sz w:val="22"/>
          <w:szCs w:val="22"/>
        </w:rPr>
        <w:t xml:space="preserve">also be analyzed from the point of sufficient competition, especially in the areas of pricing, tied and bundled products. </w:t>
      </w:r>
    </w:p>
    <w:p w:rsidR="001C57D8" w:rsidRDefault="001C57D8" w:rsidP="001C57D8">
      <w:pPr>
        <w:pStyle w:val="BodyText"/>
        <w:tabs>
          <w:tab w:val="left" w:pos="360"/>
          <w:tab w:val="left" w:pos="630"/>
        </w:tabs>
        <w:suppressAutoHyphens/>
        <w:spacing w:before="0" w:after="0" w:line="240" w:lineRule="auto"/>
        <w:rPr>
          <w:bCs/>
          <w:sz w:val="22"/>
          <w:szCs w:val="22"/>
        </w:rPr>
      </w:pPr>
    </w:p>
    <w:p w:rsidR="009E5193" w:rsidRPr="00443499" w:rsidRDefault="00DD63B7" w:rsidP="009E5193">
      <w:pPr>
        <w:pStyle w:val="BodyText"/>
        <w:numPr>
          <w:ilvl w:val="0"/>
          <w:numId w:val="5"/>
        </w:numPr>
        <w:tabs>
          <w:tab w:val="left" w:pos="360"/>
          <w:tab w:val="left" w:pos="630"/>
        </w:tabs>
        <w:suppressAutoHyphens/>
        <w:spacing w:before="0" w:after="0" w:line="240" w:lineRule="auto"/>
        <w:ind w:left="0" w:firstLine="0"/>
        <w:rPr>
          <w:b/>
          <w:bCs/>
          <w:sz w:val="22"/>
          <w:szCs w:val="22"/>
        </w:rPr>
      </w:pPr>
      <w:r>
        <w:rPr>
          <w:b/>
          <w:bCs/>
          <w:sz w:val="22"/>
          <w:szCs w:val="22"/>
        </w:rPr>
        <w:t>Self-regulation in the area of market conduct should be supported</w:t>
      </w:r>
      <w:r w:rsidR="009E5193" w:rsidRPr="00A07F45">
        <w:rPr>
          <w:b/>
          <w:bCs/>
          <w:sz w:val="22"/>
          <w:szCs w:val="22"/>
        </w:rPr>
        <w:t>.</w:t>
      </w:r>
      <w:r w:rsidR="009E5193" w:rsidRPr="00E06713">
        <w:rPr>
          <w:bCs/>
          <w:sz w:val="22"/>
          <w:szCs w:val="22"/>
        </w:rPr>
        <w:t xml:space="preserve"> </w:t>
      </w:r>
      <w:r>
        <w:rPr>
          <w:bCs/>
          <w:sz w:val="22"/>
          <w:szCs w:val="22"/>
        </w:rPr>
        <w:t xml:space="preserve">The financial sector associations should be invited to build on the existing CBA regulations to define their sector-specific codes of conduct, actively promote </w:t>
      </w:r>
      <w:r w:rsidR="00443499">
        <w:rPr>
          <w:bCs/>
          <w:sz w:val="22"/>
          <w:szCs w:val="22"/>
        </w:rPr>
        <w:t>them</w:t>
      </w:r>
      <w:r>
        <w:rPr>
          <w:bCs/>
          <w:sz w:val="22"/>
          <w:szCs w:val="22"/>
        </w:rPr>
        <w:t xml:space="preserve"> and deal with customer complaints related to the breaches of the codes. </w:t>
      </w:r>
      <w:r w:rsidR="00682049">
        <w:rPr>
          <w:bCs/>
          <w:sz w:val="22"/>
          <w:szCs w:val="22"/>
        </w:rPr>
        <w:t xml:space="preserve">The Code of Banking Ethics, developed by the Union of Banks of Armenia, could be an example to build on. However, even the content of this code could be improved to reflect the most often repeated market conduct issues the CBA and the Mediator deal with. </w:t>
      </w:r>
      <w:r w:rsidR="00A16527">
        <w:rPr>
          <w:bCs/>
          <w:sz w:val="22"/>
          <w:szCs w:val="22"/>
        </w:rPr>
        <w:t xml:space="preserve">In the area of consumer credit, </w:t>
      </w:r>
      <w:r w:rsidR="00A16527" w:rsidRPr="00A16527">
        <w:rPr>
          <w:bCs/>
          <w:sz w:val="22"/>
          <w:szCs w:val="22"/>
        </w:rPr>
        <w:t>the Smart Campaign’s Client Protection Principles</w:t>
      </w:r>
      <w:r w:rsidR="00A16527">
        <w:rPr>
          <w:rStyle w:val="FootnoteReference"/>
          <w:bCs/>
          <w:sz w:val="22"/>
          <w:szCs w:val="22"/>
        </w:rPr>
        <w:footnoteReference w:id="8"/>
      </w:r>
      <w:r w:rsidR="00A16527" w:rsidRPr="00A16527">
        <w:rPr>
          <w:bCs/>
          <w:sz w:val="22"/>
          <w:szCs w:val="22"/>
        </w:rPr>
        <w:t xml:space="preserve"> endorsed</w:t>
      </w:r>
      <w:r w:rsidR="00A16527">
        <w:rPr>
          <w:bCs/>
          <w:sz w:val="22"/>
          <w:szCs w:val="22"/>
        </w:rPr>
        <w:t xml:space="preserve"> by t</w:t>
      </w:r>
      <w:r w:rsidR="00A16527" w:rsidRPr="00A16527">
        <w:rPr>
          <w:bCs/>
          <w:sz w:val="22"/>
          <w:szCs w:val="22"/>
        </w:rPr>
        <w:t xml:space="preserve">he Union of Credit Organizations of the Republic of Armenia (UCORA) </w:t>
      </w:r>
      <w:r w:rsidR="00A16527">
        <w:rPr>
          <w:bCs/>
          <w:sz w:val="22"/>
          <w:szCs w:val="22"/>
        </w:rPr>
        <w:t xml:space="preserve">may be used as the base of further work. </w:t>
      </w:r>
      <w:r w:rsidR="00A16527" w:rsidRPr="00A16527">
        <w:rPr>
          <w:bCs/>
          <w:sz w:val="22"/>
          <w:szCs w:val="22"/>
        </w:rPr>
        <w:t xml:space="preserve"> </w:t>
      </w:r>
    </w:p>
    <w:p w:rsidR="00443499" w:rsidRDefault="00443499" w:rsidP="00443499">
      <w:pPr>
        <w:pStyle w:val="ListParagraph"/>
        <w:rPr>
          <w:b/>
          <w:bCs/>
          <w:sz w:val="22"/>
          <w:szCs w:val="22"/>
        </w:rPr>
      </w:pPr>
    </w:p>
    <w:p w:rsidR="00443499" w:rsidRDefault="00443499" w:rsidP="00443499">
      <w:pPr>
        <w:pStyle w:val="BodyText"/>
        <w:numPr>
          <w:ilvl w:val="0"/>
          <w:numId w:val="5"/>
        </w:numPr>
        <w:tabs>
          <w:tab w:val="left" w:pos="360"/>
          <w:tab w:val="left" w:pos="630"/>
        </w:tabs>
        <w:suppressAutoHyphens/>
        <w:spacing w:before="0" w:after="0" w:line="240" w:lineRule="auto"/>
        <w:ind w:left="0" w:firstLine="0"/>
        <w:rPr>
          <w:bCs/>
          <w:sz w:val="22"/>
          <w:szCs w:val="22"/>
        </w:rPr>
      </w:pPr>
      <w:r w:rsidRPr="00E06713">
        <w:rPr>
          <w:b/>
          <w:bCs/>
          <w:sz w:val="22"/>
          <w:szCs w:val="22"/>
        </w:rPr>
        <w:t>Codes of conduct should focus on minimum procedures needed to ensure fair and transparent relations with retail customers.</w:t>
      </w:r>
      <w:r w:rsidRPr="00E06713">
        <w:rPr>
          <w:bCs/>
          <w:sz w:val="22"/>
          <w:szCs w:val="22"/>
        </w:rPr>
        <w:t xml:space="preserve"> Codes of conduct address many internal issues for financial institutions but they should also highlight their rules on customer relations. This would address issues such as the number of days which the institution could take to respond to a routine customer complaint, the process for following up on complaints submitted to the institution, </w:t>
      </w:r>
      <w:r>
        <w:rPr>
          <w:bCs/>
          <w:sz w:val="22"/>
          <w:szCs w:val="22"/>
        </w:rPr>
        <w:t>etc</w:t>
      </w:r>
      <w:r w:rsidRPr="00E06713">
        <w:rPr>
          <w:bCs/>
          <w:sz w:val="22"/>
          <w:szCs w:val="22"/>
        </w:rPr>
        <w:t xml:space="preserve">. The codes should also ensure that representatives of financial institutions ask enough questions to </w:t>
      </w:r>
      <w:r w:rsidRPr="00E06713">
        <w:rPr>
          <w:bCs/>
          <w:sz w:val="22"/>
          <w:szCs w:val="22"/>
        </w:rPr>
        <w:lastRenderedPageBreak/>
        <w:t xml:space="preserve">ensure that the service being sold is suitable for the purchaser. Codes of conduct set an ethical tone for each financial institution and help to improve common business practices in the financial sector. </w:t>
      </w:r>
      <w:r>
        <w:rPr>
          <w:bCs/>
          <w:sz w:val="22"/>
          <w:szCs w:val="22"/>
        </w:rPr>
        <w:t xml:space="preserve">They should also be actively promoted in sales materials, on websites and in branches. </w:t>
      </w:r>
    </w:p>
    <w:p w:rsidR="00682049" w:rsidRDefault="00682049" w:rsidP="00682049">
      <w:pPr>
        <w:pStyle w:val="ListParagraph"/>
        <w:rPr>
          <w:bCs/>
          <w:sz w:val="22"/>
          <w:szCs w:val="22"/>
        </w:rPr>
      </w:pPr>
    </w:p>
    <w:p w:rsidR="00682049" w:rsidRPr="00443499" w:rsidRDefault="00682049" w:rsidP="00443499">
      <w:pPr>
        <w:pStyle w:val="BodyText"/>
        <w:numPr>
          <w:ilvl w:val="0"/>
          <w:numId w:val="5"/>
        </w:numPr>
        <w:tabs>
          <w:tab w:val="left" w:pos="360"/>
          <w:tab w:val="left" w:pos="630"/>
        </w:tabs>
        <w:suppressAutoHyphens/>
        <w:spacing w:before="0" w:after="0" w:line="240" w:lineRule="auto"/>
        <w:ind w:left="0" w:firstLine="0"/>
        <w:rPr>
          <w:bCs/>
          <w:sz w:val="22"/>
          <w:szCs w:val="22"/>
        </w:rPr>
      </w:pPr>
      <w:r w:rsidRPr="00682049">
        <w:rPr>
          <w:b/>
          <w:bCs/>
          <w:sz w:val="22"/>
          <w:szCs w:val="22"/>
        </w:rPr>
        <w:t>Codes of conducts must be well communicated and enforced.</w:t>
      </w:r>
      <w:r>
        <w:rPr>
          <w:bCs/>
          <w:sz w:val="22"/>
          <w:szCs w:val="22"/>
        </w:rPr>
        <w:t xml:space="preserve"> All consumers should be informed about the existence of the codes with copies readily available at branches, on the association's and member institutions' websites, etc. The associations that developed the codes should also have a right to investigate claims of breaches of the code and the members of the association should agree to an effective enforcement mechanism to be implemented, including sanctions against members that breach the code. </w:t>
      </w:r>
    </w:p>
    <w:p w:rsidR="009E5193" w:rsidRDefault="009E5193" w:rsidP="009E5193">
      <w:pPr>
        <w:pStyle w:val="BodyText"/>
        <w:tabs>
          <w:tab w:val="left" w:pos="360"/>
          <w:tab w:val="left" w:pos="630"/>
        </w:tabs>
        <w:suppressAutoHyphens/>
        <w:spacing w:before="0" w:after="0" w:line="240" w:lineRule="auto"/>
        <w:rPr>
          <w:bCs/>
          <w:sz w:val="22"/>
          <w:szCs w:val="22"/>
        </w:rPr>
      </w:pPr>
    </w:p>
    <w:p w:rsidR="009E5193" w:rsidRPr="00443499" w:rsidRDefault="009E5193" w:rsidP="009E5193">
      <w:pPr>
        <w:pStyle w:val="BodyText"/>
        <w:numPr>
          <w:ilvl w:val="0"/>
          <w:numId w:val="5"/>
        </w:numPr>
        <w:tabs>
          <w:tab w:val="left" w:pos="360"/>
          <w:tab w:val="left" w:pos="630"/>
        </w:tabs>
        <w:suppressAutoHyphens/>
        <w:spacing w:before="0" w:after="0" w:line="240" w:lineRule="auto"/>
        <w:ind w:left="0" w:firstLine="0"/>
        <w:rPr>
          <w:b/>
          <w:bCs/>
          <w:sz w:val="22"/>
          <w:szCs w:val="22"/>
        </w:rPr>
      </w:pPr>
      <w:r w:rsidRPr="00E06713">
        <w:rPr>
          <w:b/>
          <w:sz w:val="22"/>
        </w:rPr>
        <w:t xml:space="preserve">Proper media coverage of consumer mistreatment by financial institutions </w:t>
      </w:r>
      <w:r>
        <w:rPr>
          <w:b/>
          <w:sz w:val="22"/>
        </w:rPr>
        <w:t>may</w:t>
      </w:r>
      <w:r w:rsidRPr="00E06713">
        <w:rPr>
          <w:b/>
          <w:sz w:val="22"/>
        </w:rPr>
        <w:t xml:space="preserve"> also </w:t>
      </w:r>
      <w:r>
        <w:rPr>
          <w:b/>
          <w:sz w:val="22"/>
        </w:rPr>
        <w:t xml:space="preserve">be </w:t>
      </w:r>
      <w:r w:rsidRPr="00E06713">
        <w:rPr>
          <w:b/>
          <w:sz w:val="22"/>
        </w:rPr>
        <w:t>an effective tool in promoting consumer protection through “naming and shaming”.</w:t>
      </w:r>
      <w:r w:rsidRPr="00E06713">
        <w:rPr>
          <w:sz w:val="22"/>
        </w:rPr>
        <w:t xml:space="preserve"> However, it is important that journalists be educated to understand and transmit information on financial issues accurately and adequately.</w:t>
      </w:r>
      <w:r w:rsidR="00F04EC5">
        <w:rPr>
          <w:sz w:val="22"/>
        </w:rPr>
        <w:t xml:space="preserve"> The CBA and the Financial System Mediator should regularly communicate key issues in consumer protection and actively cooperate with the media to cover the most harmful business practices they come across in their supervisory and redress activities. </w:t>
      </w:r>
    </w:p>
    <w:p w:rsidR="00443499" w:rsidRDefault="00443499" w:rsidP="00443499">
      <w:pPr>
        <w:pStyle w:val="ListParagraph"/>
        <w:rPr>
          <w:b/>
          <w:bCs/>
          <w:sz w:val="22"/>
          <w:szCs w:val="22"/>
        </w:rPr>
      </w:pPr>
    </w:p>
    <w:p w:rsidR="00443499" w:rsidRPr="00E06713" w:rsidRDefault="00443499" w:rsidP="00443499">
      <w:pPr>
        <w:pStyle w:val="BodyText"/>
        <w:tabs>
          <w:tab w:val="left" w:pos="360"/>
          <w:tab w:val="left" w:pos="630"/>
        </w:tabs>
        <w:suppressAutoHyphens/>
        <w:spacing w:before="0" w:after="0" w:line="240" w:lineRule="auto"/>
        <w:rPr>
          <w:b/>
          <w:bCs/>
          <w:sz w:val="22"/>
          <w:szCs w:val="22"/>
        </w:rPr>
      </w:pPr>
    </w:p>
    <w:p w:rsidR="00057AAD" w:rsidRPr="002E65C8" w:rsidRDefault="00057AAD" w:rsidP="00CA0F62">
      <w:pPr>
        <w:pStyle w:val="Heading1"/>
        <w:spacing w:before="0" w:after="0"/>
        <w:rPr>
          <w:rFonts w:ascii="Times New Roman" w:hAnsi="Times New Roman" w:cs="Times New Roman"/>
          <w:i/>
          <w:sz w:val="28"/>
        </w:rPr>
      </w:pPr>
      <w:bookmarkStart w:id="44" w:name="_Toc263494687"/>
      <w:bookmarkStart w:id="45" w:name="_Toc331409064"/>
      <w:r w:rsidRPr="002E65C8">
        <w:rPr>
          <w:rFonts w:ascii="Times New Roman" w:hAnsi="Times New Roman" w:cs="Times New Roman"/>
          <w:i/>
          <w:sz w:val="28"/>
        </w:rPr>
        <w:t>Consumer Disclosure</w:t>
      </w:r>
      <w:bookmarkEnd w:id="44"/>
      <w:bookmarkEnd w:id="45"/>
    </w:p>
    <w:p w:rsidR="00057AAD" w:rsidRDefault="00057AAD" w:rsidP="00CA0F62">
      <w:pPr>
        <w:keepNext/>
        <w:rPr>
          <w:bCs/>
          <w:sz w:val="22"/>
          <w:szCs w:val="22"/>
        </w:rPr>
      </w:pPr>
    </w:p>
    <w:p w:rsidR="00CA0F62" w:rsidRDefault="00CA0F62" w:rsidP="00CA0F62">
      <w:pPr>
        <w:pStyle w:val="BodyText"/>
        <w:numPr>
          <w:ilvl w:val="0"/>
          <w:numId w:val="5"/>
        </w:numPr>
        <w:tabs>
          <w:tab w:val="left" w:pos="360"/>
          <w:tab w:val="left" w:pos="630"/>
        </w:tabs>
        <w:suppressAutoHyphens/>
        <w:spacing w:before="0" w:after="0" w:line="240" w:lineRule="auto"/>
        <w:ind w:left="0" w:firstLine="0"/>
        <w:rPr>
          <w:sz w:val="22"/>
        </w:rPr>
      </w:pPr>
      <w:r w:rsidRPr="00CA0F62">
        <w:rPr>
          <w:b/>
          <w:sz w:val="22"/>
        </w:rPr>
        <w:t>Consumer disclosure for financial services should be made simple</w:t>
      </w:r>
      <w:r>
        <w:rPr>
          <w:b/>
          <w:sz w:val="22"/>
        </w:rPr>
        <w:t xml:space="preserve">, </w:t>
      </w:r>
      <w:r w:rsidRPr="00CA0F62">
        <w:rPr>
          <w:b/>
          <w:sz w:val="22"/>
        </w:rPr>
        <w:t>easy to understand</w:t>
      </w:r>
      <w:r>
        <w:rPr>
          <w:b/>
          <w:sz w:val="22"/>
        </w:rPr>
        <w:t xml:space="preserve"> and comparable</w:t>
      </w:r>
      <w:r w:rsidRPr="00CA0F62">
        <w:rPr>
          <w:b/>
          <w:sz w:val="22"/>
        </w:rPr>
        <w:t>.</w:t>
      </w:r>
      <w:r w:rsidRPr="006F6AC9">
        <w:rPr>
          <w:sz w:val="22"/>
        </w:rPr>
        <w:t xml:space="preserve"> The USAID survey found that 43 percent of consumers considered financial services to be “incomprehensible.” The current disclosure regulations in Armenia define what information should be shared with consumers. To ensure that the proper information is disclosed, the CBA should conduct an information disclosure analysis and analyze whether and how the disclosed information assists consumers in making informed decisions. The analysis should also focus on the understandability and comparability of the information disclosed. </w:t>
      </w:r>
    </w:p>
    <w:p w:rsidR="00CA0F62" w:rsidRDefault="00CA0F62" w:rsidP="00CA0F62">
      <w:pPr>
        <w:pStyle w:val="BodyText"/>
        <w:tabs>
          <w:tab w:val="left" w:pos="360"/>
          <w:tab w:val="left" w:pos="630"/>
        </w:tabs>
        <w:suppressAutoHyphens/>
        <w:spacing w:before="0" w:after="0" w:line="240" w:lineRule="auto"/>
        <w:rPr>
          <w:sz w:val="22"/>
        </w:rPr>
      </w:pPr>
    </w:p>
    <w:p w:rsidR="00CA0F62" w:rsidRDefault="00CA0F62" w:rsidP="00CA0F62">
      <w:pPr>
        <w:pStyle w:val="BodyText"/>
        <w:numPr>
          <w:ilvl w:val="0"/>
          <w:numId w:val="5"/>
        </w:numPr>
        <w:tabs>
          <w:tab w:val="left" w:pos="360"/>
          <w:tab w:val="left" w:pos="630"/>
        </w:tabs>
        <w:suppressAutoHyphens/>
        <w:spacing w:before="0" w:after="0" w:line="240" w:lineRule="auto"/>
        <w:ind w:left="0" w:firstLine="0"/>
        <w:rPr>
          <w:bCs/>
          <w:sz w:val="22"/>
          <w:szCs w:val="22"/>
        </w:rPr>
      </w:pPr>
      <w:r>
        <w:rPr>
          <w:b/>
          <w:bCs/>
          <w:sz w:val="22"/>
          <w:szCs w:val="22"/>
        </w:rPr>
        <w:t>The CBA should require that financial institutions provide c</w:t>
      </w:r>
      <w:r w:rsidRPr="00E06713">
        <w:rPr>
          <w:b/>
          <w:bCs/>
          <w:sz w:val="22"/>
          <w:szCs w:val="22"/>
        </w:rPr>
        <w:t>onsumers</w:t>
      </w:r>
      <w:r>
        <w:rPr>
          <w:b/>
          <w:bCs/>
          <w:sz w:val="22"/>
          <w:szCs w:val="22"/>
        </w:rPr>
        <w:t xml:space="preserve"> with a K</w:t>
      </w:r>
      <w:r w:rsidRPr="00E06713">
        <w:rPr>
          <w:b/>
          <w:bCs/>
          <w:sz w:val="22"/>
          <w:szCs w:val="22"/>
        </w:rPr>
        <w:t xml:space="preserve">ey </w:t>
      </w:r>
      <w:r>
        <w:rPr>
          <w:b/>
          <w:bCs/>
          <w:sz w:val="22"/>
          <w:szCs w:val="22"/>
        </w:rPr>
        <w:t>F</w:t>
      </w:r>
      <w:r w:rsidRPr="00E06713">
        <w:rPr>
          <w:b/>
          <w:bCs/>
          <w:sz w:val="22"/>
          <w:szCs w:val="22"/>
        </w:rPr>
        <w:t xml:space="preserve">acts </w:t>
      </w:r>
      <w:r>
        <w:rPr>
          <w:b/>
          <w:bCs/>
          <w:sz w:val="22"/>
          <w:szCs w:val="22"/>
        </w:rPr>
        <w:t>S</w:t>
      </w:r>
      <w:r w:rsidRPr="00E06713">
        <w:rPr>
          <w:b/>
          <w:bCs/>
          <w:sz w:val="22"/>
          <w:szCs w:val="22"/>
        </w:rPr>
        <w:t xml:space="preserve">tatement that summarizes in plain language the </w:t>
      </w:r>
      <w:r>
        <w:rPr>
          <w:b/>
          <w:bCs/>
          <w:sz w:val="22"/>
          <w:szCs w:val="22"/>
        </w:rPr>
        <w:t xml:space="preserve">costs and </w:t>
      </w:r>
      <w:r w:rsidRPr="00E06713">
        <w:rPr>
          <w:b/>
          <w:bCs/>
          <w:sz w:val="22"/>
          <w:szCs w:val="22"/>
        </w:rPr>
        <w:t>key terms and conditions of the contract for a</w:t>
      </w:r>
      <w:r>
        <w:rPr>
          <w:b/>
          <w:bCs/>
          <w:sz w:val="22"/>
          <w:szCs w:val="22"/>
        </w:rPr>
        <w:t>ny</w:t>
      </w:r>
      <w:r w:rsidRPr="00E06713">
        <w:rPr>
          <w:b/>
          <w:bCs/>
          <w:sz w:val="22"/>
          <w:szCs w:val="22"/>
        </w:rPr>
        <w:t xml:space="preserve"> financial product or service.</w:t>
      </w:r>
      <w:r w:rsidRPr="00E06713">
        <w:rPr>
          <w:bCs/>
          <w:sz w:val="22"/>
          <w:szCs w:val="22"/>
        </w:rPr>
        <w:t xml:space="preserve"> </w:t>
      </w:r>
      <w:r w:rsidRPr="006F6AC9">
        <w:rPr>
          <w:sz w:val="22"/>
        </w:rPr>
        <w:t xml:space="preserve">Based on the analysis and with the aim to allow households to make informed decisions, simple, easy-to-understand and comparable disclosure documents should be developed and their usage should be required by </w:t>
      </w:r>
      <w:r>
        <w:rPr>
          <w:sz w:val="22"/>
        </w:rPr>
        <w:t xml:space="preserve">CBA </w:t>
      </w:r>
      <w:r w:rsidRPr="006F6AC9">
        <w:rPr>
          <w:sz w:val="22"/>
        </w:rPr>
        <w:t xml:space="preserve">regulations. </w:t>
      </w:r>
      <w:r>
        <w:rPr>
          <w:bCs/>
          <w:sz w:val="22"/>
          <w:szCs w:val="22"/>
        </w:rPr>
        <w:t>The CBA sh</w:t>
      </w:r>
      <w:r w:rsidRPr="00E06713">
        <w:rPr>
          <w:bCs/>
          <w:sz w:val="22"/>
          <w:szCs w:val="22"/>
        </w:rPr>
        <w:t xml:space="preserve">ould require financial institutions to provide a 1- or 2-page key facts statement written in easy-to-read print and plain language. </w:t>
      </w:r>
      <w:r>
        <w:rPr>
          <w:bCs/>
          <w:sz w:val="22"/>
          <w:szCs w:val="22"/>
        </w:rPr>
        <w:t xml:space="preserve">The </w:t>
      </w:r>
      <w:r w:rsidRPr="006F6AC9">
        <w:rPr>
          <w:sz w:val="22"/>
        </w:rPr>
        <w:t xml:space="preserve">format </w:t>
      </w:r>
      <w:r w:rsidR="00691CE6">
        <w:rPr>
          <w:sz w:val="22"/>
        </w:rPr>
        <w:t xml:space="preserve">for each type of financial products </w:t>
      </w:r>
      <w:r>
        <w:rPr>
          <w:sz w:val="22"/>
        </w:rPr>
        <w:t xml:space="preserve">should be </w:t>
      </w:r>
      <w:r w:rsidRPr="006F6AC9">
        <w:rPr>
          <w:sz w:val="22"/>
        </w:rPr>
        <w:t xml:space="preserve">developed jointly by the CBA, the financial industry and consumer representatives and regularly tested by independent research to assure understanding of the </w:t>
      </w:r>
      <w:r>
        <w:rPr>
          <w:sz w:val="22"/>
        </w:rPr>
        <w:t>k</w:t>
      </w:r>
      <w:r w:rsidRPr="006F6AC9">
        <w:rPr>
          <w:sz w:val="22"/>
        </w:rPr>
        <w:t xml:space="preserve">ey </w:t>
      </w:r>
      <w:r>
        <w:rPr>
          <w:sz w:val="22"/>
        </w:rPr>
        <w:t>f</w:t>
      </w:r>
      <w:r w:rsidRPr="006F6AC9">
        <w:rPr>
          <w:sz w:val="22"/>
        </w:rPr>
        <w:t xml:space="preserve">acts </w:t>
      </w:r>
      <w:r>
        <w:rPr>
          <w:sz w:val="22"/>
        </w:rPr>
        <w:t>s</w:t>
      </w:r>
      <w:r w:rsidRPr="006F6AC9">
        <w:rPr>
          <w:sz w:val="22"/>
        </w:rPr>
        <w:t>tatements by consumers.</w:t>
      </w:r>
      <w:r>
        <w:rPr>
          <w:sz w:val="22"/>
        </w:rPr>
        <w:t xml:space="preserve"> </w:t>
      </w:r>
      <w:r w:rsidRPr="00E06713">
        <w:rPr>
          <w:bCs/>
          <w:sz w:val="22"/>
          <w:szCs w:val="22"/>
        </w:rPr>
        <w:t>The key facts statement would neither replace nor be a part of the terms and conditions for a financial product or service, but would be required to be given to the consumer to help him or her understand every essential term and condition. Such statement</w:t>
      </w:r>
      <w:r>
        <w:rPr>
          <w:bCs/>
          <w:sz w:val="22"/>
          <w:szCs w:val="22"/>
        </w:rPr>
        <w:t>s</w:t>
      </w:r>
      <w:r w:rsidRPr="00E06713">
        <w:rPr>
          <w:bCs/>
          <w:sz w:val="22"/>
          <w:szCs w:val="22"/>
        </w:rPr>
        <w:t xml:space="preserve"> should clearly indicate all fees and charges related to a financial contract or product, as well as the mechanisms for recourse available to the consumer in the event of a complaint</w:t>
      </w:r>
      <w:r>
        <w:rPr>
          <w:rStyle w:val="FootnoteReference"/>
          <w:bCs/>
          <w:sz w:val="22"/>
          <w:szCs w:val="22"/>
        </w:rPr>
        <w:footnoteReference w:id="9"/>
      </w:r>
      <w:r w:rsidRPr="00E06713">
        <w:rPr>
          <w:bCs/>
          <w:sz w:val="22"/>
          <w:szCs w:val="22"/>
        </w:rPr>
        <w:t xml:space="preserve">. </w:t>
      </w:r>
      <w:r w:rsidR="00D00ABA" w:rsidRPr="00D00ABA">
        <w:rPr>
          <w:bCs/>
          <w:sz w:val="22"/>
          <w:szCs w:val="22"/>
        </w:rPr>
        <w:t xml:space="preserve">Besides information on key features and all relevant costs, the Key Facts Statements should also include the key legal obligations and </w:t>
      </w:r>
      <w:r w:rsidR="00D00ABA" w:rsidRPr="00D00ABA">
        <w:rPr>
          <w:bCs/>
          <w:sz w:val="22"/>
          <w:szCs w:val="22"/>
        </w:rPr>
        <w:lastRenderedPageBreak/>
        <w:t>information on sanctions</w:t>
      </w:r>
      <w:r w:rsidR="00751269">
        <w:rPr>
          <w:rStyle w:val="FootnoteReference"/>
          <w:bCs/>
          <w:sz w:val="22"/>
          <w:szCs w:val="22"/>
        </w:rPr>
        <w:footnoteReference w:id="10"/>
      </w:r>
      <w:r w:rsidR="00D00ABA" w:rsidRPr="00D00ABA">
        <w:rPr>
          <w:bCs/>
          <w:sz w:val="22"/>
          <w:szCs w:val="22"/>
        </w:rPr>
        <w:t xml:space="preserve"> the consumer may face if he breaches the contract (e.g. by demanding an early withdrawal, overdraft of his account, late payment of a loan installment, etc.).</w:t>
      </w:r>
    </w:p>
    <w:p w:rsidR="00724FA3" w:rsidRDefault="00724FA3" w:rsidP="00724FA3">
      <w:pPr>
        <w:pStyle w:val="BodyText"/>
        <w:tabs>
          <w:tab w:val="left" w:pos="360"/>
          <w:tab w:val="left" w:pos="630"/>
        </w:tabs>
        <w:suppressAutoHyphens/>
        <w:spacing w:before="0" w:after="0" w:line="240" w:lineRule="auto"/>
        <w:rPr>
          <w:bCs/>
          <w:sz w:val="22"/>
          <w:szCs w:val="22"/>
        </w:rPr>
      </w:pPr>
      <w:r>
        <w:rPr>
          <w:b/>
          <w:bCs/>
          <w:sz w:val="22"/>
          <w:szCs w:val="22"/>
        </w:rPr>
        <w:t xml:space="preserve"> </w:t>
      </w:r>
    </w:p>
    <w:p w:rsidR="00724FA3" w:rsidRDefault="00724FA3" w:rsidP="00CA0F62">
      <w:pPr>
        <w:pStyle w:val="BodyText"/>
        <w:numPr>
          <w:ilvl w:val="0"/>
          <w:numId w:val="5"/>
        </w:numPr>
        <w:tabs>
          <w:tab w:val="left" w:pos="360"/>
          <w:tab w:val="left" w:pos="630"/>
        </w:tabs>
        <w:suppressAutoHyphens/>
        <w:spacing w:before="0" w:after="0" w:line="240" w:lineRule="auto"/>
        <w:ind w:left="0" w:firstLine="0"/>
        <w:rPr>
          <w:bCs/>
          <w:sz w:val="22"/>
          <w:szCs w:val="22"/>
        </w:rPr>
      </w:pPr>
      <w:r w:rsidRPr="00724FA3">
        <w:rPr>
          <w:b/>
          <w:bCs/>
          <w:sz w:val="22"/>
          <w:szCs w:val="22"/>
        </w:rPr>
        <w:t xml:space="preserve">Formulas for calculations of costs and yields of financial products should be defined by the CBA. </w:t>
      </w:r>
      <w:r>
        <w:rPr>
          <w:bCs/>
          <w:sz w:val="22"/>
          <w:szCs w:val="22"/>
        </w:rPr>
        <w:t xml:space="preserve">When any calculations are made as part of any advertising or sales materials, only formulas defined and approved by the CBA should be used to ensure that competing offers are easily comparable. </w:t>
      </w:r>
    </w:p>
    <w:p w:rsidR="00724FA3" w:rsidRDefault="00724FA3" w:rsidP="00724FA3">
      <w:pPr>
        <w:pStyle w:val="ListParagraph"/>
        <w:rPr>
          <w:bCs/>
          <w:sz w:val="22"/>
          <w:szCs w:val="22"/>
        </w:rPr>
      </w:pPr>
    </w:p>
    <w:p w:rsidR="00724FA3" w:rsidRDefault="00724FA3" w:rsidP="00CA0F62">
      <w:pPr>
        <w:pStyle w:val="BodyText"/>
        <w:numPr>
          <w:ilvl w:val="0"/>
          <w:numId w:val="5"/>
        </w:numPr>
        <w:tabs>
          <w:tab w:val="left" w:pos="360"/>
          <w:tab w:val="left" w:pos="630"/>
        </w:tabs>
        <w:suppressAutoHyphens/>
        <w:spacing w:before="0" w:after="0" w:line="240" w:lineRule="auto"/>
        <w:ind w:left="0" w:firstLine="0"/>
        <w:rPr>
          <w:bCs/>
          <w:sz w:val="22"/>
          <w:szCs w:val="22"/>
        </w:rPr>
      </w:pPr>
      <w:r w:rsidRPr="00724FA3">
        <w:rPr>
          <w:b/>
          <w:bCs/>
          <w:sz w:val="22"/>
          <w:szCs w:val="22"/>
        </w:rPr>
        <w:t>For credit products, the Annual Percentage Rate (APR) should be required in all credit contracts</w:t>
      </w:r>
      <w:r>
        <w:rPr>
          <w:bCs/>
          <w:sz w:val="22"/>
          <w:szCs w:val="22"/>
        </w:rPr>
        <w:t>.</w:t>
      </w:r>
      <w:r w:rsidRPr="00724FA3">
        <w:rPr>
          <w:bCs/>
          <w:sz w:val="22"/>
          <w:szCs w:val="22"/>
        </w:rPr>
        <w:t xml:space="preserve"> </w:t>
      </w:r>
      <w:r>
        <w:rPr>
          <w:bCs/>
          <w:sz w:val="22"/>
          <w:szCs w:val="22"/>
        </w:rPr>
        <w:t xml:space="preserve">This disclosure requirement should apply also to loans offered </w:t>
      </w:r>
      <w:r w:rsidRPr="00724FA3">
        <w:rPr>
          <w:bCs/>
          <w:sz w:val="22"/>
          <w:szCs w:val="22"/>
        </w:rPr>
        <w:t>to sole entrepreneurs, mi</w:t>
      </w:r>
      <w:r>
        <w:rPr>
          <w:bCs/>
          <w:sz w:val="22"/>
          <w:szCs w:val="22"/>
        </w:rPr>
        <w:t xml:space="preserve">cro- and small-size businesses </w:t>
      </w:r>
      <w:r w:rsidRPr="00724FA3">
        <w:rPr>
          <w:bCs/>
          <w:sz w:val="22"/>
          <w:szCs w:val="22"/>
        </w:rPr>
        <w:t xml:space="preserve">as defined by the Armenian legislation. The </w:t>
      </w:r>
      <w:r>
        <w:rPr>
          <w:bCs/>
          <w:sz w:val="22"/>
          <w:szCs w:val="22"/>
        </w:rPr>
        <w:t xml:space="preserve">credit </w:t>
      </w:r>
      <w:r w:rsidRPr="00724FA3">
        <w:rPr>
          <w:bCs/>
          <w:sz w:val="22"/>
          <w:szCs w:val="22"/>
        </w:rPr>
        <w:t xml:space="preserve">disclosure should include monthly payment, total sum to be paid, </w:t>
      </w:r>
      <w:r>
        <w:rPr>
          <w:bCs/>
          <w:sz w:val="22"/>
          <w:szCs w:val="22"/>
        </w:rPr>
        <w:t xml:space="preserve">the </w:t>
      </w:r>
      <w:r w:rsidRPr="00724FA3">
        <w:rPr>
          <w:bCs/>
          <w:sz w:val="22"/>
          <w:szCs w:val="22"/>
        </w:rPr>
        <w:t>APR, rules for making credit registry entries as well as impacts of late payment.</w:t>
      </w:r>
      <w:r w:rsidR="004021B8">
        <w:rPr>
          <w:bCs/>
          <w:sz w:val="22"/>
          <w:szCs w:val="22"/>
        </w:rPr>
        <w:t xml:space="preserve"> </w:t>
      </w:r>
      <w:r w:rsidR="00DA01CB">
        <w:rPr>
          <w:bCs/>
          <w:sz w:val="22"/>
          <w:szCs w:val="22"/>
        </w:rPr>
        <w:t xml:space="preserve">The CBA should study how the APR requirement was implemented in other jurisdictions to ensure the regulation </w:t>
      </w:r>
      <w:r w:rsidR="00BF32AF">
        <w:rPr>
          <w:bCs/>
          <w:sz w:val="22"/>
          <w:szCs w:val="22"/>
        </w:rPr>
        <w:t xml:space="preserve">is detailed enough and </w:t>
      </w:r>
      <w:r w:rsidR="00DA01CB">
        <w:rPr>
          <w:bCs/>
          <w:sz w:val="22"/>
          <w:szCs w:val="22"/>
        </w:rPr>
        <w:t xml:space="preserve">does not provide room for avoidance of some fees being included in the APR calculation. </w:t>
      </w:r>
      <w:r w:rsidR="004021B8" w:rsidRPr="004021B8">
        <w:rPr>
          <w:bCs/>
          <w:sz w:val="22"/>
          <w:szCs w:val="22"/>
        </w:rPr>
        <w:t xml:space="preserve">Based on the EU Consumer Credit Directive, the regulation of disclosure should require that </w:t>
      </w:r>
      <w:r w:rsidR="004021B8">
        <w:rPr>
          <w:bCs/>
          <w:sz w:val="22"/>
          <w:szCs w:val="22"/>
        </w:rPr>
        <w:t>APR</w:t>
      </w:r>
      <w:r w:rsidR="004021B8" w:rsidRPr="004021B8">
        <w:rPr>
          <w:bCs/>
          <w:sz w:val="22"/>
          <w:szCs w:val="22"/>
        </w:rPr>
        <w:t xml:space="preserve"> for credit cards is shown for three typical versions of drawdown of funds. The UBA should assist the CBA in defining these typical scenarios to make it as relevant as possible.</w:t>
      </w:r>
    </w:p>
    <w:p w:rsidR="0020772A" w:rsidRDefault="0020772A" w:rsidP="0020772A">
      <w:pPr>
        <w:pStyle w:val="ListParagraph"/>
        <w:rPr>
          <w:bCs/>
          <w:sz w:val="22"/>
          <w:szCs w:val="22"/>
        </w:rPr>
      </w:pPr>
    </w:p>
    <w:p w:rsidR="0020772A" w:rsidRDefault="0020772A" w:rsidP="00CA0F62">
      <w:pPr>
        <w:pStyle w:val="BodyText"/>
        <w:numPr>
          <w:ilvl w:val="0"/>
          <w:numId w:val="5"/>
        </w:numPr>
        <w:tabs>
          <w:tab w:val="left" w:pos="360"/>
          <w:tab w:val="left" w:pos="630"/>
        </w:tabs>
        <w:suppressAutoHyphens/>
        <w:spacing w:before="0" w:after="0" w:line="240" w:lineRule="auto"/>
        <w:ind w:left="0" w:firstLine="0"/>
        <w:rPr>
          <w:bCs/>
          <w:sz w:val="22"/>
          <w:szCs w:val="22"/>
        </w:rPr>
      </w:pPr>
      <w:r w:rsidRPr="0020772A">
        <w:rPr>
          <w:b/>
          <w:bCs/>
          <w:sz w:val="22"/>
          <w:szCs w:val="22"/>
        </w:rPr>
        <w:t>Statements for financial products should be tested for their understandability and relevance.</w:t>
      </w:r>
      <w:r>
        <w:rPr>
          <w:bCs/>
          <w:sz w:val="22"/>
          <w:szCs w:val="22"/>
        </w:rPr>
        <w:t xml:space="preserve"> Research shows</w:t>
      </w:r>
      <w:r>
        <w:rPr>
          <w:rStyle w:val="FootnoteReference"/>
          <w:bCs/>
          <w:sz w:val="22"/>
          <w:szCs w:val="22"/>
        </w:rPr>
        <w:footnoteReference w:id="11"/>
      </w:r>
      <w:r>
        <w:rPr>
          <w:bCs/>
          <w:sz w:val="22"/>
          <w:szCs w:val="22"/>
        </w:rPr>
        <w:t xml:space="preserve"> that there is often a misunderstanding of facts in the statements and that a properly designed statement can significantly help the understanding of consumers. </w:t>
      </w:r>
      <w:r w:rsidR="001F778E">
        <w:rPr>
          <w:bCs/>
          <w:sz w:val="22"/>
          <w:szCs w:val="22"/>
        </w:rPr>
        <w:t xml:space="preserve">Therefore, </w:t>
      </w:r>
      <w:r w:rsidR="001F778E" w:rsidRPr="001F778E">
        <w:rPr>
          <w:bCs/>
          <w:sz w:val="22"/>
          <w:szCs w:val="22"/>
        </w:rPr>
        <w:t xml:space="preserve">the CBA </w:t>
      </w:r>
      <w:r w:rsidR="001F778E">
        <w:rPr>
          <w:bCs/>
          <w:sz w:val="22"/>
          <w:szCs w:val="22"/>
        </w:rPr>
        <w:t xml:space="preserve">should test the content of the </w:t>
      </w:r>
      <w:r w:rsidR="001F778E" w:rsidRPr="001F778E">
        <w:rPr>
          <w:bCs/>
          <w:sz w:val="22"/>
          <w:szCs w:val="22"/>
        </w:rPr>
        <w:t xml:space="preserve">statements </w:t>
      </w:r>
      <w:r w:rsidR="00751269">
        <w:rPr>
          <w:bCs/>
          <w:sz w:val="22"/>
          <w:szCs w:val="22"/>
        </w:rPr>
        <w:t xml:space="preserve">for most frequent financial products </w:t>
      </w:r>
      <w:r w:rsidR="001F778E">
        <w:rPr>
          <w:bCs/>
          <w:sz w:val="22"/>
          <w:szCs w:val="22"/>
        </w:rPr>
        <w:t xml:space="preserve">and based on the results, it </w:t>
      </w:r>
      <w:r w:rsidR="001F778E" w:rsidRPr="001F778E">
        <w:rPr>
          <w:bCs/>
          <w:sz w:val="22"/>
          <w:szCs w:val="22"/>
        </w:rPr>
        <w:t xml:space="preserve">could consider regulating the content of the statements to ensure consumers understand their obligations. </w:t>
      </w:r>
    </w:p>
    <w:p w:rsidR="00D16EEC" w:rsidRDefault="00D16EEC" w:rsidP="00D16EEC">
      <w:pPr>
        <w:pStyle w:val="ListParagraph"/>
        <w:rPr>
          <w:bCs/>
          <w:sz w:val="22"/>
          <w:szCs w:val="22"/>
        </w:rPr>
      </w:pPr>
    </w:p>
    <w:p w:rsidR="00D16EEC" w:rsidRPr="00D16EEC" w:rsidRDefault="00D16EEC" w:rsidP="00D16EEC">
      <w:pPr>
        <w:pStyle w:val="BodyText"/>
        <w:numPr>
          <w:ilvl w:val="0"/>
          <w:numId w:val="5"/>
        </w:numPr>
        <w:tabs>
          <w:tab w:val="left" w:pos="360"/>
          <w:tab w:val="left" w:pos="630"/>
        </w:tabs>
        <w:suppressAutoHyphens/>
        <w:spacing w:before="0" w:after="0" w:line="240" w:lineRule="auto"/>
        <w:ind w:left="0" w:firstLine="0"/>
        <w:rPr>
          <w:bCs/>
          <w:sz w:val="22"/>
          <w:szCs w:val="22"/>
        </w:rPr>
      </w:pPr>
      <w:r w:rsidRPr="00E06713">
        <w:rPr>
          <w:b/>
          <w:bCs/>
          <w:sz w:val="22"/>
          <w:szCs w:val="22"/>
        </w:rPr>
        <w:t xml:space="preserve">The </w:t>
      </w:r>
      <w:r>
        <w:rPr>
          <w:b/>
          <w:bCs/>
          <w:sz w:val="22"/>
          <w:szCs w:val="22"/>
        </w:rPr>
        <w:t>CBA</w:t>
      </w:r>
      <w:r w:rsidRPr="00E06713">
        <w:rPr>
          <w:b/>
          <w:bCs/>
          <w:sz w:val="22"/>
          <w:szCs w:val="22"/>
        </w:rPr>
        <w:t xml:space="preserve"> should issue specific additional disclosure requirements for insurers</w:t>
      </w:r>
      <w:r w:rsidR="00A16527">
        <w:rPr>
          <w:b/>
          <w:bCs/>
          <w:sz w:val="22"/>
          <w:szCs w:val="22"/>
        </w:rPr>
        <w:t xml:space="preserve"> and the securities market</w:t>
      </w:r>
      <w:r w:rsidRPr="00E06713">
        <w:rPr>
          <w:b/>
          <w:bCs/>
          <w:sz w:val="22"/>
          <w:szCs w:val="22"/>
        </w:rPr>
        <w:t>.</w:t>
      </w:r>
      <w:r w:rsidRPr="00E06713">
        <w:rPr>
          <w:bCs/>
          <w:sz w:val="22"/>
          <w:szCs w:val="22"/>
        </w:rPr>
        <w:t xml:space="preserve"> At minimum, insurers should be required to provide not only a key facts statement, but also a copy of the insurance policy document to the policyholders, and to follow specific disclosure requirements on premiums, fees, policy coverage and exclusions. </w:t>
      </w:r>
      <w:r w:rsidR="00A16527">
        <w:rPr>
          <w:bCs/>
          <w:sz w:val="22"/>
          <w:szCs w:val="22"/>
        </w:rPr>
        <w:t xml:space="preserve">For the securities sector, the disclosure should include the "mark-up" of the securities dealer as well as all other expenses. </w:t>
      </w:r>
    </w:p>
    <w:p w:rsidR="00CA0F62" w:rsidRDefault="00CA0F62" w:rsidP="00CA0F62">
      <w:pPr>
        <w:pStyle w:val="BodyText"/>
        <w:tabs>
          <w:tab w:val="left" w:pos="360"/>
          <w:tab w:val="left" w:pos="630"/>
        </w:tabs>
        <w:suppressAutoHyphens/>
        <w:spacing w:before="0" w:after="0" w:line="240" w:lineRule="auto"/>
        <w:rPr>
          <w:bCs/>
          <w:sz w:val="22"/>
          <w:szCs w:val="22"/>
        </w:rPr>
      </w:pPr>
      <w:r>
        <w:rPr>
          <w:b/>
          <w:bCs/>
          <w:sz w:val="22"/>
          <w:szCs w:val="22"/>
        </w:rPr>
        <w:t xml:space="preserve"> </w:t>
      </w:r>
    </w:p>
    <w:p w:rsidR="00CA0F62" w:rsidRPr="006F6AC9" w:rsidRDefault="00CA0F62" w:rsidP="00CA0F62">
      <w:pPr>
        <w:pStyle w:val="BodyText"/>
        <w:numPr>
          <w:ilvl w:val="0"/>
          <w:numId w:val="5"/>
        </w:numPr>
        <w:tabs>
          <w:tab w:val="left" w:pos="360"/>
          <w:tab w:val="left" w:pos="630"/>
        </w:tabs>
        <w:suppressAutoHyphens/>
        <w:spacing w:before="0" w:after="0" w:line="240" w:lineRule="auto"/>
        <w:ind w:left="0" w:firstLine="0"/>
        <w:rPr>
          <w:sz w:val="22"/>
        </w:rPr>
      </w:pPr>
      <w:r w:rsidRPr="00CA0F62">
        <w:rPr>
          <w:b/>
          <w:sz w:val="22"/>
        </w:rPr>
        <w:t xml:space="preserve">Proper distribution of </w:t>
      </w:r>
      <w:r w:rsidR="00724FA3">
        <w:rPr>
          <w:b/>
          <w:sz w:val="22"/>
        </w:rPr>
        <w:t xml:space="preserve">disclosure documents including </w:t>
      </w:r>
      <w:r w:rsidRPr="00CA0F62">
        <w:rPr>
          <w:b/>
          <w:sz w:val="22"/>
        </w:rPr>
        <w:t xml:space="preserve">Key Facts Statements </w:t>
      </w:r>
      <w:r w:rsidR="00724FA3">
        <w:rPr>
          <w:b/>
          <w:sz w:val="22"/>
        </w:rPr>
        <w:t xml:space="preserve">and their explanation </w:t>
      </w:r>
      <w:r w:rsidRPr="00CA0F62">
        <w:rPr>
          <w:b/>
          <w:sz w:val="22"/>
        </w:rPr>
        <w:t xml:space="preserve">should be </w:t>
      </w:r>
      <w:r>
        <w:rPr>
          <w:b/>
          <w:sz w:val="22"/>
        </w:rPr>
        <w:t>actively</w:t>
      </w:r>
      <w:r w:rsidRPr="00CA0F62">
        <w:rPr>
          <w:b/>
          <w:sz w:val="22"/>
        </w:rPr>
        <w:t xml:space="preserve"> supervised by the CBA</w:t>
      </w:r>
      <w:r>
        <w:rPr>
          <w:b/>
          <w:sz w:val="22"/>
        </w:rPr>
        <w:t xml:space="preserve"> and could also be monitored by consumer NGOs</w:t>
      </w:r>
      <w:r w:rsidRPr="00CA0F62">
        <w:rPr>
          <w:b/>
          <w:sz w:val="22"/>
        </w:rPr>
        <w:t>.</w:t>
      </w:r>
      <w:r w:rsidRPr="006F6AC9">
        <w:rPr>
          <w:sz w:val="22"/>
        </w:rPr>
        <w:t xml:space="preserve"> </w:t>
      </w:r>
      <w:r w:rsidR="00724FA3">
        <w:rPr>
          <w:sz w:val="22"/>
        </w:rPr>
        <w:t>Disclosure should not be a compliance function but a key business practice. Therefore, the CBA (possibly in cooperation with selected NGOs) should require that the content of disclosure documents</w:t>
      </w:r>
      <w:r w:rsidR="00A835B0">
        <w:rPr>
          <w:sz w:val="22"/>
        </w:rPr>
        <w:t xml:space="preserve"> and contracts</w:t>
      </w:r>
      <w:r w:rsidR="00724FA3">
        <w:rPr>
          <w:sz w:val="22"/>
        </w:rPr>
        <w:t xml:space="preserve"> is explained to the consumer to ensure his or her understanding of the facts provided. The financial sector</w:t>
      </w:r>
      <w:r w:rsidR="00CF57F1">
        <w:rPr>
          <w:sz w:val="22"/>
        </w:rPr>
        <w:t xml:space="preserve"> associations</w:t>
      </w:r>
      <w:r w:rsidR="00724FA3">
        <w:rPr>
          <w:sz w:val="22"/>
        </w:rPr>
        <w:t xml:space="preserve"> </w:t>
      </w:r>
      <w:r w:rsidR="00CF57F1">
        <w:rPr>
          <w:sz w:val="22"/>
        </w:rPr>
        <w:t xml:space="preserve">should develop best practices for disclosure communication. </w:t>
      </w:r>
      <w:r w:rsidR="00724FA3">
        <w:rPr>
          <w:sz w:val="22"/>
        </w:rPr>
        <w:t>The CBA should use mystery shopping to verify the explanations are made properly</w:t>
      </w:r>
      <w:r w:rsidR="00CF57F1">
        <w:rPr>
          <w:sz w:val="22"/>
        </w:rPr>
        <w:t xml:space="preserve"> and work with the financial sector associations on improving the </w:t>
      </w:r>
      <w:r w:rsidR="00CF57F1">
        <w:rPr>
          <w:sz w:val="22"/>
        </w:rPr>
        <w:lastRenderedPageBreak/>
        <w:t>sales process</w:t>
      </w:r>
      <w:r w:rsidR="00724FA3">
        <w:rPr>
          <w:sz w:val="22"/>
        </w:rPr>
        <w:t xml:space="preserve">. </w:t>
      </w:r>
      <w:r w:rsidR="00A835B0" w:rsidRPr="00B16AB1">
        <w:rPr>
          <w:bCs/>
          <w:sz w:val="22"/>
          <w:szCs w:val="22"/>
        </w:rPr>
        <w:t xml:space="preserve">The input from mystery shopping </w:t>
      </w:r>
      <w:r w:rsidR="00A835B0">
        <w:rPr>
          <w:bCs/>
          <w:sz w:val="22"/>
          <w:szCs w:val="22"/>
        </w:rPr>
        <w:t xml:space="preserve">could also be used </w:t>
      </w:r>
      <w:r w:rsidR="00A835B0" w:rsidRPr="00B16AB1">
        <w:rPr>
          <w:bCs/>
          <w:sz w:val="22"/>
          <w:szCs w:val="22"/>
        </w:rPr>
        <w:t>for improvement of supervision manuals, financial awareness initiatives and regular discussions with the financial industry associations.</w:t>
      </w:r>
    </w:p>
    <w:p w:rsidR="00CA0F62" w:rsidRPr="006F6AC9" w:rsidRDefault="00CA0F62" w:rsidP="00CA0F62">
      <w:pPr>
        <w:pStyle w:val="BodyText"/>
        <w:tabs>
          <w:tab w:val="left" w:pos="360"/>
          <w:tab w:val="left" w:pos="630"/>
        </w:tabs>
        <w:suppressAutoHyphens/>
        <w:spacing w:before="0" w:after="0" w:line="240" w:lineRule="auto"/>
        <w:rPr>
          <w:sz w:val="22"/>
        </w:rPr>
      </w:pPr>
    </w:p>
    <w:p w:rsidR="00CF57F1" w:rsidRDefault="00CA0F62" w:rsidP="00CA0F62">
      <w:pPr>
        <w:pStyle w:val="BodyText"/>
        <w:numPr>
          <w:ilvl w:val="0"/>
          <w:numId w:val="5"/>
        </w:numPr>
        <w:tabs>
          <w:tab w:val="left" w:pos="360"/>
          <w:tab w:val="left" w:pos="630"/>
        </w:tabs>
        <w:suppressAutoHyphens/>
        <w:spacing w:before="0" w:after="0" w:line="240" w:lineRule="auto"/>
        <w:ind w:left="0" w:firstLine="0"/>
        <w:rPr>
          <w:sz w:val="22"/>
        </w:rPr>
      </w:pPr>
      <w:r w:rsidRPr="00CF57F1">
        <w:rPr>
          <w:b/>
          <w:sz w:val="22"/>
        </w:rPr>
        <w:t>Consumer information (particularly pre-contractual information) should also be comparable.</w:t>
      </w:r>
      <w:r w:rsidRPr="006F6AC9">
        <w:rPr>
          <w:sz w:val="22"/>
        </w:rPr>
        <w:t xml:space="preserve"> To further improve the understanding of the public and to avoid mistreatment of consumers through hard-to-understand contracts, standardized contract clauses that would unify the main definitions for each type of financial product should be prepared by </w:t>
      </w:r>
      <w:r w:rsidR="00CF57F1">
        <w:rPr>
          <w:sz w:val="22"/>
        </w:rPr>
        <w:t>the financial sector associations</w:t>
      </w:r>
      <w:r w:rsidR="00CF57F1" w:rsidRPr="006F6AC9">
        <w:rPr>
          <w:sz w:val="22"/>
        </w:rPr>
        <w:t xml:space="preserve"> </w:t>
      </w:r>
      <w:r w:rsidRPr="006F6AC9">
        <w:rPr>
          <w:sz w:val="22"/>
        </w:rPr>
        <w:t xml:space="preserve">under the coordination from the CBA, so that the level of consumer </w:t>
      </w:r>
      <w:r w:rsidR="00CF57F1">
        <w:rPr>
          <w:sz w:val="22"/>
        </w:rPr>
        <w:t>treatment</w:t>
      </w:r>
      <w:r w:rsidRPr="006F6AC9">
        <w:rPr>
          <w:sz w:val="22"/>
        </w:rPr>
        <w:t xml:space="preserve"> is as similar as possible across product providers. A website with model contracts with standard clauses implemented for various products and with explanations of key provisions in each model contract should be set up under the leadership of the CBA</w:t>
      </w:r>
      <w:r w:rsidR="001971B6">
        <w:rPr>
          <w:sz w:val="22"/>
        </w:rPr>
        <w:t>, possibly utilizing the existing website www.abcfinance.am</w:t>
      </w:r>
      <w:r w:rsidRPr="006F6AC9">
        <w:rPr>
          <w:sz w:val="22"/>
        </w:rPr>
        <w:t xml:space="preserve">. </w:t>
      </w:r>
    </w:p>
    <w:p w:rsidR="00CF57F1" w:rsidRDefault="00CF57F1" w:rsidP="00CF57F1">
      <w:pPr>
        <w:pStyle w:val="ListParagraph"/>
        <w:rPr>
          <w:sz w:val="22"/>
        </w:rPr>
      </w:pPr>
    </w:p>
    <w:p w:rsidR="00CF57F1" w:rsidRPr="006F6AC9" w:rsidRDefault="00CF57F1" w:rsidP="00CF57F1">
      <w:pPr>
        <w:pStyle w:val="BodyText"/>
        <w:numPr>
          <w:ilvl w:val="0"/>
          <w:numId w:val="5"/>
        </w:numPr>
        <w:tabs>
          <w:tab w:val="left" w:pos="360"/>
          <w:tab w:val="left" w:pos="630"/>
        </w:tabs>
        <w:suppressAutoHyphens/>
        <w:spacing w:before="0" w:after="0" w:line="240" w:lineRule="auto"/>
        <w:ind w:left="0" w:firstLine="0"/>
        <w:rPr>
          <w:sz w:val="22"/>
        </w:rPr>
      </w:pPr>
      <w:r w:rsidRPr="00CF57F1">
        <w:rPr>
          <w:b/>
          <w:sz w:val="22"/>
        </w:rPr>
        <w:t xml:space="preserve">To strengthen competition, a price comparison website should be set up. </w:t>
      </w:r>
      <w:r w:rsidRPr="006F6AC9">
        <w:rPr>
          <w:sz w:val="22"/>
        </w:rPr>
        <w:t xml:space="preserve">The </w:t>
      </w:r>
      <w:r>
        <w:rPr>
          <w:sz w:val="22"/>
        </w:rPr>
        <w:t xml:space="preserve">CBA should set up a website that would provide regularly updated </w:t>
      </w:r>
      <w:r w:rsidR="00353C36">
        <w:rPr>
          <w:sz w:val="22"/>
        </w:rPr>
        <w:t>overview of prices of the most common financial products as defined by the CBA in cooperation with the financial sector associations</w:t>
      </w:r>
      <w:r w:rsidR="00437FA4">
        <w:rPr>
          <w:rStyle w:val="FootnoteReference"/>
          <w:sz w:val="22"/>
        </w:rPr>
        <w:footnoteReference w:id="12"/>
      </w:r>
      <w:r w:rsidR="00353C36">
        <w:rPr>
          <w:sz w:val="22"/>
        </w:rPr>
        <w:t>. A CBA</w:t>
      </w:r>
      <w:r>
        <w:rPr>
          <w:sz w:val="22"/>
        </w:rPr>
        <w:t xml:space="preserve"> </w:t>
      </w:r>
      <w:r w:rsidR="00353C36">
        <w:rPr>
          <w:sz w:val="22"/>
        </w:rPr>
        <w:t xml:space="preserve">regulation would require all financial companies provide relevant price data to ensure that all providers report fully and truthfully. </w:t>
      </w:r>
      <w:r w:rsidRPr="006F6AC9">
        <w:rPr>
          <w:sz w:val="22"/>
        </w:rPr>
        <w:t xml:space="preserve">The website </w:t>
      </w:r>
      <w:r w:rsidR="00353C36">
        <w:rPr>
          <w:sz w:val="22"/>
        </w:rPr>
        <w:t xml:space="preserve">could be </w:t>
      </w:r>
      <w:r>
        <w:rPr>
          <w:sz w:val="22"/>
        </w:rPr>
        <w:t xml:space="preserve">operated either internally </w:t>
      </w:r>
      <w:r w:rsidR="00353C36">
        <w:rPr>
          <w:sz w:val="22"/>
        </w:rPr>
        <w:t xml:space="preserve">by the CBA </w:t>
      </w:r>
      <w:r>
        <w:rPr>
          <w:sz w:val="22"/>
        </w:rPr>
        <w:t xml:space="preserve">or by a private sector operator selected in a public tender. The </w:t>
      </w:r>
      <w:r w:rsidR="00353C36">
        <w:rPr>
          <w:sz w:val="22"/>
        </w:rPr>
        <w:t xml:space="preserve">CBA </w:t>
      </w:r>
      <w:r>
        <w:rPr>
          <w:sz w:val="22"/>
        </w:rPr>
        <w:t xml:space="preserve">should use the data on prices of financial products and other information to regularly analyze and publicly report on the state of competition in the financial market. </w:t>
      </w:r>
    </w:p>
    <w:p w:rsidR="00CA0F62" w:rsidRPr="006F6AC9" w:rsidRDefault="00CA0F62" w:rsidP="00CA0F62">
      <w:pPr>
        <w:rPr>
          <w:sz w:val="22"/>
        </w:rPr>
      </w:pPr>
    </w:p>
    <w:p w:rsidR="00057AAD" w:rsidRDefault="00057AAD" w:rsidP="001F4608">
      <w:pPr>
        <w:pStyle w:val="BodyText"/>
        <w:numPr>
          <w:ilvl w:val="0"/>
          <w:numId w:val="5"/>
        </w:numPr>
        <w:tabs>
          <w:tab w:val="left" w:pos="360"/>
          <w:tab w:val="left" w:pos="630"/>
        </w:tabs>
        <w:suppressAutoHyphens/>
        <w:spacing w:before="0" w:after="0" w:line="240" w:lineRule="auto"/>
        <w:ind w:left="0" w:firstLine="0"/>
        <w:rPr>
          <w:bCs/>
          <w:sz w:val="22"/>
          <w:szCs w:val="22"/>
        </w:rPr>
      </w:pPr>
      <w:r w:rsidRPr="00E06713">
        <w:rPr>
          <w:b/>
          <w:bCs/>
          <w:sz w:val="22"/>
          <w:szCs w:val="22"/>
        </w:rPr>
        <w:t xml:space="preserve">The </w:t>
      </w:r>
      <w:r w:rsidR="00212A59">
        <w:rPr>
          <w:b/>
          <w:bCs/>
          <w:sz w:val="22"/>
          <w:szCs w:val="22"/>
        </w:rPr>
        <w:t>CBA</w:t>
      </w:r>
      <w:r w:rsidRPr="00E06713">
        <w:rPr>
          <w:b/>
          <w:bCs/>
          <w:sz w:val="22"/>
          <w:szCs w:val="22"/>
        </w:rPr>
        <w:t xml:space="preserve"> should prepare a glossary of key terms</w:t>
      </w:r>
      <w:r w:rsidR="00212A59">
        <w:rPr>
          <w:b/>
          <w:bCs/>
          <w:sz w:val="22"/>
          <w:szCs w:val="22"/>
        </w:rPr>
        <w:t xml:space="preserve"> to improve consumer understanding</w:t>
      </w:r>
      <w:r w:rsidRPr="00E06713">
        <w:rPr>
          <w:b/>
          <w:bCs/>
          <w:sz w:val="22"/>
          <w:szCs w:val="22"/>
        </w:rPr>
        <w:t xml:space="preserve">. </w:t>
      </w:r>
      <w:r w:rsidRPr="00E06713">
        <w:rPr>
          <w:bCs/>
          <w:sz w:val="22"/>
          <w:szCs w:val="22"/>
        </w:rPr>
        <w:t>Financial services are characterized by complex and proprietary terms, developed by financial institutions, to differentiate their services from those of their competitors. Preparation of a glossary of key terms and conditions would help consumers understand the nature of the fin</w:t>
      </w:r>
      <w:r w:rsidR="00AB266B">
        <w:rPr>
          <w:bCs/>
          <w:sz w:val="22"/>
          <w:szCs w:val="22"/>
        </w:rPr>
        <w:t>ancial service being purchased. S</w:t>
      </w:r>
      <w:r w:rsidRPr="00E06713">
        <w:rPr>
          <w:bCs/>
          <w:sz w:val="22"/>
          <w:szCs w:val="22"/>
        </w:rPr>
        <w:t xml:space="preserve">tandardized terminology would also help organizations preparing comparative surveys of services offered by financial institutions. </w:t>
      </w:r>
      <w:r w:rsidR="00C20FA0">
        <w:rPr>
          <w:bCs/>
          <w:sz w:val="22"/>
          <w:szCs w:val="22"/>
        </w:rPr>
        <w:t>Consumer</w:t>
      </w:r>
      <w:r w:rsidR="00C20FA0" w:rsidRPr="00E06713">
        <w:rPr>
          <w:bCs/>
          <w:sz w:val="22"/>
          <w:szCs w:val="22"/>
        </w:rPr>
        <w:t xml:space="preserve"> organizations should be consulted in the process of elaboration of the glossary, to ensure that it is written in plain language so that the aver</w:t>
      </w:r>
      <w:r w:rsidR="00C20FA0">
        <w:rPr>
          <w:bCs/>
          <w:sz w:val="22"/>
          <w:szCs w:val="22"/>
        </w:rPr>
        <w:t xml:space="preserve">age consumer can understand it. </w:t>
      </w:r>
      <w:r w:rsidR="00212A59">
        <w:rPr>
          <w:bCs/>
          <w:sz w:val="22"/>
          <w:szCs w:val="22"/>
        </w:rPr>
        <w:t>The CBA and the Financial System Mediator could publish the glossary</w:t>
      </w:r>
      <w:r w:rsidR="00C20FA0">
        <w:rPr>
          <w:bCs/>
          <w:sz w:val="22"/>
          <w:szCs w:val="22"/>
        </w:rPr>
        <w:t xml:space="preserve"> on </w:t>
      </w:r>
      <w:r w:rsidR="00212A59">
        <w:rPr>
          <w:bCs/>
          <w:sz w:val="22"/>
          <w:szCs w:val="22"/>
        </w:rPr>
        <w:t xml:space="preserve">their </w:t>
      </w:r>
      <w:r w:rsidR="00C20FA0">
        <w:rPr>
          <w:bCs/>
          <w:sz w:val="22"/>
          <w:szCs w:val="22"/>
        </w:rPr>
        <w:t>website</w:t>
      </w:r>
      <w:r w:rsidR="00212A59">
        <w:rPr>
          <w:bCs/>
          <w:sz w:val="22"/>
          <w:szCs w:val="22"/>
        </w:rPr>
        <w:t>s</w:t>
      </w:r>
      <w:r w:rsidR="00C20FA0">
        <w:rPr>
          <w:bCs/>
          <w:sz w:val="22"/>
          <w:szCs w:val="22"/>
        </w:rPr>
        <w:t>, and financial</w:t>
      </w:r>
      <w:r w:rsidR="00212A59">
        <w:rPr>
          <w:bCs/>
          <w:sz w:val="22"/>
          <w:szCs w:val="22"/>
        </w:rPr>
        <w:t xml:space="preserve"> sector associations as well as financial</w:t>
      </w:r>
      <w:r w:rsidR="00C20FA0">
        <w:rPr>
          <w:bCs/>
          <w:sz w:val="22"/>
          <w:szCs w:val="22"/>
        </w:rPr>
        <w:t xml:space="preserve"> institutions could publish the same glossary on their websites or at least have a link to the </w:t>
      </w:r>
      <w:r w:rsidR="00212A59">
        <w:rPr>
          <w:bCs/>
          <w:sz w:val="22"/>
          <w:szCs w:val="22"/>
        </w:rPr>
        <w:t>CBA's</w:t>
      </w:r>
      <w:r w:rsidR="00C20FA0">
        <w:rPr>
          <w:bCs/>
          <w:sz w:val="22"/>
          <w:szCs w:val="22"/>
        </w:rPr>
        <w:t xml:space="preserve"> website. </w:t>
      </w:r>
    </w:p>
    <w:p w:rsidR="00056D00" w:rsidRDefault="00056D00" w:rsidP="00056D00">
      <w:pPr>
        <w:pStyle w:val="ListParagraph"/>
        <w:rPr>
          <w:bCs/>
          <w:sz w:val="22"/>
          <w:szCs w:val="22"/>
        </w:rPr>
      </w:pPr>
    </w:p>
    <w:p w:rsidR="00056D00" w:rsidRDefault="00056D00" w:rsidP="001F4608">
      <w:pPr>
        <w:pStyle w:val="BodyText"/>
        <w:numPr>
          <w:ilvl w:val="0"/>
          <w:numId w:val="5"/>
        </w:numPr>
        <w:tabs>
          <w:tab w:val="left" w:pos="360"/>
          <w:tab w:val="left" w:pos="630"/>
        </w:tabs>
        <w:suppressAutoHyphens/>
        <w:spacing w:before="0" w:after="0" w:line="240" w:lineRule="auto"/>
        <w:ind w:left="0" w:firstLine="0"/>
        <w:rPr>
          <w:bCs/>
          <w:sz w:val="22"/>
          <w:szCs w:val="22"/>
        </w:rPr>
      </w:pPr>
      <w:r w:rsidRPr="00056D00">
        <w:rPr>
          <w:b/>
          <w:bCs/>
          <w:sz w:val="22"/>
          <w:szCs w:val="22"/>
        </w:rPr>
        <w:t>Consumers need to be given clear information about guarantees.</w:t>
      </w:r>
      <w:r>
        <w:rPr>
          <w:bCs/>
          <w:sz w:val="22"/>
          <w:szCs w:val="22"/>
        </w:rPr>
        <w:t xml:space="preserve"> </w:t>
      </w:r>
      <w:r w:rsidRPr="00056D00">
        <w:rPr>
          <w:bCs/>
          <w:sz w:val="22"/>
          <w:szCs w:val="22"/>
        </w:rPr>
        <w:t xml:space="preserve">When concluding a deposit contract, the first page of the contract should specifically state whether the deposit is covered by the deposit guarantee insurance and for what amount for the specific consumer, taking into account his other deposits with the bank. Should the contract be not for a specific sum but only providing framework agreement allowing the client to deposit additional money on a later date, the contract should stipulate what would be the maximum insured deposit for the individual </w:t>
      </w:r>
      <w:r w:rsidRPr="00056D00">
        <w:rPr>
          <w:bCs/>
          <w:sz w:val="22"/>
          <w:szCs w:val="22"/>
        </w:rPr>
        <w:lastRenderedPageBreak/>
        <w:t>client.</w:t>
      </w:r>
      <w:r w:rsidR="001971B6">
        <w:rPr>
          <w:bCs/>
          <w:sz w:val="22"/>
          <w:szCs w:val="22"/>
        </w:rPr>
        <w:t xml:space="preserve"> </w:t>
      </w:r>
      <w:r w:rsidR="00B06CD1">
        <w:rPr>
          <w:bCs/>
          <w:sz w:val="22"/>
          <w:szCs w:val="22"/>
        </w:rPr>
        <w:t xml:space="preserve">The information on </w:t>
      </w:r>
      <w:r w:rsidR="00B06CD1" w:rsidRPr="00B06CD1">
        <w:rPr>
          <w:bCs/>
          <w:sz w:val="22"/>
          <w:szCs w:val="22"/>
        </w:rPr>
        <w:t>whether an institution</w:t>
      </w:r>
      <w:r w:rsidR="00B06CD1">
        <w:rPr>
          <w:bCs/>
          <w:sz w:val="22"/>
          <w:szCs w:val="22"/>
        </w:rPr>
        <w:t>'</w:t>
      </w:r>
      <w:r w:rsidR="00B06CD1" w:rsidRPr="00B06CD1">
        <w:rPr>
          <w:bCs/>
          <w:sz w:val="22"/>
          <w:szCs w:val="22"/>
        </w:rPr>
        <w:t xml:space="preserve">s deposits are guaranteed by the deposit guarantee insurance </w:t>
      </w:r>
      <w:r w:rsidR="00B06CD1">
        <w:rPr>
          <w:bCs/>
          <w:sz w:val="22"/>
          <w:szCs w:val="22"/>
        </w:rPr>
        <w:t xml:space="preserve">should also be posted </w:t>
      </w:r>
      <w:r w:rsidR="00B06CD1" w:rsidRPr="00B06CD1">
        <w:rPr>
          <w:bCs/>
          <w:sz w:val="22"/>
          <w:szCs w:val="22"/>
        </w:rPr>
        <w:t>in the branch window/teller window to raise awareness of this protection before consumers are about to sign off on a deposit product</w:t>
      </w:r>
      <w:r w:rsidR="00B06CD1">
        <w:rPr>
          <w:bCs/>
          <w:sz w:val="22"/>
          <w:szCs w:val="22"/>
        </w:rPr>
        <w:t xml:space="preserve">. </w:t>
      </w:r>
    </w:p>
    <w:p w:rsidR="001971B6" w:rsidRDefault="001971B6" w:rsidP="001971B6">
      <w:pPr>
        <w:pStyle w:val="ListParagraph"/>
        <w:rPr>
          <w:bCs/>
          <w:sz w:val="22"/>
          <w:szCs w:val="22"/>
        </w:rPr>
      </w:pPr>
    </w:p>
    <w:p w:rsidR="001971B6" w:rsidRPr="001971B6" w:rsidRDefault="001971B6" w:rsidP="001971B6">
      <w:pPr>
        <w:pStyle w:val="BodyText"/>
        <w:numPr>
          <w:ilvl w:val="0"/>
          <w:numId w:val="5"/>
        </w:numPr>
        <w:tabs>
          <w:tab w:val="left" w:pos="360"/>
          <w:tab w:val="left" w:pos="630"/>
        </w:tabs>
        <w:suppressAutoHyphens/>
        <w:spacing w:before="0" w:after="0" w:line="240" w:lineRule="auto"/>
        <w:ind w:left="0" w:firstLine="0"/>
        <w:rPr>
          <w:bCs/>
          <w:sz w:val="22"/>
          <w:szCs w:val="22"/>
        </w:rPr>
      </w:pPr>
      <w:r w:rsidRPr="001971B6">
        <w:rPr>
          <w:b/>
          <w:bCs/>
          <w:sz w:val="22"/>
          <w:szCs w:val="22"/>
        </w:rPr>
        <w:t>Customers should be notified in writing of changes in interest rates and non-interest charges associated with their financial products.</w:t>
      </w:r>
      <w:r w:rsidRPr="001971B6">
        <w:rPr>
          <w:bCs/>
          <w:sz w:val="22"/>
          <w:szCs w:val="22"/>
        </w:rPr>
        <w:t xml:space="preserve"> The CBA should require financial institutions to </w:t>
      </w:r>
      <w:r>
        <w:rPr>
          <w:bCs/>
          <w:sz w:val="22"/>
          <w:szCs w:val="22"/>
        </w:rPr>
        <w:t>inform consumers at least a month in advance about any material changes to the conditions of their financial products. C</w:t>
      </w:r>
      <w:r w:rsidRPr="001971B6">
        <w:rPr>
          <w:bCs/>
          <w:sz w:val="22"/>
          <w:szCs w:val="22"/>
        </w:rPr>
        <w:t xml:space="preserve">onsumers </w:t>
      </w:r>
      <w:r>
        <w:rPr>
          <w:bCs/>
          <w:sz w:val="22"/>
          <w:szCs w:val="22"/>
        </w:rPr>
        <w:t xml:space="preserve">should also be given </w:t>
      </w:r>
      <w:r w:rsidRPr="001971B6">
        <w:rPr>
          <w:bCs/>
          <w:sz w:val="22"/>
          <w:szCs w:val="22"/>
        </w:rPr>
        <w:t>the right to exit a contract without penalty if the r</w:t>
      </w:r>
      <w:r w:rsidR="00D87BC3">
        <w:rPr>
          <w:bCs/>
          <w:sz w:val="22"/>
          <w:szCs w:val="22"/>
        </w:rPr>
        <w:t xml:space="preserve">evised terms are not acceptable. Clear information about the </w:t>
      </w:r>
      <w:r w:rsidRPr="001971B6">
        <w:rPr>
          <w:bCs/>
          <w:sz w:val="22"/>
          <w:szCs w:val="22"/>
        </w:rPr>
        <w:t xml:space="preserve">right </w:t>
      </w:r>
      <w:r w:rsidR="00D87BC3">
        <w:rPr>
          <w:bCs/>
          <w:sz w:val="22"/>
          <w:szCs w:val="22"/>
        </w:rPr>
        <w:t xml:space="preserve">to exit the contract should be included </w:t>
      </w:r>
      <w:r w:rsidRPr="001971B6">
        <w:rPr>
          <w:bCs/>
          <w:sz w:val="22"/>
          <w:szCs w:val="22"/>
        </w:rPr>
        <w:t>whenever a notice of change of interest rates and non-interest charges is made.</w:t>
      </w:r>
    </w:p>
    <w:p w:rsidR="00057AAD" w:rsidRPr="00E06713" w:rsidRDefault="00057AAD" w:rsidP="008A13FE">
      <w:pPr>
        <w:jc w:val="both"/>
        <w:rPr>
          <w:b/>
          <w:bCs/>
          <w:sz w:val="22"/>
          <w:szCs w:val="22"/>
        </w:rPr>
      </w:pPr>
    </w:p>
    <w:p w:rsidR="00057AAD" w:rsidRPr="00E06713" w:rsidRDefault="00057AAD" w:rsidP="00D0168C">
      <w:pPr>
        <w:jc w:val="both"/>
        <w:rPr>
          <w:bCs/>
          <w:sz w:val="22"/>
          <w:szCs w:val="22"/>
        </w:rPr>
      </w:pPr>
    </w:p>
    <w:p w:rsidR="00057AAD" w:rsidRPr="002E65C8" w:rsidRDefault="00057AAD" w:rsidP="00B16AB1">
      <w:pPr>
        <w:pStyle w:val="Heading1"/>
        <w:spacing w:before="0" w:after="0"/>
        <w:rPr>
          <w:rFonts w:ascii="Times New Roman" w:hAnsi="Times New Roman" w:cs="Times New Roman"/>
          <w:i/>
          <w:sz w:val="28"/>
        </w:rPr>
      </w:pPr>
      <w:bookmarkStart w:id="46" w:name="_Toc263494688"/>
      <w:bookmarkStart w:id="47" w:name="_Toc331409065"/>
      <w:r w:rsidRPr="002E65C8">
        <w:rPr>
          <w:rFonts w:ascii="Times New Roman" w:hAnsi="Times New Roman" w:cs="Times New Roman"/>
          <w:i/>
          <w:sz w:val="28"/>
        </w:rPr>
        <w:t>Regulation of Business Practices</w:t>
      </w:r>
      <w:bookmarkEnd w:id="46"/>
      <w:bookmarkEnd w:id="47"/>
    </w:p>
    <w:p w:rsidR="00057AAD" w:rsidRPr="00E06713" w:rsidRDefault="00057AAD" w:rsidP="00B16AB1">
      <w:pPr>
        <w:keepNext/>
        <w:jc w:val="both"/>
        <w:rPr>
          <w:b/>
          <w:bCs/>
          <w:sz w:val="22"/>
          <w:szCs w:val="22"/>
        </w:rPr>
      </w:pPr>
    </w:p>
    <w:p w:rsidR="00B16AB1" w:rsidRPr="00B16AB1" w:rsidRDefault="00B16AB1" w:rsidP="00B16AB1">
      <w:pPr>
        <w:pStyle w:val="BodyText"/>
        <w:keepNext/>
        <w:numPr>
          <w:ilvl w:val="0"/>
          <w:numId w:val="5"/>
        </w:numPr>
        <w:tabs>
          <w:tab w:val="left" w:pos="360"/>
          <w:tab w:val="left" w:pos="630"/>
        </w:tabs>
        <w:spacing w:before="0" w:after="0" w:line="240" w:lineRule="auto"/>
        <w:ind w:left="0" w:firstLine="0"/>
        <w:rPr>
          <w:bCs/>
          <w:sz w:val="22"/>
          <w:szCs w:val="22"/>
        </w:rPr>
      </w:pPr>
      <w:r w:rsidRPr="00B16AB1">
        <w:rPr>
          <w:b/>
          <w:bCs/>
          <w:sz w:val="22"/>
          <w:szCs w:val="22"/>
        </w:rPr>
        <w:t xml:space="preserve">Day-to-day business practices, such as delivery of account statements, should be reviewed. </w:t>
      </w:r>
      <w:r w:rsidRPr="00B16AB1">
        <w:rPr>
          <w:bCs/>
          <w:sz w:val="22"/>
          <w:szCs w:val="22"/>
        </w:rPr>
        <w:t xml:space="preserve">The CBA should ensure that full monthly statements are provided to users of bank accounts, credit cards and investment products. For insurance products yearly statements with renewal notices should be sent at least two months in advance. The statements should always be delivered to the consumer, via mail or electronically. </w:t>
      </w:r>
    </w:p>
    <w:p w:rsidR="00B16AB1" w:rsidRPr="00B16AB1" w:rsidRDefault="00B16AB1" w:rsidP="00B16AB1">
      <w:pPr>
        <w:pStyle w:val="BodyText"/>
        <w:tabs>
          <w:tab w:val="left" w:pos="360"/>
          <w:tab w:val="left" w:pos="630"/>
        </w:tabs>
        <w:suppressAutoHyphens/>
        <w:spacing w:before="0" w:after="0" w:line="240" w:lineRule="auto"/>
        <w:rPr>
          <w:bCs/>
          <w:sz w:val="22"/>
          <w:szCs w:val="22"/>
        </w:rPr>
      </w:pPr>
    </w:p>
    <w:p w:rsidR="000E5EB3" w:rsidRDefault="00B16AB1" w:rsidP="00B16AB1">
      <w:pPr>
        <w:pStyle w:val="BodyText"/>
        <w:numPr>
          <w:ilvl w:val="0"/>
          <w:numId w:val="5"/>
        </w:numPr>
        <w:tabs>
          <w:tab w:val="left" w:pos="360"/>
          <w:tab w:val="left" w:pos="630"/>
        </w:tabs>
        <w:suppressAutoHyphens/>
        <w:spacing w:before="0" w:after="0" w:line="240" w:lineRule="auto"/>
        <w:ind w:left="0" w:firstLine="0"/>
        <w:rPr>
          <w:bCs/>
          <w:sz w:val="22"/>
          <w:szCs w:val="22"/>
        </w:rPr>
      </w:pPr>
      <w:r w:rsidRPr="00B16AB1">
        <w:rPr>
          <w:b/>
          <w:bCs/>
          <w:sz w:val="22"/>
          <w:szCs w:val="22"/>
        </w:rPr>
        <w:t>Monitoring of advertising by financial institutions should be strengthened.</w:t>
      </w:r>
      <w:r w:rsidRPr="00B16AB1">
        <w:rPr>
          <w:bCs/>
          <w:sz w:val="22"/>
          <w:szCs w:val="22"/>
        </w:rPr>
        <w:t xml:space="preserve"> Advertising is a primary method by which consumers learn about financial services. Yet deceptive or misleading advertising can cause consumers to make poorly informed decisions. The consumer protection department should </w:t>
      </w:r>
      <w:r w:rsidR="00A835B0">
        <w:rPr>
          <w:bCs/>
          <w:sz w:val="22"/>
          <w:szCs w:val="22"/>
        </w:rPr>
        <w:t xml:space="preserve">be enabled to </w:t>
      </w:r>
      <w:r w:rsidRPr="00B16AB1">
        <w:rPr>
          <w:bCs/>
          <w:sz w:val="22"/>
          <w:szCs w:val="22"/>
        </w:rPr>
        <w:t xml:space="preserve">strengthen monitoring of advertising, paying special attention to misleading advertising practices that use teaser interest rates, nominal interest rates, or any other misleading information. </w:t>
      </w:r>
      <w:r w:rsidR="000E5EB3">
        <w:rPr>
          <w:bCs/>
          <w:sz w:val="22"/>
          <w:szCs w:val="22"/>
        </w:rPr>
        <w:t xml:space="preserve">The CBA could cooperate with the Union of Banks of Armenia </w:t>
      </w:r>
      <w:r w:rsidR="000E5EB3" w:rsidRPr="000E5EB3">
        <w:rPr>
          <w:bCs/>
          <w:sz w:val="22"/>
          <w:szCs w:val="22"/>
        </w:rPr>
        <w:t>as there are rules against improper advertising in the Code of Banking Ethics and the UBA could become a stronger en</w:t>
      </w:r>
      <w:r w:rsidR="000E5EB3">
        <w:rPr>
          <w:bCs/>
          <w:sz w:val="22"/>
          <w:szCs w:val="22"/>
        </w:rPr>
        <w:t>forcer of a level playing field. Other financial sector associations and the c</w:t>
      </w:r>
      <w:r w:rsidRPr="00B16AB1">
        <w:rPr>
          <w:bCs/>
          <w:sz w:val="22"/>
          <w:szCs w:val="22"/>
        </w:rPr>
        <w:t xml:space="preserve">onsumer protection organizations should </w:t>
      </w:r>
      <w:r w:rsidR="000E5EB3">
        <w:rPr>
          <w:bCs/>
          <w:sz w:val="22"/>
          <w:szCs w:val="22"/>
        </w:rPr>
        <w:t xml:space="preserve">also </w:t>
      </w:r>
      <w:r w:rsidRPr="00B16AB1">
        <w:rPr>
          <w:bCs/>
          <w:sz w:val="22"/>
          <w:szCs w:val="22"/>
        </w:rPr>
        <w:t>be encouraged to participate in the monitoring process</w:t>
      </w:r>
      <w:r w:rsidR="000E5EB3">
        <w:rPr>
          <w:bCs/>
          <w:sz w:val="22"/>
          <w:szCs w:val="22"/>
        </w:rPr>
        <w:t xml:space="preserve">. </w:t>
      </w:r>
    </w:p>
    <w:p w:rsidR="000E5EB3" w:rsidRDefault="000E5EB3" w:rsidP="000E5EB3">
      <w:pPr>
        <w:pStyle w:val="ListParagraph"/>
        <w:rPr>
          <w:bCs/>
          <w:sz w:val="22"/>
          <w:szCs w:val="22"/>
        </w:rPr>
      </w:pPr>
    </w:p>
    <w:p w:rsidR="00A835B0" w:rsidRDefault="000E5EB3" w:rsidP="00B16AB1">
      <w:pPr>
        <w:pStyle w:val="BodyText"/>
        <w:numPr>
          <w:ilvl w:val="0"/>
          <w:numId w:val="5"/>
        </w:numPr>
        <w:tabs>
          <w:tab w:val="left" w:pos="360"/>
          <w:tab w:val="left" w:pos="630"/>
        </w:tabs>
        <w:suppressAutoHyphens/>
        <w:spacing w:before="0" w:after="0" w:line="240" w:lineRule="auto"/>
        <w:ind w:left="0" w:firstLine="0"/>
        <w:rPr>
          <w:bCs/>
          <w:sz w:val="22"/>
          <w:szCs w:val="22"/>
        </w:rPr>
      </w:pPr>
      <w:r w:rsidRPr="000E5EB3">
        <w:rPr>
          <w:b/>
          <w:bCs/>
          <w:sz w:val="22"/>
          <w:szCs w:val="22"/>
        </w:rPr>
        <w:t>Examples of misleading advertising should be communicated to warn the public.</w:t>
      </w:r>
      <w:r>
        <w:rPr>
          <w:bCs/>
          <w:sz w:val="22"/>
          <w:szCs w:val="22"/>
        </w:rPr>
        <w:t xml:space="preserve"> </w:t>
      </w:r>
      <w:r w:rsidRPr="000E5EB3">
        <w:rPr>
          <w:bCs/>
          <w:sz w:val="22"/>
          <w:szCs w:val="22"/>
        </w:rPr>
        <w:t xml:space="preserve">The CBA should make its decisions regarding unfair advertising public and explain why it considers any specific advertising in breach of regulations. These rulings can then inform </w:t>
      </w:r>
      <w:r>
        <w:rPr>
          <w:bCs/>
          <w:sz w:val="22"/>
          <w:szCs w:val="22"/>
        </w:rPr>
        <w:t>financial institutions</w:t>
      </w:r>
      <w:r w:rsidRPr="000E5EB3">
        <w:rPr>
          <w:bCs/>
          <w:sz w:val="22"/>
          <w:szCs w:val="22"/>
        </w:rPr>
        <w:t xml:space="preserve"> and their advertising agencies as to what is still an acceptable practice and what forms of advertising will not be allowed.</w:t>
      </w:r>
      <w:r w:rsidR="00B16AB1" w:rsidRPr="00B16AB1">
        <w:rPr>
          <w:bCs/>
          <w:sz w:val="22"/>
          <w:szCs w:val="22"/>
        </w:rPr>
        <w:t xml:space="preserve"> </w:t>
      </w:r>
      <w:r>
        <w:rPr>
          <w:bCs/>
          <w:sz w:val="22"/>
          <w:szCs w:val="22"/>
        </w:rPr>
        <w:t>T</w:t>
      </w:r>
      <w:r w:rsidR="00B16AB1" w:rsidRPr="00B16AB1">
        <w:rPr>
          <w:bCs/>
          <w:sz w:val="22"/>
          <w:szCs w:val="22"/>
        </w:rPr>
        <w:t xml:space="preserve">he CBA should </w:t>
      </w:r>
      <w:r>
        <w:rPr>
          <w:bCs/>
          <w:sz w:val="22"/>
          <w:szCs w:val="22"/>
        </w:rPr>
        <w:t xml:space="preserve">also </w:t>
      </w:r>
      <w:r w:rsidR="00B16AB1" w:rsidRPr="00B16AB1">
        <w:rPr>
          <w:bCs/>
          <w:sz w:val="22"/>
          <w:szCs w:val="22"/>
        </w:rPr>
        <w:t xml:space="preserve">coordinate the efforts of all stakeholders </w:t>
      </w:r>
      <w:r>
        <w:rPr>
          <w:bCs/>
          <w:sz w:val="22"/>
          <w:szCs w:val="22"/>
        </w:rPr>
        <w:t xml:space="preserve">in monitoring of unfair advertising and publicly </w:t>
      </w:r>
      <w:r w:rsidR="00B16AB1" w:rsidRPr="00B16AB1">
        <w:rPr>
          <w:bCs/>
          <w:sz w:val="22"/>
          <w:szCs w:val="22"/>
        </w:rPr>
        <w:t xml:space="preserve">present a report on trends in misleading advertising every 3-6 months. </w:t>
      </w:r>
    </w:p>
    <w:p w:rsidR="00A835B0" w:rsidRDefault="00A835B0" w:rsidP="00A835B0">
      <w:pPr>
        <w:pStyle w:val="ListParagraph"/>
        <w:rPr>
          <w:bCs/>
          <w:sz w:val="22"/>
          <w:szCs w:val="22"/>
        </w:rPr>
      </w:pPr>
    </w:p>
    <w:p w:rsidR="00BE5A22" w:rsidRDefault="00B16AB1" w:rsidP="00B16AB1">
      <w:pPr>
        <w:pStyle w:val="BodyText"/>
        <w:numPr>
          <w:ilvl w:val="0"/>
          <w:numId w:val="5"/>
        </w:numPr>
        <w:tabs>
          <w:tab w:val="left" w:pos="360"/>
          <w:tab w:val="left" w:pos="630"/>
        </w:tabs>
        <w:suppressAutoHyphens/>
        <w:spacing w:before="0" w:after="0" w:line="240" w:lineRule="auto"/>
        <w:ind w:left="0" w:firstLine="0"/>
        <w:rPr>
          <w:bCs/>
          <w:sz w:val="22"/>
          <w:szCs w:val="22"/>
        </w:rPr>
      </w:pPr>
      <w:r w:rsidRPr="00A835B0">
        <w:rPr>
          <w:b/>
          <w:bCs/>
          <w:sz w:val="22"/>
          <w:szCs w:val="22"/>
        </w:rPr>
        <w:t>Standards of training for retail sales personnel should be improved.</w:t>
      </w:r>
      <w:r w:rsidRPr="00B16AB1">
        <w:rPr>
          <w:bCs/>
          <w:sz w:val="22"/>
          <w:szCs w:val="22"/>
        </w:rPr>
        <w:t xml:space="preserve"> Consumers’ understanding is significantly influenced by those who sell financial products and how they explain the products to their customers. To ensure that the agents (whether employees of financial institutions or third-party intermediaries) are well equipped to provide information to the clients, a system that ensures these agents are properly trained and equipped with sufficient knowledge should be set up. In addition, it should be clear that financial institutions are fully liable for the sales practices of all agents acting on their behalf, whether directly or acting through third-party distribution networks. </w:t>
      </w:r>
    </w:p>
    <w:p w:rsidR="00BE5A22" w:rsidRDefault="00BE5A22" w:rsidP="00BE5A22">
      <w:pPr>
        <w:pStyle w:val="ListParagraph"/>
        <w:rPr>
          <w:bCs/>
          <w:sz w:val="22"/>
          <w:szCs w:val="22"/>
        </w:rPr>
      </w:pPr>
    </w:p>
    <w:p w:rsidR="00B16AB1" w:rsidRPr="00B16AB1" w:rsidRDefault="00BE5A22" w:rsidP="00B16AB1">
      <w:pPr>
        <w:pStyle w:val="BodyText"/>
        <w:numPr>
          <w:ilvl w:val="0"/>
          <w:numId w:val="5"/>
        </w:numPr>
        <w:tabs>
          <w:tab w:val="left" w:pos="360"/>
          <w:tab w:val="left" w:pos="630"/>
        </w:tabs>
        <w:suppressAutoHyphens/>
        <w:spacing w:before="0" w:after="0" w:line="240" w:lineRule="auto"/>
        <w:ind w:left="0" w:firstLine="0"/>
        <w:rPr>
          <w:bCs/>
          <w:sz w:val="22"/>
          <w:szCs w:val="22"/>
        </w:rPr>
      </w:pPr>
      <w:r w:rsidRPr="00BE5A22">
        <w:rPr>
          <w:b/>
          <w:bCs/>
          <w:sz w:val="22"/>
          <w:szCs w:val="22"/>
        </w:rPr>
        <w:t>All sales agents should be licensed and required to undergo regular testing.</w:t>
      </w:r>
      <w:r>
        <w:rPr>
          <w:bCs/>
          <w:sz w:val="22"/>
          <w:szCs w:val="22"/>
        </w:rPr>
        <w:t xml:space="preserve"> </w:t>
      </w:r>
      <w:r w:rsidR="00B16AB1" w:rsidRPr="00B16AB1">
        <w:rPr>
          <w:bCs/>
          <w:sz w:val="22"/>
          <w:szCs w:val="22"/>
        </w:rPr>
        <w:t xml:space="preserve">The CBA and the industry associations should define minimum training and knowledge standards and </w:t>
      </w:r>
      <w:r w:rsidR="00B16AB1" w:rsidRPr="00B16AB1">
        <w:rPr>
          <w:bCs/>
          <w:sz w:val="22"/>
          <w:szCs w:val="22"/>
        </w:rPr>
        <w:lastRenderedPageBreak/>
        <w:t>establish regularly repeated examination procedures to test the knowledge</w:t>
      </w:r>
      <w:r>
        <w:rPr>
          <w:bCs/>
          <w:sz w:val="22"/>
          <w:szCs w:val="22"/>
        </w:rPr>
        <w:t xml:space="preserve"> of sales agents</w:t>
      </w:r>
      <w:r w:rsidR="00B16AB1" w:rsidRPr="00B16AB1">
        <w:rPr>
          <w:bCs/>
          <w:sz w:val="22"/>
          <w:szCs w:val="22"/>
        </w:rPr>
        <w:t xml:space="preserve">. The testing should be the key prerequisite besides fit-and-proper requirements for a license to sell financial products to the public, sole entrepreneurs and micro- and small-size businesses. There should also be relevant sanctions available to the CBA, including barring an individual from selling financial products for misrepresenting information or acting in bad faith towards clients. The testing of these requirements could be conducted by educational institutions, NGOs or financial associations with the CBA approving and monitoring the testing process and content. </w:t>
      </w:r>
    </w:p>
    <w:p w:rsidR="00B16AB1" w:rsidRPr="00B16AB1" w:rsidRDefault="00B16AB1" w:rsidP="00B16AB1">
      <w:pPr>
        <w:pStyle w:val="BodyText"/>
        <w:tabs>
          <w:tab w:val="left" w:pos="360"/>
          <w:tab w:val="left" w:pos="630"/>
        </w:tabs>
        <w:suppressAutoHyphens/>
        <w:spacing w:before="0" w:after="0" w:line="240" w:lineRule="auto"/>
        <w:rPr>
          <w:bCs/>
          <w:sz w:val="22"/>
          <w:szCs w:val="22"/>
        </w:rPr>
      </w:pPr>
    </w:p>
    <w:p w:rsidR="00625156" w:rsidRDefault="00B16AB1" w:rsidP="00B16AB1">
      <w:pPr>
        <w:pStyle w:val="BodyText"/>
        <w:numPr>
          <w:ilvl w:val="0"/>
          <w:numId w:val="5"/>
        </w:numPr>
        <w:tabs>
          <w:tab w:val="left" w:pos="360"/>
          <w:tab w:val="left" w:pos="630"/>
        </w:tabs>
        <w:suppressAutoHyphens/>
        <w:spacing w:before="0" w:after="0" w:line="240" w:lineRule="auto"/>
        <w:ind w:left="0" w:firstLine="0"/>
        <w:rPr>
          <w:bCs/>
          <w:sz w:val="22"/>
          <w:szCs w:val="22"/>
        </w:rPr>
      </w:pPr>
      <w:r w:rsidRPr="00C74C81">
        <w:rPr>
          <w:b/>
          <w:bCs/>
          <w:sz w:val="22"/>
          <w:szCs w:val="22"/>
        </w:rPr>
        <w:t xml:space="preserve">Business practices of insurers will need special attention. </w:t>
      </w:r>
      <w:r w:rsidRPr="00B16AB1">
        <w:rPr>
          <w:bCs/>
          <w:sz w:val="22"/>
          <w:szCs w:val="22"/>
        </w:rPr>
        <w:t>The CBA should update regulation on claims practices, requiring timely investigation and payment of claims and prohibiting misrepresentation of policy terms and conditions in sales practices and advertising. As the motor third party liability (MTPL) insurance is still a new product on the Armenian market, the CBA and the Mediator should pay special attention to complaints about the insurance practices in this area. Also, on-site inspections of the insurers should include a detailed analysis of claims settlement for MTPL insurance. Should the claims-handling practice be unsatisfactory, either educational and/or regulatory action should be implemented to ensure fair and swift claims settlement.</w:t>
      </w:r>
      <w:r w:rsidR="00A16527">
        <w:rPr>
          <w:bCs/>
          <w:sz w:val="22"/>
          <w:szCs w:val="22"/>
        </w:rPr>
        <w:t xml:space="preserve"> </w:t>
      </w:r>
    </w:p>
    <w:p w:rsidR="00A16527" w:rsidRDefault="00A16527" w:rsidP="00A16527">
      <w:pPr>
        <w:pStyle w:val="ListParagraph"/>
        <w:rPr>
          <w:bCs/>
          <w:sz w:val="22"/>
          <w:szCs w:val="22"/>
        </w:rPr>
      </w:pPr>
    </w:p>
    <w:p w:rsidR="00A16527" w:rsidRPr="00B16AB1" w:rsidRDefault="00A16527" w:rsidP="00B16AB1">
      <w:pPr>
        <w:pStyle w:val="BodyText"/>
        <w:numPr>
          <w:ilvl w:val="0"/>
          <w:numId w:val="5"/>
        </w:numPr>
        <w:tabs>
          <w:tab w:val="left" w:pos="360"/>
          <w:tab w:val="left" w:pos="630"/>
        </w:tabs>
        <w:suppressAutoHyphens/>
        <w:spacing w:before="0" w:after="0" w:line="240" w:lineRule="auto"/>
        <w:ind w:left="0" w:firstLine="0"/>
        <w:rPr>
          <w:bCs/>
          <w:sz w:val="22"/>
          <w:szCs w:val="22"/>
        </w:rPr>
      </w:pPr>
      <w:r w:rsidRPr="00A16527">
        <w:rPr>
          <w:b/>
          <w:bCs/>
          <w:sz w:val="22"/>
          <w:szCs w:val="22"/>
        </w:rPr>
        <w:t>In the securities sector, companies should be liable for both oral and written misrepresentations.</w:t>
      </w:r>
      <w:r>
        <w:rPr>
          <w:bCs/>
          <w:sz w:val="22"/>
          <w:szCs w:val="22"/>
        </w:rPr>
        <w:t xml:space="preserve"> </w:t>
      </w:r>
      <w:r w:rsidRPr="00A16527">
        <w:rPr>
          <w:bCs/>
          <w:sz w:val="22"/>
          <w:szCs w:val="22"/>
        </w:rPr>
        <w:t xml:space="preserve">The civil liabilities section of the </w:t>
      </w:r>
      <w:r>
        <w:rPr>
          <w:bCs/>
          <w:sz w:val="22"/>
          <w:szCs w:val="22"/>
        </w:rPr>
        <w:t>law on securities market (LSM)</w:t>
      </w:r>
      <w:r w:rsidRPr="00A16527">
        <w:rPr>
          <w:bCs/>
          <w:sz w:val="22"/>
          <w:szCs w:val="22"/>
        </w:rPr>
        <w:t xml:space="preserve"> needs to be broadened to include oral misrepresentations, in addition to written misrepresentations. In addition, it needs to include the failure to provide to a customer the information required by the LSM and relevant regulations.</w:t>
      </w:r>
    </w:p>
    <w:p w:rsidR="00C74C81" w:rsidRPr="001908AA" w:rsidRDefault="00C74C81" w:rsidP="001908AA">
      <w:pPr>
        <w:pStyle w:val="BodyText"/>
        <w:tabs>
          <w:tab w:val="left" w:pos="360"/>
          <w:tab w:val="left" w:pos="630"/>
        </w:tabs>
        <w:suppressAutoHyphens/>
        <w:spacing w:before="0" w:after="0" w:line="240" w:lineRule="auto"/>
        <w:rPr>
          <w:b/>
          <w:bCs/>
          <w:sz w:val="22"/>
          <w:szCs w:val="22"/>
        </w:rPr>
      </w:pPr>
    </w:p>
    <w:p w:rsidR="00057AAD" w:rsidRPr="00E06713" w:rsidRDefault="00CA276A" w:rsidP="002D6E64">
      <w:pPr>
        <w:pStyle w:val="BodyText"/>
        <w:numPr>
          <w:ilvl w:val="0"/>
          <w:numId w:val="5"/>
        </w:numPr>
        <w:tabs>
          <w:tab w:val="left" w:pos="360"/>
          <w:tab w:val="left" w:pos="630"/>
        </w:tabs>
        <w:suppressAutoHyphens/>
        <w:spacing w:before="0" w:after="0" w:line="240" w:lineRule="auto"/>
        <w:ind w:left="0" w:firstLine="0"/>
        <w:rPr>
          <w:bCs/>
          <w:sz w:val="22"/>
          <w:szCs w:val="22"/>
        </w:rPr>
      </w:pPr>
      <w:r>
        <w:rPr>
          <w:b/>
          <w:bCs/>
          <w:sz w:val="22"/>
          <w:szCs w:val="22"/>
        </w:rPr>
        <w:t>D</w:t>
      </w:r>
      <w:r w:rsidR="00057AAD" w:rsidRPr="00E06713">
        <w:rPr>
          <w:b/>
          <w:bCs/>
          <w:sz w:val="22"/>
          <w:szCs w:val="22"/>
        </w:rPr>
        <w:t xml:space="preserve">isclosure of </w:t>
      </w:r>
      <w:r w:rsidR="00834C1C">
        <w:rPr>
          <w:b/>
          <w:bCs/>
          <w:sz w:val="22"/>
          <w:szCs w:val="22"/>
        </w:rPr>
        <w:t>CBA'</w:t>
      </w:r>
      <w:r>
        <w:rPr>
          <w:b/>
          <w:bCs/>
          <w:sz w:val="22"/>
          <w:szCs w:val="22"/>
        </w:rPr>
        <w:t xml:space="preserve">s </w:t>
      </w:r>
      <w:r w:rsidR="00057AAD" w:rsidRPr="00E06713">
        <w:rPr>
          <w:b/>
          <w:bCs/>
          <w:sz w:val="22"/>
          <w:szCs w:val="22"/>
        </w:rPr>
        <w:t xml:space="preserve">supervisory </w:t>
      </w:r>
      <w:r>
        <w:rPr>
          <w:b/>
          <w:bCs/>
          <w:sz w:val="22"/>
          <w:szCs w:val="22"/>
        </w:rPr>
        <w:t xml:space="preserve">authority over a financial provider </w:t>
      </w:r>
      <w:r w:rsidR="00834C1C">
        <w:rPr>
          <w:b/>
          <w:bCs/>
          <w:sz w:val="22"/>
          <w:szCs w:val="22"/>
        </w:rPr>
        <w:t>should be required</w:t>
      </w:r>
      <w:r w:rsidR="00057AAD" w:rsidRPr="00E06713">
        <w:rPr>
          <w:b/>
          <w:bCs/>
          <w:sz w:val="22"/>
          <w:szCs w:val="22"/>
        </w:rPr>
        <w:t xml:space="preserve">. </w:t>
      </w:r>
      <w:r w:rsidR="00057AAD" w:rsidRPr="00E06713">
        <w:rPr>
          <w:bCs/>
          <w:sz w:val="22"/>
          <w:szCs w:val="22"/>
        </w:rPr>
        <w:t xml:space="preserve">In their advertising, all financial </w:t>
      </w:r>
      <w:r>
        <w:rPr>
          <w:bCs/>
          <w:sz w:val="22"/>
          <w:szCs w:val="22"/>
        </w:rPr>
        <w:t xml:space="preserve">providers </w:t>
      </w:r>
      <w:r w:rsidR="00057AAD" w:rsidRPr="00E06713">
        <w:rPr>
          <w:bCs/>
          <w:sz w:val="22"/>
          <w:szCs w:val="22"/>
        </w:rPr>
        <w:t>should be obliged to state publicly that they are regulated</w:t>
      </w:r>
      <w:r w:rsidR="00834C1C">
        <w:rPr>
          <w:bCs/>
          <w:sz w:val="22"/>
          <w:szCs w:val="22"/>
        </w:rPr>
        <w:t xml:space="preserve"> by the CBA</w:t>
      </w:r>
      <w:r w:rsidR="00057AAD" w:rsidRPr="00E06713">
        <w:rPr>
          <w:bCs/>
          <w:sz w:val="22"/>
          <w:szCs w:val="22"/>
        </w:rPr>
        <w:t xml:space="preserve">. In so doing, financial firms separate themselves in their advertising from </w:t>
      </w:r>
      <w:r w:rsidR="00834C1C">
        <w:rPr>
          <w:bCs/>
          <w:sz w:val="22"/>
          <w:szCs w:val="22"/>
        </w:rPr>
        <w:t>non-regulated entities</w:t>
      </w:r>
      <w:r w:rsidR="00057AAD" w:rsidRPr="00E06713">
        <w:rPr>
          <w:bCs/>
          <w:sz w:val="22"/>
          <w:szCs w:val="22"/>
        </w:rPr>
        <w:t xml:space="preserve"> and help consumers decide which institutions are safe and reliable for purposes of entrusting their finances.</w:t>
      </w:r>
    </w:p>
    <w:p w:rsidR="00057AAD" w:rsidRPr="00E06713" w:rsidRDefault="00057AAD" w:rsidP="002D6E64">
      <w:pPr>
        <w:pStyle w:val="ListParagraph"/>
        <w:rPr>
          <w:bCs/>
          <w:sz w:val="22"/>
          <w:szCs w:val="22"/>
        </w:rPr>
      </w:pPr>
    </w:p>
    <w:p w:rsidR="00057AAD" w:rsidRPr="00E06713" w:rsidRDefault="00057AAD" w:rsidP="002D6E64">
      <w:pPr>
        <w:pStyle w:val="BodyText"/>
        <w:numPr>
          <w:ilvl w:val="0"/>
          <w:numId w:val="5"/>
        </w:numPr>
        <w:tabs>
          <w:tab w:val="left" w:pos="360"/>
          <w:tab w:val="left" w:pos="630"/>
        </w:tabs>
        <w:suppressAutoHyphens/>
        <w:spacing w:before="0" w:after="0" w:line="240" w:lineRule="auto"/>
        <w:ind w:left="0" w:firstLine="0"/>
        <w:rPr>
          <w:bCs/>
          <w:sz w:val="22"/>
          <w:szCs w:val="22"/>
        </w:rPr>
      </w:pPr>
      <w:r w:rsidRPr="00E06713">
        <w:rPr>
          <w:b/>
          <w:bCs/>
          <w:sz w:val="22"/>
          <w:szCs w:val="22"/>
        </w:rPr>
        <w:t xml:space="preserve">It would also be helpful for the </w:t>
      </w:r>
      <w:r w:rsidR="00834C1C">
        <w:rPr>
          <w:b/>
          <w:bCs/>
          <w:sz w:val="22"/>
          <w:szCs w:val="22"/>
        </w:rPr>
        <w:t>CBA</w:t>
      </w:r>
      <w:r w:rsidRPr="00E06713">
        <w:rPr>
          <w:b/>
          <w:bCs/>
          <w:sz w:val="22"/>
          <w:szCs w:val="22"/>
        </w:rPr>
        <w:t xml:space="preserve"> to publish consumer alerts of possible frauds</w:t>
      </w:r>
      <w:r w:rsidR="00CA276A">
        <w:rPr>
          <w:b/>
          <w:bCs/>
          <w:sz w:val="22"/>
          <w:szCs w:val="22"/>
        </w:rPr>
        <w:t xml:space="preserve"> </w:t>
      </w:r>
      <w:r w:rsidR="00834C1C">
        <w:rPr>
          <w:b/>
          <w:bCs/>
          <w:sz w:val="22"/>
          <w:szCs w:val="22"/>
        </w:rPr>
        <w:t xml:space="preserve">and unfair business practices </w:t>
      </w:r>
      <w:r w:rsidR="00CA276A">
        <w:rPr>
          <w:b/>
          <w:bCs/>
          <w:sz w:val="22"/>
          <w:szCs w:val="22"/>
        </w:rPr>
        <w:t xml:space="preserve">on </w:t>
      </w:r>
      <w:r w:rsidR="00834C1C">
        <w:rPr>
          <w:b/>
          <w:bCs/>
          <w:sz w:val="22"/>
          <w:szCs w:val="22"/>
        </w:rPr>
        <w:t>all available</w:t>
      </w:r>
      <w:r w:rsidR="00CA276A">
        <w:rPr>
          <w:b/>
          <w:bCs/>
          <w:sz w:val="22"/>
          <w:szCs w:val="22"/>
        </w:rPr>
        <w:t xml:space="preserve"> media channels</w:t>
      </w:r>
      <w:r w:rsidRPr="00E06713">
        <w:rPr>
          <w:bCs/>
          <w:sz w:val="22"/>
          <w:szCs w:val="22"/>
        </w:rPr>
        <w:t>. Where all financial institutions are required to be licensed</w:t>
      </w:r>
      <w:r w:rsidR="00834C1C">
        <w:rPr>
          <w:bCs/>
          <w:sz w:val="22"/>
          <w:szCs w:val="22"/>
        </w:rPr>
        <w:t xml:space="preserve"> and when mystery shopping is used to monitor market practices</w:t>
      </w:r>
      <w:r w:rsidRPr="00E06713">
        <w:rPr>
          <w:bCs/>
          <w:sz w:val="22"/>
          <w:szCs w:val="22"/>
        </w:rPr>
        <w:t>, the supervisory agenc</w:t>
      </w:r>
      <w:r w:rsidR="00834C1C">
        <w:rPr>
          <w:bCs/>
          <w:sz w:val="22"/>
          <w:szCs w:val="22"/>
        </w:rPr>
        <w:t>y</w:t>
      </w:r>
      <w:r w:rsidRPr="00E06713">
        <w:rPr>
          <w:bCs/>
          <w:sz w:val="22"/>
          <w:szCs w:val="22"/>
        </w:rPr>
        <w:t xml:space="preserve"> </w:t>
      </w:r>
      <w:r w:rsidR="00834C1C">
        <w:rPr>
          <w:bCs/>
          <w:sz w:val="22"/>
          <w:szCs w:val="22"/>
        </w:rPr>
        <w:t>should</w:t>
      </w:r>
      <w:r w:rsidRPr="00E06713">
        <w:rPr>
          <w:bCs/>
          <w:sz w:val="22"/>
          <w:szCs w:val="22"/>
        </w:rPr>
        <w:t xml:space="preserve"> be effective in issuing consumer alerts. </w:t>
      </w:r>
      <w:r w:rsidRPr="00E06713">
        <w:rPr>
          <w:sz w:val="22"/>
        </w:rPr>
        <w:t>Making this information available by means that reach the poor and unsophisticated public is particularly important. T</w:t>
      </w:r>
      <w:r w:rsidRPr="00E06713">
        <w:rPr>
          <w:bCs/>
          <w:sz w:val="22"/>
          <w:szCs w:val="22"/>
        </w:rPr>
        <w:t xml:space="preserve">he </w:t>
      </w:r>
      <w:r w:rsidR="00834C1C">
        <w:rPr>
          <w:bCs/>
          <w:sz w:val="22"/>
          <w:szCs w:val="22"/>
        </w:rPr>
        <w:t>CBA</w:t>
      </w:r>
      <w:r w:rsidRPr="00E06713">
        <w:rPr>
          <w:bCs/>
          <w:sz w:val="22"/>
          <w:szCs w:val="22"/>
        </w:rPr>
        <w:t xml:space="preserve"> can create a special section on its website for consumer alerts, and updates </w:t>
      </w:r>
      <w:r w:rsidR="00834C1C">
        <w:rPr>
          <w:bCs/>
          <w:sz w:val="22"/>
          <w:szCs w:val="22"/>
        </w:rPr>
        <w:t>should</w:t>
      </w:r>
      <w:r w:rsidRPr="00E06713">
        <w:rPr>
          <w:bCs/>
          <w:sz w:val="22"/>
          <w:szCs w:val="22"/>
        </w:rPr>
        <w:t xml:space="preserve"> be shared with the </w:t>
      </w:r>
      <w:r w:rsidR="00834C1C">
        <w:rPr>
          <w:bCs/>
          <w:sz w:val="22"/>
          <w:szCs w:val="22"/>
        </w:rPr>
        <w:t>media</w:t>
      </w:r>
      <w:r w:rsidRPr="00E06713">
        <w:rPr>
          <w:bCs/>
          <w:sz w:val="22"/>
          <w:szCs w:val="22"/>
        </w:rPr>
        <w:t>, so they get retransmitted to the general public.</w:t>
      </w:r>
      <w:r w:rsidR="00CA276A">
        <w:rPr>
          <w:bCs/>
          <w:sz w:val="22"/>
          <w:szCs w:val="22"/>
        </w:rPr>
        <w:t xml:space="preserve"> </w:t>
      </w:r>
    </w:p>
    <w:p w:rsidR="00A16FD4" w:rsidRDefault="00A16FD4" w:rsidP="00A16FD4">
      <w:pPr>
        <w:pStyle w:val="ListParagraph"/>
        <w:ind w:left="0"/>
        <w:jc w:val="center"/>
        <w:rPr>
          <w:bCs/>
          <w:sz w:val="22"/>
          <w:szCs w:val="22"/>
        </w:rPr>
      </w:pPr>
    </w:p>
    <w:p w:rsidR="00057AAD" w:rsidRPr="00E06713" w:rsidRDefault="00057AAD" w:rsidP="00733370">
      <w:pPr>
        <w:pStyle w:val="BodyText"/>
        <w:numPr>
          <w:ilvl w:val="0"/>
          <w:numId w:val="5"/>
        </w:numPr>
        <w:tabs>
          <w:tab w:val="left" w:pos="360"/>
          <w:tab w:val="left" w:pos="630"/>
        </w:tabs>
        <w:suppressAutoHyphens/>
        <w:spacing w:before="0" w:after="0" w:line="240" w:lineRule="auto"/>
        <w:ind w:left="0" w:firstLine="0"/>
        <w:rPr>
          <w:bCs/>
          <w:sz w:val="22"/>
          <w:szCs w:val="22"/>
        </w:rPr>
      </w:pPr>
      <w:r w:rsidRPr="00E06713">
        <w:rPr>
          <w:b/>
          <w:bCs/>
          <w:sz w:val="22"/>
          <w:szCs w:val="22"/>
        </w:rPr>
        <w:t xml:space="preserve">The </w:t>
      </w:r>
      <w:r w:rsidR="00834C1C">
        <w:rPr>
          <w:b/>
          <w:bCs/>
          <w:sz w:val="22"/>
          <w:szCs w:val="22"/>
        </w:rPr>
        <w:t>CBA</w:t>
      </w:r>
      <w:r w:rsidRPr="00E06713">
        <w:rPr>
          <w:b/>
          <w:bCs/>
          <w:sz w:val="22"/>
          <w:szCs w:val="22"/>
        </w:rPr>
        <w:t xml:space="preserve"> should evaluate whether tying and bundling practices should be permitted at all or in </w:t>
      </w:r>
      <w:r w:rsidR="00AB6862">
        <w:rPr>
          <w:b/>
          <w:bCs/>
          <w:sz w:val="22"/>
          <w:szCs w:val="22"/>
        </w:rPr>
        <w:t>certain</w:t>
      </w:r>
      <w:r w:rsidRPr="00E06713">
        <w:rPr>
          <w:b/>
          <w:bCs/>
          <w:sz w:val="22"/>
          <w:szCs w:val="22"/>
        </w:rPr>
        <w:t xml:space="preserve"> cases</w:t>
      </w:r>
      <w:r w:rsidRPr="00E06713">
        <w:rPr>
          <w:rStyle w:val="FootnoteReference"/>
          <w:b/>
          <w:sz w:val="22"/>
          <w:szCs w:val="22"/>
        </w:rPr>
        <w:footnoteReference w:id="13"/>
      </w:r>
      <w:r w:rsidRPr="00E06713">
        <w:rPr>
          <w:b/>
          <w:bCs/>
          <w:sz w:val="22"/>
          <w:szCs w:val="22"/>
        </w:rPr>
        <w:t>.</w:t>
      </w:r>
      <w:r w:rsidRPr="00E06713">
        <w:rPr>
          <w:bCs/>
          <w:sz w:val="22"/>
          <w:szCs w:val="22"/>
        </w:rPr>
        <w:t xml:space="preserve"> </w:t>
      </w:r>
      <w:r w:rsidR="00390775">
        <w:rPr>
          <w:bCs/>
          <w:sz w:val="22"/>
          <w:szCs w:val="22"/>
        </w:rPr>
        <w:t xml:space="preserve">The </w:t>
      </w:r>
      <w:r w:rsidR="00834C1C">
        <w:rPr>
          <w:bCs/>
          <w:sz w:val="22"/>
          <w:szCs w:val="22"/>
        </w:rPr>
        <w:t xml:space="preserve">CBA </w:t>
      </w:r>
      <w:r w:rsidR="00390775">
        <w:rPr>
          <w:bCs/>
          <w:sz w:val="22"/>
          <w:szCs w:val="22"/>
        </w:rPr>
        <w:t>should analyze specific circumstances in which insurance can be required to be mandatory</w:t>
      </w:r>
      <w:r w:rsidR="00390775" w:rsidRPr="00390775">
        <w:rPr>
          <w:bCs/>
          <w:sz w:val="22"/>
          <w:szCs w:val="22"/>
        </w:rPr>
        <w:t>.</w:t>
      </w:r>
      <w:r w:rsidR="00390775">
        <w:rPr>
          <w:bCs/>
          <w:sz w:val="22"/>
          <w:szCs w:val="22"/>
        </w:rPr>
        <w:t xml:space="preserve"> </w:t>
      </w:r>
      <w:r w:rsidR="00443499" w:rsidRPr="00443499">
        <w:rPr>
          <w:bCs/>
          <w:sz w:val="22"/>
          <w:szCs w:val="22"/>
        </w:rPr>
        <w:t xml:space="preserve">The </w:t>
      </w:r>
      <w:r w:rsidR="00443499">
        <w:rPr>
          <w:bCs/>
          <w:sz w:val="22"/>
          <w:szCs w:val="22"/>
        </w:rPr>
        <w:t xml:space="preserve">CBA </w:t>
      </w:r>
      <w:r w:rsidR="00D00ABA">
        <w:rPr>
          <w:bCs/>
          <w:sz w:val="22"/>
          <w:szCs w:val="22"/>
        </w:rPr>
        <w:t xml:space="preserve">also </w:t>
      </w:r>
      <w:r w:rsidR="00443499" w:rsidRPr="00443499">
        <w:rPr>
          <w:bCs/>
          <w:sz w:val="22"/>
          <w:szCs w:val="22"/>
        </w:rPr>
        <w:t>should – in cooperation with consumer representatives</w:t>
      </w:r>
      <w:r w:rsidR="00CA5E1B">
        <w:rPr>
          <w:bCs/>
          <w:sz w:val="22"/>
          <w:szCs w:val="22"/>
        </w:rPr>
        <w:t xml:space="preserve"> and other relevant stakeholders</w:t>
      </w:r>
      <w:r w:rsidR="00443499" w:rsidRPr="00443499">
        <w:rPr>
          <w:bCs/>
          <w:sz w:val="22"/>
          <w:szCs w:val="22"/>
        </w:rPr>
        <w:t xml:space="preserve"> – conduct regular studies of selling tied products</w:t>
      </w:r>
      <w:r w:rsidR="00D00ABA">
        <w:rPr>
          <w:bCs/>
          <w:sz w:val="22"/>
          <w:szCs w:val="22"/>
        </w:rPr>
        <w:t xml:space="preserve"> and the profit this practice brings to financial institutions</w:t>
      </w:r>
      <w:r w:rsidR="00443499" w:rsidRPr="00443499">
        <w:rPr>
          <w:bCs/>
          <w:sz w:val="22"/>
          <w:szCs w:val="22"/>
        </w:rPr>
        <w:t xml:space="preserve">. Each consumer should always have at least two insurance options from different insurers to choose from and the </w:t>
      </w:r>
      <w:r w:rsidR="00443499">
        <w:rPr>
          <w:bCs/>
          <w:sz w:val="22"/>
          <w:szCs w:val="22"/>
        </w:rPr>
        <w:t xml:space="preserve">CBA </w:t>
      </w:r>
      <w:r w:rsidR="00443499" w:rsidRPr="00443499">
        <w:rPr>
          <w:bCs/>
          <w:sz w:val="22"/>
          <w:szCs w:val="22"/>
        </w:rPr>
        <w:t>should monitor whether prices of the offered insurance options reflect competitive environment.</w:t>
      </w:r>
      <w:r w:rsidR="00443499">
        <w:rPr>
          <w:bCs/>
          <w:sz w:val="22"/>
          <w:szCs w:val="22"/>
        </w:rPr>
        <w:t xml:space="preserve"> </w:t>
      </w:r>
      <w:r w:rsidR="001A3717">
        <w:rPr>
          <w:bCs/>
          <w:sz w:val="22"/>
          <w:szCs w:val="22"/>
        </w:rPr>
        <w:t xml:space="preserve">The CBA should also monitor oral presentations of bundled products and include this area into its mystery shopping tests. </w:t>
      </w:r>
    </w:p>
    <w:p w:rsidR="00A16FD4" w:rsidRDefault="00A16FD4" w:rsidP="00443499">
      <w:pPr>
        <w:rPr>
          <w:bCs/>
          <w:sz w:val="22"/>
          <w:szCs w:val="22"/>
        </w:rPr>
      </w:pPr>
    </w:p>
    <w:p w:rsidR="00057AAD" w:rsidRPr="00E06713" w:rsidRDefault="00057AAD" w:rsidP="0072027A">
      <w:pPr>
        <w:pStyle w:val="BodyText"/>
        <w:numPr>
          <w:ilvl w:val="0"/>
          <w:numId w:val="5"/>
        </w:numPr>
        <w:tabs>
          <w:tab w:val="left" w:pos="360"/>
          <w:tab w:val="left" w:pos="630"/>
        </w:tabs>
        <w:suppressAutoHyphens/>
        <w:spacing w:before="0" w:after="0" w:line="240" w:lineRule="auto"/>
        <w:ind w:left="0" w:firstLine="0"/>
        <w:rPr>
          <w:b/>
          <w:sz w:val="22"/>
          <w:szCs w:val="22"/>
        </w:rPr>
      </w:pPr>
      <w:r w:rsidRPr="00E06713">
        <w:rPr>
          <w:b/>
          <w:sz w:val="22"/>
          <w:szCs w:val="22"/>
        </w:rPr>
        <w:t xml:space="preserve">Financial service providers should be required to gather sufficient information from a consumer to enable the provider to offer an appropriate financial product or service to the consumer. </w:t>
      </w:r>
      <w:r w:rsidRPr="00E06713">
        <w:rPr>
          <w:sz w:val="22"/>
          <w:szCs w:val="22"/>
        </w:rPr>
        <w:t xml:space="preserve">The information collected from the consumer should be commensurate with the nature and complexity of the product or service either being proposed to, or sought by, the consumer. </w:t>
      </w:r>
      <w:r w:rsidR="005D33A7">
        <w:rPr>
          <w:sz w:val="22"/>
          <w:szCs w:val="22"/>
        </w:rPr>
        <w:t xml:space="preserve">The financial institution should </w:t>
      </w:r>
      <w:r w:rsidR="005D33A7" w:rsidRPr="005D33A7">
        <w:rPr>
          <w:sz w:val="22"/>
          <w:szCs w:val="22"/>
        </w:rPr>
        <w:t>collect enough data about customers, their financial goals, risk profiles and their financial portfolio to match offered products with their needs. The information collected (of which the customer should always receive a copy) should also be used in any complaint resolution or lawsuit to prove whether the product was sold properly and in line with the consumer's interest.</w:t>
      </w:r>
      <w:r w:rsidR="005D33A7">
        <w:rPr>
          <w:sz w:val="22"/>
          <w:szCs w:val="22"/>
        </w:rPr>
        <w:t xml:space="preserve"> </w:t>
      </w:r>
      <w:r w:rsidRPr="00E06713">
        <w:rPr>
          <w:sz w:val="22"/>
          <w:szCs w:val="22"/>
        </w:rPr>
        <w:t xml:space="preserve">In the insurance </w:t>
      </w:r>
      <w:r w:rsidR="004B0290">
        <w:rPr>
          <w:sz w:val="22"/>
          <w:szCs w:val="22"/>
        </w:rPr>
        <w:t xml:space="preserve">and securities </w:t>
      </w:r>
      <w:r w:rsidRPr="00E06713">
        <w:rPr>
          <w:sz w:val="22"/>
          <w:szCs w:val="22"/>
        </w:rPr>
        <w:t>sector</w:t>
      </w:r>
      <w:r w:rsidR="004B0290">
        <w:rPr>
          <w:sz w:val="22"/>
          <w:szCs w:val="22"/>
        </w:rPr>
        <w:t>s</w:t>
      </w:r>
      <w:r w:rsidRPr="00E06713">
        <w:rPr>
          <w:sz w:val="22"/>
          <w:szCs w:val="22"/>
        </w:rPr>
        <w:t>, it is recommended that sales intermediaries and officers obtain consumer information through formal “fact finds” so as</w:t>
      </w:r>
      <w:r w:rsidR="0000341E">
        <w:rPr>
          <w:sz w:val="22"/>
          <w:szCs w:val="22"/>
        </w:rPr>
        <w:t xml:space="preserve"> to</w:t>
      </w:r>
      <w:r w:rsidRPr="00E06713">
        <w:rPr>
          <w:sz w:val="22"/>
          <w:szCs w:val="22"/>
        </w:rPr>
        <w:t xml:space="preserve"> assess the suitability of an insurance </w:t>
      </w:r>
      <w:r w:rsidR="004B0290">
        <w:rPr>
          <w:sz w:val="22"/>
          <w:szCs w:val="22"/>
        </w:rPr>
        <w:t xml:space="preserve">or securities </w:t>
      </w:r>
      <w:r w:rsidRPr="00E06713">
        <w:rPr>
          <w:sz w:val="22"/>
          <w:szCs w:val="22"/>
        </w:rPr>
        <w:t>product for a consumer.</w:t>
      </w:r>
      <w:r w:rsidR="005D33A7">
        <w:rPr>
          <w:sz w:val="22"/>
          <w:szCs w:val="22"/>
        </w:rPr>
        <w:t xml:space="preserve"> </w:t>
      </w:r>
    </w:p>
    <w:p w:rsidR="00057AAD" w:rsidRPr="00E06713" w:rsidRDefault="00057AAD" w:rsidP="00620D0E">
      <w:pPr>
        <w:pStyle w:val="BodyText"/>
        <w:tabs>
          <w:tab w:val="left" w:pos="360"/>
          <w:tab w:val="left" w:pos="630"/>
        </w:tabs>
        <w:suppressAutoHyphens/>
        <w:spacing w:before="0" w:after="0" w:line="240" w:lineRule="auto"/>
        <w:rPr>
          <w:bCs/>
          <w:sz w:val="22"/>
          <w:szCs w:val="22"/>
        </w:rPr>
      </w:pPr>
    </w:p>
    <w:p w:rsidR="004021B8" w:rsidRPr="004021B8" w:rsidRDefault="004021B8" w:rsidP="004021B8">
      <w:pPr>
        <w:pStyle w:val="BodyText"/>
        <w:numPr>
          <w:ilvl w:val="0"/>
          <w:numId w:val="5"/>
        </w:numPr>
        <w:tabs>
          <w:tab w:val="left" w:pos="360"/>
          <w:tab w:val="left" w:pos="630"/>
        </w:tabs>
        <w:suppressAutoHyphens/>
        <w:spacing w:before="0" w:after="0" w:line="240" w:lineRule="auto"/>
        <w:ind w:left="0" w:firstLine="0"/>
        <w:rPr>
          <w:bCs/>
          <w:sz w:val="22"/>
          <w:szCs w:val="22"/>
        </w:rPr>
      </w:pPr>
      <w:r w:rsidRPr="00BE5A22">
        <w:rPr>
          <w:b/>
          <w:bCs/>
          <w:sz w:val="22"/>
          <w:szCs w:val="22"/>
        </w:rPr>
        <w:t>The information in the credit registers should be expanded</w:t>
      </w:r>
      <w:r w:rsidR="00A769F6">
        <w:rPr>
          <w:b/>
          <w:bCs/>
          <w:sz w:val="22"/>
          <w:szCs w:val="22"/>
        </w:rPr>
        <w:t xml:space="preserve"> and debt counseling should be encouraged</w:t>
      </w:r>
      <w:r w:rsidRPr="00BE5A22">
        <w:rPr>
          <w:b/>
          <w:bCs/>
          <w:sz w:val="22"/>
          <w:szCs w:val="22"/>
        </w:rPr>
        <w:t>.</w:t>
      </w:r>
      <w:r w:rsidRPr="00B16AB1">
        <w:rPr>
          <w:bCs/>
          <w:sz w:val="22"/>
          <w:szCs w:val="22"/>
        </w:rPr>
        <w:t xml:space="preserve"> The CBA should update the legislation on credit registers to include the information on pawnshop loans in the credit bureau and the CBA credit registry. Regulations on retention and sharing of consumer financial data should be brought in line with the EU Directive on Protection of Personal Data. While consumer indebtedness in Armenia is currently lower than in many similar countries</w:t>
      </w:r>
      <w:r>
        <w:rPr>
          <w:bCs/>
          <w:sz w:val="22"/>
          <w:szCs w:val="22"/>
        </w:rPr>
        <w:t>, c</w:t>
      </w:r>
      <w:r w:rsidRPr="00B16AB1">
        <w:rPr>
          <w:bCs/>
          <w:sz w:val="22"/>
          <w:szCs w:val="22"/>
        </w:rPr>
        <w:t xml:space="preserve">onsumer organizations should be encouraged to </w:t>
      </w:r>
      <w:r>
        <w:rPr>
          <w:bCs/>
          <w:sz w:val="22"/>
          <w:szCs w:val="22"/>
        </w:rPr>
        <w:t>start providing</w:t>
      </w:r>
      <w:r w:rsidRPr="00B16AB1">
        <w:rPr>
          <w:bCs/>
          <w:sz w:val="22"/>
          <w:szCs w:val="22"/>
        </w:rPr>
        <w:t xml:space="preserve"> debt counseling services to the population.</w:t>
      </w:r>
    </w:p>
    <w:p w:rsidR="004021B8" w:rsidRDefault="004021B8" w:rsidP="004021B8">
      <w:pPr>
        <w:pStyle w:val="ListParagraph"/>
        <w:rPr>
          <w:b/>
          <w:bCs/>
          <w:sz w:val="22"/>
          <w:szCs w:val="22"/>
        </w:rPr>
      </w:pPr>
    </w:p>
    <w:p w:rsidR="00057AAD" w:rsidRPr="004021B8" w:rsidRDefault="004B0290" w:rsidP="006F3C4A">
      <w:pPr>
        <w:pStyle w:val="BodyText"/>
        <w:numPr>
          <w:ilvl w:val="0"/>
          <w:numId w:val="5"/>
        </w:numPr>
        <w:tabs>
          <w:tab w:val="left" w:pos="360"/>
          <w:tab w:val="left" w:pos="630"/>
        </w:tabs>
        <w:suppressAutoHyphens/>
        <w:spacing w:before="0" w:after="0" w:line="240" w:lineRule="auto"/>
        <w:ind w:left="0" w:firstLine="0"/>
        <w:rPr>
          <w:b/>
          <w:sz w:val="22"/>
          <w:szCs w:val="22"/>
        </w:rPr>
      </w:pPr>
      <w:r w:rsidRPr="004B0290">
        <w:rPr>
          <w:b/>
          <w:bCs/>
          <w:sz w:val="22"/>
          <w:szCs w:val="22"/>
        </w:rPr>
        <w:t>C</w:t>
      </w:r>
      <w:r w:rsidR="00057AAD" w:rsidRPr="004B0290">
        <w:rPr>
          <w:b/>
          <w:bCs/>
          <w:sz w:val="22"/>
          <w:szCs w:val="22"/>
        </w:rPr>
        <w:t>redit reporting</w:t>
      </w:r>
      <w:r w:rsidRPr="004B0290">
        <w:rPr>
          <w:b/>
          <w:bCs/>
          <w:sz w:val="22"/>
          <w:szCs w:val="22"/>
        </w:rPr>
        <w:t xml:space="preserve"> is widely used in Armenia</w:t>
      </w:r>
      <w:r>
        <w:rPr>
          <w:b/>
          <w:bCs/>
          <w:sz w:val="22"/>
          <w:szCs w:val="22"/>
        </w:rPr>
        <w:t xml:space="preserve"> but many customers may not understand </w:t>
      </w:r>
      <w:r w:rsidR="007342B3">
        <w:rPr>
          <w:b/>
          <w:bCs/>
          <w:sz w:val="22"/>
          <w:szCs w:val="22"/>
        </w:rPr>
        <w:t>the</w:t>
      </w:r>
      <w:r>
        <w:rPr>
          <w:b/>
          <w:bCs/>
          <w:sz w:val="22"/>
          <w:szCs w:val="22"/>
        </w:rPr>
        <w:t xml:space="preserve"> effects</w:t>
      </w:r>
      <w:r w:rsidR="007342B3">
        <w:rPr>
          <w:b/>
          <w:bCs/>
          <w:sz w:val="22"/>
          <w:szCs w:val="22"/>
        </w:rPr>
        <w:t xml:space="preserve"> of negative credit history</w:t>
      </w:r>
      <w:r w:rsidR="00057AAD" w:rsidRPr="004B0290">
        <w:rPr>
          <w:b/>
          <w:bCs/>
          <w:sz w:val="22"/>
          <w:szCs w:val="22"/>
        </w:rPr>
        <w:t xml:space="preserve">. </w:t>
      </w:r>
      <w:r w:rsidRPr="004B0290">
        <w:rPr>
          <w:sz w:val="22"/>
          <w:szCs w:val="22"/>
        </w:rPr>
        <w:t>The</w:t>
      </w:r>
      <w:r>
        <w:rPr>
          <w:sz w:val="22"/>
          <w:szCs w:val="22"/>
        </w:rPr>
        <w:t>refore, the</w:t>
      </w:r>
      <w:r w:rsidRPr="004B0290">
        <w:rPr>
          <w:sz w:val="22"/>
          <w:szCs w:val="22"/>
        </w:rPr>
        <w:t xml:space="preserve"> impact of negative credit information should be included as a </w:t>
      </w:r>
      <w:r w:rsidR="00B61C50">
        <w:rPr>
          <w:sz w:val="22"/>
          <w:szCs w:val="22"/>
        </w:rPr>
        <w:t xml:space="preserve">separate sheet next to </w:t>
      </w:r>
      <w:r w:rsidRPr="004B0290">
        <w:rPr>
          <w:sz w:val="22"/>
          <w:szCs w:val="22"/>
        </w:rPr>
        <w:t xml:space="preserve">the Key Facts Statement for consumer credit, credit cards and mortgages. Consumers should also be clearly informed when information about late payment is provided to the credit bureau, about their right to request a free copy of the credit report once a year and about </w:t>
      </w:r>
      <w:r w:rsidR="007342B3">
        <w:rPr>
          <w:sz w:val="22"/>
          <w:szCs w:val="22"/>
        </w:rPr>
        <w:t>the</w:t>
      </w:r>
      <w:r w:rsidRPr="004B0290">
        <w:rPr>
          <w:sz w:val="22"/>
          <w:szCs w:val="22"/>
        </w:rPr>
        <w:t xml:space="preserve"> possibility to dispute the records.</w:t>
      </w:r>
    </w:p>
    <w:p w:rsidR="004021B8" w:rsidRDefault="004021B8" w:rsidP="004021B8">
      <w:pPr>
        <w:pStyle w:val="ListParagraph"/>
        <w:rPr>
          <w:b/>
          <w:sz w:val="22"/>
          <w:szCs w:val="22"/>
        </w:rPr>
      </w:pPr>
    </w:p>
    <w:p w:rsidR="004021B8" w:rsidRPr="004021B8" w:rsidRDefault="004021B8" w:rsidP="006F3C4A">
      <w:pPr>
        <w:pStyle w:val="BodyText"/>
        <w:numPr>
          <w:ilvl w:val="0"/>
          <w:numId w:val="5"/>
        </w:numPr>
        <w:tabs>
          <w:tab w:val="left" w:pos="360"/>
          <w:tab w:val="left" w:pos="630"/>
        </w:tabs>
        <w:suppressAutoHyphens/>
        <w:spacing w:before="0" w:after="0" w:line="240" w:lineRule="auto"/>
        <w:ind w:left="0" w:firstLine="0"/>
        <w:rPr>
          <w:sz w:val="22"/>
          <w:szCs w:val="22"/>
        </w:rPr>
      </w:pPr>
      <w:r w:rsidRPr="004021B8">
        <w:rPr>
          <w:b/>
          <w:sz w:val="22"/>
          <w:szCs w:val="22"/>
        </w:rPr>
        <w:t xml:space="preserve">The CBA should encourage consumer organizations to monitor debt collection </w:t>
      </w:r>
      <w:r w:rsidR="00056D00">
        <w:rPr>
          <w:b/>
          <w:sz w:val="22"/>
          <w:szCs w:val="22"/>
        </w:rPr>
        <w:t xml:space="preserve">and foreclosure </w:t>
      </w:r>
      <w:r w:rsidRPr="004021B8">
        <w:rPr>
          <w:b/>
          <w:sz w:val="22"/>
          <w:szCs w:val="22"/>
        </w:rPr>
        <w:t>practices and report regularly to CBA.</w:t>
      </w:r>
      <w:r w:rsidRPr="004021B8">
        <w:rPr>
          <w:sz w:val="22"/>
          <w:szCs w:val="22"/>
        </w:rPr>
        <w:t xml:space="preserve"> Based on this market monitoring, the CBA should consider whether debt collection</w:t>
      </w:r>
      <w:r w:rsidR="00056D00">
        <w:rPr>
          <w:sz w:val="22"/>
          <w:szCs w:val="22"/>
        </w:rPr>
        <w:t xml:space="preserve"> and foreclosure</w:t>
      </w:r>
      <w:r w:rsidRPr="004021B8">
        <w:rPr>
          <w:sz w:val="22"/>
          <w:szCs w:val="22"/>
        </w:rPr>
        <w:t xml:space="preserve"> rules need to be defined</w:t>
      </w:r>
      <w:r w:rsidR="00475942">
        <w:rPr>
          <w:sz w:val="22"/>
          <w:szCs w:val="22"/>
        </w:rPr>
        <w:t xml:space="preserve"> to ensure debt collection is conducted fairly and effectively</w:t>
      </w:r>
      <w:r w:rsidRPr="004021B8">
        <w:rPr>
          <w:sz w:val="22"/>
          <w:szCs w:val="22"/>
        </w:rPr>
        <w:t>.</w:t>
      </w:r>
    </w:p>
    <w:p w:rsidR="00A16FD4" w:rsidRDefault="00A16FD4" w:rsidP="00A16FD4">
      <w:pPr>
        <w:pStyle w:val="ListParagraph"/>
        <w:ind w:left="0"/>
        <w:rPr>
          <w:b/>
          <w:sz w:val="22"/>
          <w:szCs w:val="22"/>
        </w:rPr>
      </w:pPr>
    </w:p>
    <w:p w:rsidR="00057AAD" w:rsidRPr="002E65C8" w:rsidRDefault="00057AAD" w:rsidP="005A2DBA">
      <w:pPr>
        <w:pStyle w:val="Heading1"/>
        <w:rPr>
          <w:rFonts w:ascii="Times New Roman" w:hAnsi="Times New Roman" w:cs="Times New Roman"/>
          <w:i/>
          <w:sz w:val="28"/>
        </w:rPr>
      </w:pPr>
      <w:bookmarkStart w:id="48" w:name="_Toc263494689"/>
      <w:bookmarkStart w:id="49" w:name="_Toc331409066"/>
      <w:r w:rsidRPr="002E65C8">
        <w:rPr>
          <w:rFonts w:ascii="Times New Roman" w:hAnsi="Times New Roman" w:cs="Times New Roman"/>
          <w:i/>
          <w:sz w:val="28"/>
        </w:rPr>
        <w:t>Dispute Resolution Mechanisms</w:t>
      </w:r>
      <w:bookmarkEnd w:id="48"/>
      <w:bookmarkEnd w:id="49"/>
    </w:p>
    <w:p w:rsidR="00057AAD" w:rsidRDefault="00057AAD" w:rsidP="00FA24DD">
      <w:pPr>
        <w:jc w:val="both"/>
        <w:rPr>
          <w:bCs/>
          <w:sz w:val="22"/>
          <w:szCs w:val="22"/>
        </w:rPr>
      </w:pPr>
    </w:p>
    <w:p w:rsidR="007342B3" w:rsidRPr="007342B3" w:rsidRDefault="007342B3" w:rsidP="007342B3">
      <w:pPr>
        <w:pStyle w:val="BodyText"/>
        <w:numPr>
          <w:ilvl w:val="0"/>
          <w:numId w:val="5"/>
        </w:numPr>
        <w:tabs>
          <w:tab w:val="left" w:pos="360"/>
          <w:tab w:val="left" w:pos="630"/>
        </w:tabs>
        <w:suppressAutoHyphens/>
        <w:spacing w:before="0" w:after="0" w:line="240" w:lineRule="auto"/>
        <w:ind w:left="0" w:firstLine="0"/>
        <w:rPr>
          <w:bCs/>
          <w:sz w:val="22"/>
          <w:szCs w:val="22"/>
        </w:rPr>
      </w:pPr>
      <w:r w:rsidRPr="007342B3">
        <w:rPr>
          <w:b/>
          <w:bCs/>
          <w:sz w:val="22"/>
          <w:szCs w:val="22"/>
        </w:rPr>
        <w:t xml:space="preserve">In setting up an independent and statutory Financial </w:t>
      </w:r>
      <w:r>
        <w:rPr>
          <w:b/>
          <w:bCs/>
          <w:sz w:val="22"/>
          <w:szCs w:val="22"/>
        </w:rPr>
        <w:t>System</w:t>
      </w:r>
      <w:r w:rsidRPr="007342B3">
        <w:rPr>
          <w:b/>
          <w:bCs/>
          <w:sz w:val="22"/>
          <w:szCs w:val="22"/>
        </w:rPr>
        <w:t xml:space="preserve"> Mediator, the CBA has established an effective mechanism for recourse on disputes related to consumer finance.</w:t>
      </w:r>
      <w:r w:rsidRPr="007342B3">
        <w:rPr>
          <w:bCs/>
          <w:sz w:val="22"/>
          <w:szCs w:val="22"/>
        </w:rPr>
        <w:t xml:space="preserve"> Easy access to justice and the ability to reach decisions quickly are always of key importance for the trust of the people in dealing with financial institutions. As many financial sector disputes involve relatively small amounts of money, the Financial System Mediator provides an effective and efficient alternative to courts. In this way, disputes related to consumer finance may be solved quickly and with limited costs to the parties and the state budget. The Mediator operates under clear statutory authority with authority to make decisions on consumer finance disputes for amounts up to ten million AMD (equivalent to </w:t>
      </w:r>
      <w:r>
        <w:rPr>
          <w:bCs/>
          <w:sz w:val="22"/>
          <w:szCs w:val="22"/>
        </w:rPr>
        <w:t>USD</w:t>
      </w:r>
      <w:r w:rsidRPr="007342B3">
        <w:rPr>
          <w:bCs/>
          <w:sz w:val="22"/>
          <w:szCs w:val="22"/>
        </w:rPr>
        <w:t xml:space="preserve"> 25,700). The Mediator’s decisions are de facto binding for the financial institution but still allow the consumer to initia</w:t>
      </w:r>
      <w:r>
        <w:rPr>
          <w:bCs/>
          <w:sz w:val="22"/>
          <w:szCs w:val="22"/>
        </w:rPr>
        <w:t>te</w:t>
      </w:r>
      <w:r w:rsidRPr="007342B3">
        <w:rPr>
          <w:bCs/>
          <w:sz w:val="22"/>
          <w:szCs w:val="22"/>
        </w:rPr>
        <w:t xml:space="preserve"> a lawsuit in court.</w:t>
      </w:r>
    </w:p>
    <w:p w:rsidR="007342B3" w:rsidRPr="007342B3" w:rsidRDefault="007342B3" w:rsidP="007342B3">
      <w:pPr>
        <w:pStyle w:val="BodyText"/>
        <w:tabs>
          <w:tab w:val="left" w:pos="360"/>
          <w:tab w:val="left" w:pos="630"/>
        </w:tabs>
        <w:suppressAutoHyphens/>
        <w:spacing w:before="0" w:after="0" w:line="240" w:lineRule="auto"/>
        <w:rPr>
          <w:bCs/>
          <w:sz w:val="22"/>
          <w:szCs w:val="22"/>
        </w:rPr>
      </w:pPr>
    </w:p>
    <w:p w:rsidR="007342B3" w:rsidRDefault="007342B3" w:rsidP="007342B3">
      <w:pPr>
        <w:pStyle w:val="BodyText"/>
        <w:numPr>
          <w:ilvl w:val="0"/>
          <w:numId w:val="5"/>
        </w:numPr>
        <w:tabs>
          <w:tab w:val="left" w:pos="360"/>
          <w:tab w:val="left" w:pos="630"/>
        </w:tabs>
        <w:suppressAutoHyphens/>
        <w:spacing w:before="0" w:after="0" w:line="240" w:lineRule="auto"/>
        <w:ind w:left="0" w:firstLine="0"/>
        <w:rPr>
          <w:bCs/>
          <w:sz w:val="22"/>
          <w:szCs w:val="22"/>
        </w:rPr>
      </w:pPr>
      <w:r w:rsidRPr="007342B3">
        <w:rPr>
          <w:b/>
          <w:bCs/>
          <w:sz w:val="22"/>
          <w:szCs w:val="22"/>
        </w:rPr>
        <w:t>The scope of the Mediator could be further expanded.</w:t>
      </w:r>
      <w:r w:rsidRPr="007342B3">
        <w:rPr>
          <w:bCs/>
          <w:sz w:val="22"/>
          <w:szCs w:val="22"/>
        </w:rPr>
        <w:t xml:space="preserve"> </w:t>
      </w:r>
      <w:r w:rsidR="00056D00">
        <w:rPr>
          <w:bCs/>
          <w:sz w:val="22"/>
          <w:szCs w:val="22"/>
        </w:rPr>
        <w:t>T</w:t>
      </w:r>
      <w:r w:rsidRPr="007342B3">
        <w:rPr>
          <w:bCs/>
          <w:sz w:val="22"/>
          <w:szCs w:val="22"/>
        </w:rPr>
        <w:t xml:space="preserve">he institutional capability of the Financial System Mediator should be properly supported to allow the Mediator to deal with cases from all areas of financial services properly and quickly. In particular, the Mediator should </w:t>
      </w:r>
      <w:r w:rsidRPr="007342B3">
        <w:rPr>
          <w:bCs/>
          <w:sz w:val="22"/>
          <w:szCs w:val="22"/>
        </w:rPr>
        <w:lastRenderedPageBreak/>
        <w:t xml:space="preserve">receive not only complaints from private individuals but also complaints from sole entrepreneurs, micro- and small-size businesses (as defined by the Armenian legislation)—and all should be eligible for consideration by the Financial System Mediator. </w:t>
      </w:r>
    </w:p>
    <w:p w:rsidR="00322DEC" w:rsidRDefault="00322DEC" w:rsidP="00322DEC">
      <w:pPr>
        <w:pStyle w:val="ListParagraph"/>
        <w:rPr>
          <w:bCs/>
          <w:sz w:val="22"/>
          <w:szCs w:val="22"/>
        </w:rPr>
      </w:pPr>
    </w:p>
    <w:p w:rsidR="00322DEC" w:rsidRPr="007342B3" w:rsidRDefault="00322DEC" w:rsidP="007342B3">
      <w:pPr>
        <w:pStyle w:val="BodyText"/>
        <w:numPr>
          <w:ilvl w:val="0"/>
          <w:numId w:val="5"/>
        </w:numPr>
        <w:tabs>
          <w:tab w:val="left" w:pos="360"/>
          <w:tab w:val="left" w:pos="630"/>
        </w:tabs>
        <w:suppressAutoHyphens/>
        <w:spacing w:before="0" w:after="0" w:line="240" w:lineRule="auto"/>
        <w:ind w:left="0" w:firstLine="0"/>
        <w:rPr>
          <w:bCs/>
          <w:sz w:val="22"/>
          <w:szCs w:val="22"/>
        </w:rPr>
      </w:pPr>
      <w:r w:rsidRPr="006A1A76">
        <w:rPr>
          <w:b/>
          <w:bCs/>
          <w:sz w:val="22"/>
          <w:szCs w:val="22"/>
        </w:rPr>
        <w:t>Financing of the Mediator could take into account the number of cases against each institution.</w:t>
      </w:r>
      <w:r>
        <w:rPr>
          <w:bCs/>
          <w:sz w:val="22"/>
          <w:szCs w:val="22"/>
        </w:rPr>
        <w:t xml:space="preserve"> At the moment, all financial institutions pay their fee to the Mediator according to their size</w:t>
      </w:r>
      <w:r w:rsidR="008E7334">
        <w:rPr>
          <w:bCs/>
          <w:sz w:val="22"/>
          <w:szCs w:val="22"/>
        </w:rPr>
        <w:t xml:space="preserve">, </w:t>
      </w:r>
      <w:r w:rsidR="008E7334" w:rsidRPr="008E7334">
        <w:rPr>
          <w:bCs/>
          <w:sz w:val="22"/>
          <w:szCs w:val="22"/>
        </w:rPr>
        <w:t xml:space="preserve">independently on the number of cases that are being presented by consumers against these types of institutions. The </w:t>
      </w:r>
      <w:r w:rsidR="008E7334">
        <w:rPr>
          <w:bCs/>
          <w:sz w:val="22"/>
          <w:szCs w:val="22"/>
        </w:rPr>
        <w:t xml:space="preserve">Mediator, the CBA and financial associations could discuss the possibility that the </w:t>
      </w:r>
      <w:r w:rsidR="008E7334" w:rsidRPr="008E7334">
        <w:rPr>
          <w:bCs/>
          <w:sz w:val="22"/>
          <w:szCs w:val="22"/>
        </w:rPr>
        <w:t>fees scheme could incorporate a component that increases the contribution of financial institutions that receive higher number of complaints</w:t>
      </w:r>
      <w:r w:rsidR="008E7334">
        <w:rPr>
          <w:bCs/>
          <w:sz w:val="22"/>
          <w:szCs w:val="22"/>
        </w:rPr>
        <w:t xml:space="preserve"> then its market share</w:t>
      </w:r>
      <w:r w:rsidR="008E7334" w:rsidRPr="008E7334">
        <w:rPr>
          <w:bCs/>
          <w:sz w:val="22"/>
          <w:szCs w:val="22"/>
        </w:rPr>
        <w:t>.</w:t>
      </w:r>
    </w:p>
    <w:p w:rsidR="007342B3" w:rsidRPr="007342B3" w:rsidRDefault="007342B3" w:rsidP="007342B3">
      <w:pPr>
        <w:pStyle w:val="BodyText"/>
        <w:tabs>
          <w:tab w:val="left" w:pos="360"/>
          <w:tab w:val="left" w:pos="630"/>
        </w:tabs>
        <w:suppressAutoHyphens/>
        <w:spacing w:before="0" w:after="0" w:line="240" w:lineRule="auto"/>
        <w:rPr>
          <w:bCs/>
          <w:sz w:val="22"/>
          <w:szCs w:val="22"/>
        </w:rPr>
      </w:pPr>
    </w:p>
    <w:p w:rsidR="007342B3" w:rsidRPr="007342B3" w:rsidRDefault="007342B3" w:rsidP="007342B3">
      <w:pPr>
        <w:pStyle w:val="BodyText"/>
        <w:numPr>
          <w:ilvl w:val="0"/>
          <w:numId w:val="5"/>
        </w:numPr>
        <w:tabs>
          <w:tab w:val="left" w:pos="360"/>
          <w:tab w:val="left" w:pos="630"/>
        </w:tabs>
        <w:suppressAutoHyphens/>
        <w:spacing w:before="0" w:after="0" w:line="240" w:lineRule="auto"/>
        <w:ind w:left="0" w:firstLine="0"/>
        <w:rPr>
          <w:bCs/>
          <w:sz w:val="22"/>
          <w:szCs w:val="22"/>
        </w:rPr>
      </w:pPr>
      <w:r w:rsidRPr="007342B3">
        <w:rPr>
          <w:b/>
          <w:bCs/>
          <w:sz w:val="22"/>
          <w:szCs w:val="22"/>
        </w:rPr>
        <w:t>All decisions by the Mediator (and the CBA and Stock Exchange) should be published.</w:t>
      </w:r>
      <w:r w:rsidRPr="007342B3">
        <w:rPr>
          <w:bCs/>
          <w:sz w:val="22"/>
          <w:szCs w:val="22"/>
        </w:rPr>
        <w:t xml:space="preserve"> In setting up the Financial System Mediator, the CBA benefitted from extensive international advice, including from the Financial Ombudsman of the United Kingdom and the Mediator’s procedures largely reflect international practice. Nevertheless to provide full regulatory disclosure, the Mediator’s procedures could be further improved. In particular, all decisions </w:t>
      </w:r>
      <w:r>
        <w:rPr>
          <w:bCs/>
          <w:sz w:val="22"/>
          <w:szCs w:val="22"/>
        </w:rPr>
        <w:t xml:space="preserve">(but not disputes solved through mediation) </w:t>
      </w:r>
      <w:r w:rsidRPr="007342B3">
        <w:rPr>
          <w:bCs/>
          <w:sz w:val="22"/>
          <w:szCs w:val="22"/>
        </w:rPr>
        <w:t>taken by the Financial System Mediator (as well as disciplinary actions of the CBA, and the self-regulatory organizations, such as the Stock Exchange</w:t>
      </w:r>
      <w:r>
        <w:rPr>
          <w:bCs/>
          <w:sz w:val="22"/>
          <w:szCs w:val="22"/>
        </w:rPr>
        <w:t>)</w:t>
      </w:r>
      <w:r w:rsidRPr="007342B3">
        <w:rPr>
          <w:bCs/>
          <w:sz w:val="22"/>
          <w:szCs w:val="22"/>
        </w:rPr>
        <w:t xml:space="preserve">, should be published when final. In addition, the CBA should maintain a public register of licensed financial institutions including the disciplinary history of all licensed entities and all sanctions awarded to the entity by the CBA, the Financial System Mediator or the self-regulatory organizations. </w:t>
      </w:r>
    </w:p>
    <w:p w:rsidR="007342B3" w:rsidRPr="007342B3" w:rsidRDefault="007342B3" w:rsidP="007342B3">
      <w:pPr>
        <w:pStyle w:val="BodyText"/>
        <w:tabs>
          <w:tab w:val="left" w:pos="360"/>
          <w:tab w:val="left" w:pos="630"/>
        </w:tabs>
        <w:suppressAutoHyphens/>
        <w:spacing w:before="0" w:after="0" w:line="240" w:lineRule="auto"/>
        <w:rPr>
          <w:bCs/>
          <w:sz w:val="22"/>
          <w:szCs w:val="22"/>
        </w:rPr>
      </w:pPr>
    </w:p>
    <w:p w:rsidR="007342B3" w:rsidRPr="007342B3" w:rsidRDefault="007342B3" w:rsidP="007342B3">
      <w:pPr>
        <w:pStyle w:val="BodyText"/>
        <w:numPr>
          <w:ilvl w:val="0"/>
          <w:numId w:val="5"/>
        </w:numPr>
        <w:tabs>
          <w:tab w:val="left" w:pos="360"/>
          <w:tab w:val="left" w:pos="630"/>
        </w:tabs>
        <w:suppressAutoHyphens/>
        <w:spacing w:before="0" w:after="0" w:line="240" w:lineRule="auto"/>
        <w:ind w:left="0" w:firstLine="0"/>
        <w:rPr>
          <w:bCs/>
          <w:sz w:val="22"/>
          <w:szCs w:val="22"/>
        </w:rPr>
      </w:pPr>
      <w:r w:rsidRPr="007342B3">
        <w:rPr>
          <w:b/>
          <w:bCs/>
          <w:sz w:val="22"/>
          <w:szCs w:val="22"/>
        </w:rPr>
        <w:t>Once a case is started with the Mediator, it should finish before the court can assume authority over the case.</w:t>
      </w:r>
      <w:r w:rsidRPr="007342B3">
        <w:rPr>
          <w:bCs/>
          <w:sz w:val="22"/>
          <w:szCs w:val="22"/>
        </w:rPr>
        <w:t xml:space="preserve"> When a case is under review by the Financial System Mediator, court review should be delayed until the ombudsman has completed its review of the case. If the case is settled in the mediation phase or a decision is issued by the Mediator, the merits of the case should not be eligible for court review.</w:t>
      </w:r>
    </w:p>
    <w:p w:rsidR="007342B3" w:rsidRPr="007342B3" w:rsidRDefault="007342B3" w:rsidP="007342B3">
      <w:pPr>
        <w:pStyle w:val="BodyText"/>
        <w:tabs>
          <w:tab w:val="left" w:pos="360"/>
          <w:tab w:val="left" w:pos="630"/>
        </w:tabs>
        <w:suppressAutoHyphens/>
        <w:spacing w:before="0" w:after="0" w:line="240" w:lineRule="auto"/>
        <w:rPr>
          <w:bCs/>
          <w:sz w:val="22"/>
          <w:szCs w:val="22"/>
        </w:rPr>
      </w:pPr>
    </w:p>
    <w:p w:rsidR="007342B3" w:rsidRDefault="007342B3" w:rsidP="007342B3">
      <w:pPr>
        <w:pStyle w:val="BodyText"/>
        <w:numPr>
          <w:ilvl w:val="0"/>
          <w:numId w:val="5"/>
        </w:numPr>
        <w:tabs>
          <w:tab w:val="left" w:pos="360"/>
          <w:tab w:val="left" w:pos="630"/>
        </w:tabs>
        <w:suppressAutoHyphens/>
        <w:spacing w:before="0" w:after="0" w:line="240" w:lineRule="auto"/>
        <w:ind w:left="0" w:firstLine="0"/>
        <w:rPr>
          <w:bCs/>
          <w:sz w:val="22"/>
          <w:szCs w:val="22"/>
        </w:rPr>
      </w:pPr>
      <w:r w:rsidRPr="007342B3">
        <w:rPr>
          <w:b/>
          <w:bCs/>
          <w:sz w:val="22"/>
          <w:szCs w:val="22"/>
        </w:rPr>
        <w:t>At the same time, Armenia’s valuable experience with Mediator should be shared with other countries in Europe and Central Asia and worldwide.</w:t>
      </w:r>
      <w:r w:rsidRPr="007342B3">
        <w:rPr>
          <w:bCs/>
          <w:sz w:val="22"/>
          <w:szCs w:val="22"/>
        </w:rPr>
        <w:t xml:space="preserve"> Both the Mediator and many consumer protection activities of the Central Bank of Armenia should serve as an example to other countries dealing with the issues of consumer protection and efforts should be made to improve sharing of Armenian experience at the global level.</w:t>
      </w:r>
    </w:p>
    <w:p w:rsidR="00A95B42" w:rsidRDefault="00A95B42" w:rsidP="00A95B42">
      <w:pPr>
        <w:pStyle w:val="ListParagraph"/>
        <w:rPr>
          <w:bCs/>
          <w:sz w:val="22"/>
          <w:szCs w:val="22"/>
        </w:rPr>
      </w:pPr>
    </w:p>
    <w:p w:rsidR="00A95B42" w:rsidRDefault="00A95B42" w:rsidP="00A95B42">
      <w:pPr>
        <w:pStyle w:val="BodyText"/>
        <w:numPr>
          <w:ilvl w:val="0"/>
          <w:numId w:val="5"/>
        </w:numPr>
        <w:tabs>
          <w:tab w:val="left" w:pos="360"/>
          <w:tab w:val="left" w:pos="630"/>
        </w:tabs>
        <w:suppressAutoHyphens/>
        <w:spacing w:before="0" w:after="0" w:line="240" w:lineRule="auto"/>
        <w:ind w:left="0" w:firstLine="0"/>
        <w:rPr>
          <w:bCs/>
          <w:sz w:val="22"/>
          <w:szCs w:val="22"/>
        </w:rPr>
      </w:pPr>
      <w:r w:rsidRPr="00A95B42">
        <w:rPr>
          <w:b/>
          <w:bCs/>
          <w:sz w:val="22"/>
          <w:szCs w:val="22"/>
        </w:rPr>
        <w:t>CBA Regulation for internal complaints handling mechanism of financial institutions could be strengthened</w:t>
      </w:r>
      <w:r>
        <w:rPr>
          <w:b/>
          <w:bCs/>
          <w:sz w:val="22"/>
          <w:szCs w:val="22"/>
        </w:rPr>
        <w:t xml:space="preserve"> and </w:t>
      </w:r>
      <w:r w:rsidRPr="00A95B42">
        <w:rPr>
          <w:b/>
          <w:bCs/>
          <w:sz w:val="22"/>
          <w:szCs w:val="22"/>
        </w:rPr>
        <w:t>monitoring of complaints handling</w:t>
      </w:r>
      <w:r>
        <w:rPr>
          <w:b/>
          <w:bCs/>
          <w:sz w:val="22"/>
          <w:szCs w:val="22"/>
        </w:rPr>
        <w:t xml:space="preserve"> should be included</w:t>
      </w:r>
      <w:r w:rsidRPr="00A95B42">
        <w:rPr>
          <w:b/>
          <w:bCs/>
          <w:sz w:val="22"/>
          <w:szCs w:val="22"/>
        </w:rPr>
        <w:t xml:space="preserve"> into onsite </w:t>
      </w:r>
      <w:r>
        <w:rPr>
          <w:b/>
          <w:bCs/>
          <w:sz w:val="22"/>
          <w:szCs w:val="22"/>
        </w:rPr>
        <w:t>supervision</w:t>
      </w:r>
      <w:r w:rsidRPr="00A95B42">
        <w:rPr>
          <w:b/>
          <w:bCs/>
          <w:sz w:val="22"/>
          <w:szCs w:val="22"/>
        </w:rPr>
        <w:t>.</w:t>
      </w:r>
      <w:r w:rsidRPr="00A95B42">
        <w:rPr>
          <w:bCs/>
          <w:sz w:val="22"/>
          <w:szCs w:val="22"/>
        </w:rPr>
        <w:t xml:space="preserve"> The CBA should update the Regulation 8/04 so that internal complaints resolution procedures include the following features: </w:t>
      </w:r>
    </w:p>
    <w:p w:rsidR="00A95B42" w:rsidRDefault="00A95B42" w:rsidP="00A95B42">
      <w:pPr>
        <w:pStyle w:val="ListParagraph"/>
        <w:rPr>
          <w:bCs/>
          <w:sz w:val="22"/>
          <w:szCs w:val="22"/>
        </w:rPr>
      </w:pPr>
    </w:p>
    <w:p w:rsidR="00A95B42" w:rsidRDefault="00A95B42" w:rsidP="00A95B42">
      <w:pPr>
        <w:pStyle w:val="BodyText"/>
        <w:numPr>
          <w:ilvl w:val="0"/>
          <w:numId w:val="43"/>
        </w:numPr>
        <w:tabs>
          <w:tab w:val="left" w:pos="360"/>
          <w:tab w:val="left" w:pos="630"/>
        </w:tabs>
        <w:suppressAutoHyphens/>
        <w:spacing w:before="0" w:after="0" w:line="240" w:lineRule="auto"/>
        <w:rPr>
          <w:bCs/>
          <w:sz w:val="22"/>
          <w:szCs w:val="22"/>
        </w:rPr>
      </w:pPr>
      <w:r w:rsidRPr="00A95B42">
        <w:rPr>
          <w:bCs/>
          <w:sz w:val="22"/>
          <w:szCs w:val="22"/>
        </w:rPr>
        <w:t xml:space="preserve">all complaints must be formally recorded in a single complaint-handling system whatever method they were lodged – in writing, personally in branches, through a call center or via email </w:t>
      </w:r>
    </w:p>
    <w:p w:rsidR="00A95B42" w:rsidRPr="00A95B42" w:rsidRDefault="00A95B42" w:rsidP="00A95B42">
      <w:pPr>
        <w:pStyle w:val="BodyText"/>
        <w:numPr>
          <w:ilvl w:val="0"/>
          <w:numId w:val="43"/>
        </w:numPr>
        <w:tabs>
          <w:tab w:val="left" w:pos="360"/>
          <w:tab w:val="left" w:pos="630"/>
        </w:tabs>
        <w:suppressAutoHyphens/>
        <w:spacing w:before="0" w:after="0" w:line="240" w:lineRule="auto"/>
        <w:rPr>
          <w:bCs/>
          <w:sz w:val="22"/>
          <w:szCs w:val="22"/>
        </w:rPr>
      </w:pPr>
      <w:r w:rsidRPr="00A95B42">
        <w:rPr>
          <w:bCs/>
          <w:sz w:val="22"/>
          <w:szCs w:val="22"/>
        </w:rPr>
        <w:t xml:space="preserve">the banks' websites and branches should make information on how to lodge complaints easily available, including providing all contacts </w:t>
      </w:r>
    </w:p>
    <w:p w:rsidR="00A95B42" w:rsidRPr="00A95B42" w:rsidRDefault="00A95B42" w:rsidP="00A95B42">
      <w:pPr>
        <w:pStyle w:val="BodyText"/>
        <w:numPr>
          <w:ilvl w:val="0"/>
          <w:numId w:val="43"/>
        </w:numPr>
        <w:tabs>
          <w:tab w:val="left" w:pos="360"/>
          <w:tab w:val="left" w:pos="630"/>
        </w:tabs>
        <w:suppressAutoHyphens/>
        <w:spacing w:before="0" w:after="0" w:line="240" w:lineRule="auto"/>
        <w:rPr>
          <w:bCs/>
          <w:sz w:val="22"/>
          <w:szCs w:val="22"/>
        </w:rPr>
      </w:pPr>
      <w:r w:rsidRPr="00A95B42">
        <w:rPr>
          <w:bCs/>
          <w:sz w:val="22"/>
          <w:szCs w:val="22"/>
        </w:rPr>
        <w:t xml:space="preserve">all actions, communication and documents related to a complaint must be recorded in the complaint-handling system </w:t>
      </w:r>
    </w:p>
    <w:p w:rsidR="00A95B42" w:rsidRPr="00A95B42" w:rsidRDefault="00A95B42" w:rsidP="00A95B42">
      <w:pPr>
        <w:pStyle w:val="BodyText"/>
        <w:numPr>
          <w:ilvl w:val="0"/>
          <w:numId w:val="43"/>
        </w:numPr>
        <w:tabs>
          <w:tab w:val="left" w:pos="360"/>
          <w:tab w:val="left" w:pos="630"/>
        </w:tabs>
        <w:suppressAutoHyphens/>
        <w:spacing w:before="0" w:after="0" w:line="240" w:lineRule="auto"/>
        <w:rPr>
          <w:bCs/>
          <w:sz w:val="22"/>
          <w:szCs w:val="22"/>
        </w:rPr>
      </w:pPr>
      <w:r w:rsidRPr="00A95B42">
        <w:rPr>
          <w:bCs/>
          <w:sz w:val="22"/>
          <w:szCs w:val="22"/>
        </w:rPr>
        <w:t xml:space="preserve">all complaints should be acknowledged in writing or via email </w:t>
      </w:r>
      <w:r w:rsidR="00B61C50">
        <w:rPr>
          <w:bCs/>
          <w:sz w:val="22"/>
          <w:szCs w:val="22"/>
        </w:rPr>
        <w:t xml:space="preserve">or text message </w:t>
      </w:r>
      <w:r w:rsidRPr="00A95B42">
        <w:rPr>
          <w:bCs/>
          <w:sz w:val="22"/>
          <w:szCs w:val="22"/>
        </w:rPr>
        <w:t xml:space="preserve">within three working days of receipt and the receipt should include direct contacts (name, position, telephone and email) of the person dealing with the complaint </w:t>
      </w:r>
    </w:p>
    <w:p w:rsidR="00A95B42" w:rsidRPr="00A95B42" w:rsidRDefault="00A95B42" w:rsidP="00A95B42">
      <w:pPr>
        <w:pStyle w:val="BodyText"/>
        <w:numPr>
          <w:ilvl w:val="0"/>
          <w:numId w:val="43"/>
        </w:numPr>
        <w:tabs>
          <w:tab w:val="left" w:pos="360"/>
          <w:tab w:val="left" w:pos="630"/>
        </w:tabs>
        <w:suppressAutoHyphens/>
        <w:spacing w:before="0" w:after="0" w:line="240" w:lineRule="auto"/>
        <w:rPr>
          <w:bCs/>
          <w:sz w:val="22"/>
          <w:szCs w:val="22"/>
        </w:rPr>
      </w:pPr>
      <w:r w:rsidRPr="00A95B42">
        <w:rPr>
          <w:bCs/>
          <w:sz w:val="22"/>
          <w:szCs w:val="22"/>
        </w:rPr>
        <w:lastRenderedPageBreak/>
        <w:t>the answer to the customer must contain advice on what are the next steps the consumer may take if he is not satisfied with how the complaint was dealt with by the bank, including a contact for the Financial System Mediator</w:t>
      </w:r>
    </w:p>
    <w:p w:rsidR="00A95B42" w:rsidRDefault="00A95B42" w:rsidP="00A95B42">
      <w:pPr>
        <w:pStyle w:val="BodyText"/>
        <w:numPr>
          <w:ilvl w:val="0"/>
          <w:numId w:val="43"/>
        </w:numPr>
        <w:tabs>
          <w:tab w:val="left" w:pos="360"/>
          <w:tab w:val="left" w:pos="630"/>
        </w:tabs>
        <w:suppressAutoHyphens/>
        <w:spacing w:before="0" w:after="0" w:line="240" w:lineRule="auto"/>
        <w:rPr>
          <w:bCs/>
          <w:sz w:val="22"/>
          <w:szCs w:val="22"/>
        </w:rPr>
      </w:pPr>
      <w:r w:rsidRPr="00A95B42">
        <w:rPr>
          <w:bCs/>
          <w:sz w:val="22"/>
          <w:szCs w:val="22"/>
        </w:rPr>
        <w:t>received complaints should be analyzed and the board of directors should be provided with an analytical report</w:t>
      </w:r>
      <w:r w:rsidR="00B61C50">
        <w:rPr>
          <w:rStyle w:val="FootnoteReference"/>
          <w:bCs/>
          <w:sz w:val="22"/>
          <w:szCs w:val="22"/>
        </w:rPr>
        <w:footnoteReference w:id="14"/>
      </w:r>
      <w:r w:rsidRPr="00A95B42">
        <w:rPr>
          <w:bCs/>
          <w:sz w:val="22"/>
          <w:szCs w:val="22"/>
        </w:rPr>
        <w:t xml:space="preserve"> twice a year, with recommendations on how the bank's products and processes could be updated to limit the number of received complaints </w:t>
      </w:r>
    </w:p>
    <w:p w:rsidR="00A95B42" w:rsidRPr="00A95B42" w:rsidRDefault="00A95B42" w:rsidP="00A95B42">
      <w:pPr>
        <w:pStyle w:val="BodyText"/>
        <w:numPr>
          <w:ilvl w:val="0"/>
          <w:numId w:val="43"/>
        </w:numPr>
        <w:tabs>
          <w:tab w:val="left" w:pos="360"/>
          <w:tab w:val="left" w:pos="630"/>
        </w:tabs>
        <w:suppressAutoHyphens/>
        <w:spacing w:before="0" w:after="0" w:line="240" w:lineRule="auto"/>
        <w:rPr>
          <w:bCs/>
          <w:sz w:val="22"/>
          <w:szCs w:val="22"/>
        </w:rPr>
      </w:pPr>
      <w:r w:rsidRPr="00A95B42">
        <w:rPr>
          <w:bCs/>
          <w:sz w:val="22"/>
          <w:szCs w:val="22"/>
        </w:rPr>
        <w:t>the analytical report should also be provided to the CBA and the CBA should use the reports to consider amendments to legislation or CBA's regulations</w:t>
      </w:r>
      <w:r>
        <w:rPr>
          <w:bCs/>
          <w:sz w:val="22"/>
          <w:szCs w:val="22"/>
        </w:rPr>
        <w:t xml:space="preserve">. </w:t>
      </w:r>
      <w:r w:rsidRPr="00A95B42">
        <w:rPr>
          <w:bCs/>
          <w:sz w:val="22"/>
          <w:szCs w:val="22"/>
        </w:rPr>
        <w:t xml:space="preserve"> </w:t>
      </w:r>
    </w:p>
    <w:p w:rsidR="00AA2998" w:rsidRPr="00A95B42" w:rsidRDefault="00AA2998" w:rsidP="00A95B42">
      <w:pPr>
        <w:pStyle w:val="BodyText"/>
        <w:tabs>
          <w:tab w:val="left" w:pos="360"/>
          <w:tab w:val="left" w:pos="630"/>
        </w:tabs>
        <w:suppressAutoHyphens/>
        <w:spacing w:before="0" w:after="0" w:line="240" w:lineRule="auto"/>
        <w:rPr>
          <w:bCs/>
          <w:sz w:val="22"/>
          <w:szCs w:val="22"/>
        </w:rPr>
      </w:pPr>
    </w:p>
    <w:p w:rsidR="00057AAD" w:rsidRDefault="00057AAD" w:rsidP="006F5E35">
      <w:pPr>
        <w:pStyle w:val="BodyText"/>
        <w:numPr>
          <w:ilvl w:val="0"/>
          <w:numId w:val="5"/>
        </w:numPr>
        <w:tabs>
          <w:tab w:val="left" w:pos="360"/>
          <w:tab w:val="left" w:pos="630"/>
        </w:tabs>
        <w:suppressAutoHyphens/>
        <w:spacing w:before="0" w:after="0" w:line="240" w:lineRule="auto"/>
        <w:ind w:left="0" w:firstLine="0"/>
        <w:rPr>
          <w:bCs/>
          <w:sz w:val="22"/>
          <w:szCs w:val="22"/>
        </w:rPr>
      </w:pPr>
      <w:r w:rsidRPr="00E06713">
        <w:rPr>
          <w:b/>
          <w:bCs/>
          <w:sz w:val="22"/>
          <w:szCs w:val="22"/>
        </w:rPr>
        <w:t xml:space="preserve">Financial institutions should be required to provide </w:t>
      </w:r>
      <w:r w:rsidR="00866806">
        <w:rPr>
          <w:b/>
          <w:bCs/>
          <w:sz w:val="22"/>
          <w:szCs w:val="22"/>
        </w:rPr>
        <w:t xml:space="preserve">the </w:t>
      </w:r>
      <w:r w:rsidR="00A95B42">
        <w:rPr>
          <w:b/>
          <w:bCs/>
          <w:sz w:val="22"/>
          <w:szCs w:val="22"/>
        </w:rPr>
        <w:t>CBA</w:t>
      </w:r>
      <w:r w:rsidR="00866806">
        <w:rPr>
          <w:b/>
          <w:bCs/>
          <w:sz w:val="22"/>
          <w:szCs w:val="22"/>
        </w:rPr>
        <w:t xml:space="preserve"> with </w:t>
      </w:r>
      <w:r w:rsidRPr="00E06713">
        <w:rPr>
          <w:b/>
          <w:bCs/>
          <w:sz w:val="22"/>
          <w:szCs w:val="22"/>
        </w:rPr>
        <w:t>data on consumer complaints</w:t>
      </w:r>
      <w:r w:rsidR="00866806">
        <w:rPr>
          <w:b/>
          <w:bCs/>
          <w:sz w:val="22"/>
          <w:szCs w:val="22"/>
        </w:rPr>
        <w:t>,</w:t>
      </w:r>
      <w:r w:rsidRPr="00E06713">
        <w:rPr>
          <w:b/>
          <w:bCs/>
          <w:sz w:val="22"/>
          <w:szCs w:val="22"/>
        </w:rPr>
        <w:t xml:space="preserve"> </w:t>
      </w:r>
      <w:r w:rsidR="00866806">
        <w:rPr>
          <w:b/>
          <w:bCs/>
          <w:sz w:val="22"/>
          <w:szCs w:val="22"/>
        </w:rPr>
        <w:t>and</w:t>
      </w:r>
      <w:r w:rsidRPr="00E06713">
        <w:rPr>
          <w:b/>
          <w:bCs/>
          <w:sz w:val="22"/>
          <w:szCs w:val="22"/>
        </w:rPr>
        <w:t xml:space="preserve"> the </w:t>
      </w:r>
      <w:r w:rsidR="00A95B42">
        <w:rPr>
          <w:b/>
          <w:bCs/>
          <w:sz w:val="22"/>
          <w:szCs w:val="22"/>
        </w:rPr>
        <w:t>CBA</w:t>
      </w:r>
      <w:r w:rsidRPr="00E06713">
        <w:rPr>
          <w:b/>
          <w:bCs/>
          <w:sz w:val="22"/>
          <w:szCs w:val="22"/>
        </w:rPr>
        <w:t xml:space="preserve"> should analyze </w:t>
      </w:r>
      <w:r w:rsidR="00A95B42">
        <w:rPr>
          <w:b/>
          <w:bCs/>
          <w:sz w:val="22"/>
          <w:szCs w:val="22"/>
        </w:rPr>
        <w:t xml:space="preserve">and publish </w:t>
      </w:r>
      <w:r w:rsidRPr="00E06713">
        <w:rPr>
          <w:b/>
          <w:bCs/>
          <w:sz w:val="22"/>
          <w:szCs w:val="22"/>
        </w:rPr>
        <w:t xml:space="preserve">such statistics. </w:t>
      </w:r>
      <w:r w:rsidRPr="00E06713">
        <w:rPr>
          <w:bCs/>
          <w:sz w:val="22"/>
          <w:szCs w:val="22"/>
        </w:rPr>
        <w:t xml:space="preserve">This information provides very valuable information for the </w:t>
      </w:r>
      <w:r w:rsidR="00A95B42">
        <w:rPr>
          <w:bCs/>
          <w:sz w:val="22"/>
          <w:szCs w:val="22"/>
        </w:rPr>
        <w:t>CBA</w:t>
      </w:r>
      <w:r w:rsidRPr="00E06713">
        <w:rPr>
          <w:bCs/>
          <w:sz w:val="22"/>
          <w:szCs w:val="22"/>
        </w:rPr>
        <w:t xml:space="preserve"> to conduct </w:t>
      </w:r>
      <w:r w:rsidR="00A95B42">
        <w:rPr>
          <w:bCs/>
          <w:sz w:val="22"/>
          <w:szCs w:val="22"/>
        </w:rPr>
        <w:t>its</w:t>
      </w:r>
      <w:r w:rsidRPr="00E06713">
        <w:rPr>
          <w:bCs/>
          <w:sz w:val="22"/>
          <w:szCs w:val="22"/>
        </w:rPr>
        <w:t xml:space="preserve"> consumer protection functions, and provides </w:t>
      </w:r>
      <w:r w:rsidR="00A95B42">
        <w:rPr>
          <w:bCs/>
          <w:sz w:val="22"/>
          <w:szCs w:val="22"/>
        </w:rPr>
        <w:t>it</w:t>
      </w:r>
      <w:r w:rsidRPr="00E06713">
        <w:rPr>
          <w:bCs/>
          <w:sz w:val="22"/>
          <w:szCs w:val="22"/>
        </w:rPr>
        <w:t xml:space="preserve"> with important warning signs, especially regarding reputational and operational risks. Based on the analysis of complaint statistics, the </w:t>
      </w:r>
      <w:r w:rsidR="00A95B42">
        <w:rPr>
          <w:bCs/>
          <w:sz w:val="22"/>
          <w:szCs w:val="22"/>
        </w:rPr>
        <w:t>CBA</w:t>
      </w:r>
      <w:r w:rsidRPr="00E06713">
        <w:rPr>
          <w:bCs/>
          <w:sz w:val="22"/>
          <w:szCs w:val="22"/>
        </w:rPr>
        <w:t xml:space="preserve"> could also set up programs that address the common problems identified in retail finance—by providing additional consumer education, improving disclosure requirements</w:t>
      </w:r>
      <w:r w:rsidR="00A95B42">
        <w:rPr>
          <w:bCs/>
          <w:sz w:val="22"/>
          <w:szCs w:val="22"/>
        </w:rPr>
        <w:t xml:space="preserve"> or updating business conduct regulations</w:t>
      </w:r>
      <w:r w:rsidRPr="00E06713">
        <w:rPr>
          <w:bCs/>
          <w:sz w:val="22"/>
          <w:szCs w:val="22"/>
        </w:rPr>
        <w:t>.</w:t>
      </w:r>
      <w:r w:rsidR="002B734F">
        <w:rPr>
          <w:bCs/>
          <w:sz w:val="22"/>
          <w:szCs w:val="22"/>
        </w:rPr>
        <w:t xml:space="preserve"> </w:t>
      </w:r>
    </w:p>
    <w:p w:rsidR="002B734F" w:rsidRDefault="002B734F" w:rsidP="002B734F">
      <w:pPr>
        <w:pStyle w:val="BodyText"/>
        <w:tabs>
          <w:tab w:val="left" w:pos="360"/>
          <w:tab w:val="left" w:pos="630"/>
        </w:tabs>
        <w:suppressAutoHyphens/>
        <w:spacing w:before="0" w:after="0" w:line="240" w:lineRule="auto"/>
        <w:rPr>
          <w:bCs/>
          <w:sz w:val="22"/>
          <w:szCs w:val="22"/>
        </w:rPr>
      </w:pPr>
      <w:r>
        <w:rPr>
          <w:b/>
          <w:bCs/>
          <w:sz w:val="22"/>
          <w:szCs w:val="22"/>
        </w:rPr>
        <w:t xml:space="preserve"> </w:t>
      </w:r>
    </w:p>
    <w:p w:rsidR="002B734F" w:rsidRDefault="002B734F" w:rsidP="006F5E35">
      <w:pPr>
        <w:pStyle w:val="BodyText"/>
        <w:numPr>
          <w:ilvl w:val="0"/>
          <w:numId w:val="5"/>
        </w:numPr>
        <w:tabs>
          <w:tab w:val="left" w:pos="360"/>
          <w:tab w:val="left" w:pos="630"/>
        </w:tabs>
        <w:suppressAutoHyphens/>
        <w:spacing w:before="0" w:after="0" w:line="240" w:lineRule="auto"/>
        <w:ind w:left="0" w:firstLine="0"/>
        <w:rPr>
          <w:bCs/>
          <w:sz w:val="22"/>
          <w:szCs w:val="22"/>
        </w:rPr>
      </w:pPr>
      <w:r w:rsidRPr="002B734F">
        <w:rPr>
          <w:b/>
          <w:bCs/>
          <w:sz w:val="22"/>
          <w:szCs w:val="22"/>
        </w:rPr>
        <w:t>Training of police, prosecutors and judges in financial issues should be supported.</w:t>
      </w:r>
      <w:r>
        <w:rPr>
          <w:bCs/>
          <w:sz w:val="22"/>
          <w:szCs w:val="22"/>
        </w:rPr>
        <w:t xml:space="preserve"> The investigative and judiciary bodies that come into contact with cases related to financial services should receive proper training from the CBA to understand financial services and properly interpret facts. </w:t>
      </w:r>
    </w:p>
    <w:p w:rsidR="005D33A7" w:rsidRDefault="005D33A7" w:rsidP="005D33A7">
      <w:pPr>
        <w:pStyle w:val="ListParagraph"/>
        <w:rPr>
          <w:bCs/>
          <w:sz w:val="22"/>
          <w:szCs w:val="22"/>
        </w:rPr>
      </w:pPr>
    </w:p>
    <w:p w:rsidR="005D33A7" w:rsidRPr="00E06713" w:rsidRDefault="005D33A7" w:rsidP="006F5E35">
      <w:pPr>
        <w:pStyle w:val="BodyText"/>
        <w:numPr>
          <w:ilvl w:val="0"/>
          <w:numId w:val="5"/>
        </w:numPr>
        <w:tabs>
          <w:tab w:val="left" w:pos="360"/>
          <w:tab w:val="left" w:pos="630"/>
        </w:tabs>
        <w:suppressAutoHyphens/>
        <w:spacing w:before="0" w:after="0" w:line="240" w:lineRule="auto"/>
        <w:ind w:left="0" w:firstLine="0"/>
        <w:rPr>
          <w:bCs/>
          <w:sz w:val="22"/>
          <w:szCs w:val="22"/>
        </w:rPr>
      </w:pPr>
      <w:r w:rsidRPr="005D33A7">
        <w:rPr>
          <w:b/>
          <w:bCs/>
          <w:sz w:val="22"/>
          <w:szCs w:val="22"/>
        </w:rPr>
        <w:t>Media coverage of financial services would benefit from a similar training of journalists.</w:t>
      </w:r>
      <w:r>
        <w:rPr>
          <w:bCs/>
          <w:sz w:val="22"/>
          <w:szCs w:val="22"/>
        </w:rPr>
        <w:t xml:space="preserve"> </w:t>
      </w:r>
      <w:r w:rsidRPr="005D33A7">
        <w:rPr>
          <w:bCs/>
          <w:sz w:val="22"/>
          <w:szCs w:val="22"/>
        </w:rPr>
        <w:t xml:space="preserve">Similar educational activities could be targeted to journalists to better educate them about the negative impact of market misconduct and misselling of financial products. The CBA should also communicate key cases more actively and encourage media coverage of consumer finance.   </w:t>
      </w:r>
    </w:p>
    <w:p w:rsidR="00057AAD" w:rsidRPr="00E06713" w:rsidRDefault="00057AAD" w:rsidP="00C13A13">
      <w:pPr>
        <w:rPr>
          <w:bCs/>
          <w:sz w:val="22"/>
          <w:szCs w:val="22"/>
        </w:rPr>
      </w:pPr>
    </w:p>
    <w:p w:rsidR="00057AAD" w:rsidRPr="002E65C8" w:rsidRDefault="00057AAD" w:rsidP="005A2DBA">
      <w:pPr>
        <w:pStyle w:val="Heading1"/>
        <w:rPr>
          <w:rFonts w:ascii="Times New Roman" w:hAnsi="Times New Roman" w:cs="Times New Roman"/>
          <w:i/>
          <w:sz w:val="28"/>
        </w:rPr>
      </w:pPr>
      <w:bookmarkStart w:id="50" w:name="_Toc263494690"/>
      <w:bookmarkStart w:id="51" w:name="_Toc331409067"/>
      <w:r w:rsidRPr="002E65C8">
        <w:rPr>
          <w:rFonts w:ascii="Times New Roman" w:hAnsi="Times New Roman" w:cs="Times New Roman"/>
          <w:i/>
          <w:sz w:val="28"/>
        </w:rPr>
        <w:t>Financial Education</w:t>
      </w:r>
      <w:bookmarkEnd w:id="50"/>
      <w:bookmarkEnd w:id="51"/>
    </w:p>
    <w:p w:rsidR="00057AAD" w:rsidRDefault="00057AAD" w:rsidP="00FA24DD">
      <w:pPr>
        <w:jc w:val="both"/>
        <w:rPr>
          <w:bCs/>
          <w:sz w:val="22"/>
          <w:szCs w:val="22"/>
        </w:rPr>
      </w:pPr>
    </w:p>
    <w:p w:rsidR="00C60A95" w:rsidRDefault="00C60A95" w:rsidP="00C60A95">
      <w:pPr>
        <w:pStyle w:val="BodyText"/>
        <w:numPr>
          <w:ilvl w:val="0"/>
          <w:numId w:val="5"/>
        </w:numPr>
        <w:tabs>
          <w:tab w:val="left" w:pos="360"/>
          <w:tab w:val="left" w:pos="630"/>
        </w:tabs>
        <w:suppressAutoHyphens/>
        <w:spacing w:before="0" w:after="0" w:line="240" w:lineRule="auto"/>
        <w:ind w:left="0" w:firstLine="0"/>
        <w:rPr>
          <w:bCs/>
          <w:sz w:val="22"/>
          <w:szCs w:val="22"/>
        </w:rPr>
      </w:pPr>
      <w:r w:rsidRPr="00C60A95">
        <w:rPr>
          <w:b/>
          <w:bCs/>
          <w:sz w:val="22"/>
          <w:szCs w:val="22"/>
        </w:rPr>
        <w:t xml:space="preserve">The </w:t>
      </w:r>
      <w:r w:rsidR="0065722A">
        <w:rPr>
          <w:b/>
          <w:bCs/>
          <w:sz w:val="22"/>
          <w:szCs w:val="22"/>
        </w:rPr>
        <w:t>g</w:t>
      </w:r>
      <w:r w:rsidRPr="00C60A95">
        <w:rPr>
          <w:b/>
          <w:bCs/>
          <w:sz w:val="22"/>
          <w:szCs w:val="22"/>
        </w:rPr>
        <w:t xml:space="preserve">overnment should adopt a national strategy on financial education </w:t>
      </w:r>
      <w:r>
        <w:rPr>
          <w:b/>
          <w:bCs/>
          <w:sz w:val="22"/>
          <w:szCs w:val="22"/>
        </w:rPr>
        <w:t>and the financial industry should support financial education activities</w:t>
      </w:r>
      <w:r w:rsidRPr="00C60A95">
        <w:rPr>
          <w:b/>
          <w:bCs/>
          <w:sz w:val="22"/>
          <w:szCs w:val="22"/>
        </w:rPr>
        <w:t>.</w:t>
      </w:r>
      <w:r w:rsidRPr="00C60A95">
        <w:rPr>
          <w:bCs/>
          <w:sz w:val="22"/>
          <w:szCs w:val="22"/>
        </w:rPr>
        <w:t xml:space="preserve"> Consumers of financial products should not only receive adequate information on financial products but should </w:t>
      </w:r>
      <w:r>
        <w:rPr>
          <w:bCs/>
          <w:sz w:val="22"/>
          <w:szCs w:val="22"/>
        </w:rPr>
        <w:t>primarily</w:t>
      </w:r>
      <w:r w:rsidRPr="00C60A95">
        <w:rPr>
          <w:bCs/>
          <w:sz w:val="22"/>
          <w:szCs w:val="22"/>
        </w:rPr>
        <w:t xml:space="preserve"> be equipped to use this information to make informed decisions. Therefore, a long-term national financial literacy strategy should be developed and adopted by the Government of Armenia, with both in-school programs and programs for other groups of citizens. Financial industry associations should be encouraged to develop financial education activities and materials and coordinate financial education programs among its members, reporting to the </w:t>
      </w:r>
      <w:r w:rsidR="00CF53BB">
        <w:rPr>
          <w:bCs/>
          <w:sz w:val="22"/>
          <w:szCs w:val="22"/>
        </w:rPr>
        <w:t xml:space="preserve">Steering Committee for the National Strategy of </w:t>
      </w:r>
      <w:r w:rsidRPr="00C60A95">
        <w:rPr>
          <w:bCs/>
          <w:sz w:val="22"/>
          <w:szCs w:val="22"/>
        </w:rPr>
        <w:t xml:space="preserve">Financial Education on activities in their respective industry. </w:t>
      </w:r>
    </w:p>
    <w:p w:rsidR="00C60A95" w:rsidRPr="00C60A95" w:rsidRDefault="00C60A95" w:rsidP="00C60A95">
      <w:pPr>
        <w:pStyle w:val="BodyText"/>
        <w:tabs>
          <w:tab w:val="left" w:pos="360"/>
          <w:tab w:val="left" w:pos="630"/>
        </w:tabs>
        <w:suppressAutoHyphens/>
        <w:spacing w:before="0" w:after="0" w:line="240" w:lineRule="auto"/>
        <w:rPr>
          <w:bCs/>
          <w:sz w:val="22"/>
          <w:szCs w:val="22"/>
        </w:rPr>
      </w:pPr>
    </w:p>
    <w:p w:rsidR="00C60A95" w:rsidRDefault="00CF53BB" w:rsidP="00C60A95">
      <w:pPr>
        <w:pStyle w:val="BodyText"/>
        <w:numPr>
          <w:ilvl w:val="0"/>
          <w:numId w:val="5"/>
        </w:numPr>
        <w:tabs>
          <w:tab w:val="left" w:pos="360"/>
          <w:tab w:val="left" w:pos="630"/>
        </w:tabs>
        <w:suppressAutoHyphens/>
        <w:spacing w:before="0" w:after="0" w:line="240" w:lineRule="auto"/>
        <w:ind w:left="0" w:firstLine="0"/>
        <w:rPr>
          <w:bCs/>
          <w:sz w:val="22"/>
          <w:szCs w:val="22"/>
        </w:rPr>
      </w:pPr>
      <w:r>
        <w:rPr>
          <w:b/>
          <w:bCs/>
          <w:sz w:val="22"/>
          <w:szCs w:val="22"/>
        </w:rPr>
        <w:t xml:space="preserve">The </w:t>
      </w:r>
      <w:r w:rsidRPr="00CF53BB">
        <w:rPr>
          <w:b/>
          <w:bCs/>
          <w:sz w:val="22"/>
          <w:szCs w:val="22"/>
        </w:rPr>
        <w:t>Steering Committee for the National Strategy of</w:t>
      </w:r>
      <w:r w:rsidRPr="00C60A95">
        <w:rPr>
          <w:b/>
          <w:bCs/>
          <w:sz w:val="22"/>
          <w:szCs w:val="22"/>
        </w:rPr>
        <w:t xml:space="preserve"> </w:t>
      </w:r>
      <w:r w:rsidR="00003463">
        <w:rPr>
          <w:b/>
          <w:bCs/>
          <w:sz w:val="22"/>
          <w:szCs w:val="22"/>
        </w:rPr>
        <w:t xml:space="preserve">Financial Education </w:t>
      </w:r>
      <w:r>
        <w:rPr>
          <w:b/>
          <w:bCs/>
          <w:sz w:val="22"/>
          <w:szCs w:val="22"/>
        </w:rPr>
        <w:t xml:space="preserve">should </w:t>
      </w:r>
      <w:r w:rsidR="00BA58B7">
        <w:rPr>
          <w:b/>
          <w:bCs/>
          <w:sz w:val="22"/>
          <w:szCs w:val="22"/>
        </w:rPr>
        <w:t xml:space="preserve">evaluate existing programs and </w:t>
      </w:r>
      <w:r>
        <w:rPr>
          <w:b/>
          <w:bCs/>
          <w:sz w:val="22"/>
          <w:szCs w:val="22"/>
        </w:rPr>
        <w:t xml:space="preserve">develop and </w:t>
      </w:r>
      <w:r w:rsidR="00C60A95" w:rsidRPr="00C60A95">
        <w:rPr>
          <w:b/>
          <w:bCs/>
          <w:sz w:val="22"/>
          <w:szCs w:val="22"/>
        </w:rPr>
        <w:t>implement</w:t>
      </w:r>
      <w:r w:rsidR="00C60A95">
        <w:rPr>
          <w:b/>
          <w:bCs/>
          <w:sz w:val="22"/>
          <w:szCs w:val="22"/>
        </w:rPr>
        <w:t xml:space="preserve"> the financial education strategy</w:t>
      </w:r>
      <w:r w:rsidR="00C60A95" w:rsidRPr="00C60A95">
        <w:rPr>
          <w:b/>
          <w:bCs/>
          <w:sz w:val="22"/>
          <w:szCs w:val="22"/>
        </w:rPr>
        <w:t>.</w:t>
      </w:r>
      <w:r w:rsidR="00C60A95" w:rsidRPr="00C60A95">
        <w:rPr>
          <w:bCs/>
          <w:sz w:val="22"/>
          <w:szCs w:val="22"/>
        </w:rPr>
        <w:t xml:space="preserve"> The CBA </w:t>
      </w:r>
      <w:r>
        <w:rPr>
          <w:bCs/>
          <w:sz w:val="22"/>
          <w:szCs w:val="22"/>
        </w:rPr>
        <w:t xml:space="preserve">in cooperation with ministries, the Financial System Mediator, the MTPL Bureau, the Pension Awareness Center, financial associations and consumer NGOs </w:t>
      </w:r>
      <w:r w:rsidR="00C60A95" w:rsidRPr="00C60A95">
        <w:rPr>
          <w:bCs/>
          <w:sz w:val="22"/>
          <w:szCs w:val="22"/>
        </w:rPr>
        <w:t xml:space="preserve">should </w:t>
      </w:r>
      <w:r>
        <w:rPr>
          <w:bCs/>
          <w:sz w:val="22"/>
          <w:szCs w:val="22"/>
        </w:rPr>
        <w:t>closely cooperate within the Steering Committee for the National Strategy of</w:t>
      </w:r>
      <w:r w:rsidR="00C60A95" w:rsidRPr="00C60A95">
        <w:rPr>
          <w:bCs/>
          <w:sz w:val="22"/>
          <w:szCs w:val="22"/>
        </w:rPr>
        <w:t xml:space="preserve"> Financial Education</w:t>
      </w:r>
      <w:r w:rsidR="00F73797">
        <w:rPr>
          <w:bCs/>
          <w:sz w:val="22"/>
          <w:szCs w:val="22"/>
        </w:rPr>
        <w:t xml:space="preserve">. The Steering Committee should </w:t>
      </w:r>
      <w:r w:rsidR="00BA58B7">
        <w:rPr>
          <w:bCs/>
          <w:sz w:val="22"/>
          <w:szCs w:val="22"/>
        </w:rPr>
        <w:t xml:space="preserve">evaluate existing financial education programs and </w:t>
      </w:r>
      <w:r w:rsidR="00F73797">
        <w:rPr>
          <w:bCs/>
          <w:sz w:val="22"/>
          <w:szCs w:val="22"/>
        </w:rPr>
        <w:t>develop strategies and benchmarks for financial</w:t>
      </w:r>
      <w:r w:rsidR="00C60A95" w:rsidRPr="00C60A95">
        <w:rPr>
          <w:bCs/>
          <w:sz w:val="22"/>
          <w:szCs w:val="22"/>
        </w:rPr>
        <w:t xml:space="preserve"> </w:t>
      </w:r>
      <w:r w:rsidR="00F73797">
        <w:rPr>
          <w:bCs/>
          <w:sz w:val="22"/>
          <w:szCs w:val="22"/>
        </w:rPr>
        <w:t xml:space="preserve">education in schools </w:t>
      </w:r>
      <w:r w:rsidR="00BA58B7">
        <w:rPr>
          <w:bCs/>
          <w:sz w:val="22"/>
          <w:szCs w:val="22"/>
        </w:rPr>
        <w:t xml:space="preserve">as well as for </w:t>
      </w:r>
      <w:r w:rsidR="00F73797">
        <w:rPr>
          <w:bCs/>
          <w:sz w:val="22"/>
          <w:szCs w:val="22"/>
        </w:rPr>
        <w:t xml:space="preserve">continuous lifetime financial </w:t>
      </w:r>
      <w:r w:rsidR="00F73797">
        <w:rPr>
          <w:bCs/>
          <w:sz w:val="22"/>
          <w:szCs w:val="22"/>
        </w:rPr>
        <w:lastRenderedPageBreak/>
        <w:t>education programs. The Steering Committee</w:t>
      </w:r>
      <w:r w:rsidR="00C60A95" w:rsidRPr="00C60A95">
        <w:rPr>
          <w:bCs/>
          <w:sz w:val="22"/>
          <w:szCs w:val="22"/>
        </w:rPr>
        <w:t xml:space="preserve"> </w:t>
      </w:r>
      <w:r w:rsidR="00F73797">
        <w:rPr>
          <w:bCs/>
          <w:sz w:val="22"/>
          <w:szCs w:val="22"/>
        </w:rPr>
        <w:t>sh</w:t>
      </w:r>
      <w:r w:rsidR="00F73797" w:rsidRPr="00C60A95">
        <w:rPr>
          <w:bCs/>
          <w:sz w:val="22"/>
          <w:szCs w:val="22"/>
        </w:rPr>
        <w:t xml:space="preserve">ould </w:t>
      </w:r>
      <w:r w:rsidR="00C60A95" w:rsidRPr="00C60A95">
        <w:rPr>
          <w:bCs/>
          <w:sz w:val="22"/>
          <w:szCs w:val="22"/>
        </w:rPr>
        <w:t xml:space="preserve">coordinate public and private financial education programs </w:t>
      </w:r>
      <w:r w:rsidR="00056D00" w:rsidRPr="00056D00">
        <w:rPr>
          <w:bCs/>
          <w:sz w:val="22"/>
          <w:szCs w:val="22"/>
        </w:rPr>
        <w:t xml:space="preserve">in order to maximize financial literacy </w:t>
      </w:r>
      <w:r w:rsidR="00056D00">
        <w:rPr>
          <w:bCs/>
          <w:sz w:val="22"/>
          <w:szCs w:val="22"/>
        </w:rPr>
        <w:t>impact</w:t>
      </w:r>
      <w:r w:rsidR="00056D00" w:rsidRPr="00056D00">
        <w:rPr>
          <w:bCs/>
          <w:sz w:val="22"/>
          <w:szCs w:val="22"/>
        </w:rPr>
        <w:t>, leverage existing resources and avoid duplication of efforts</w:t>
      </w:r>
      <w:r w:rsidR="00056D00">
        <w:rPr>
          <w:bCs/>
          <w:sz w:val="22"/>
          <w:szCs w:val="22"/>
        </w:rPr>
        <w:t xml:space="preserve">. The </w:t>
      </w:r>
      <w:r w:rsidR="00F73797">
        <w:rPr>
          <w:bCs/>
          <w:sz w:val="22"/>
          <w:szCs w:val="22"/>
        </w:rPr>
        <w:t>Steering Committee</w:t>
      </w:r>
      <w:r w:rsidR="00F73797" w:rsidRPr="00C60A95">
        <w:rPr>
          <w:bCs/>
          <w:sz w:val="22"/>
          <w:szCs w:val="22"/>
        </w:rPr>
        <w:t xml:space="preserve"> </w:t>
      </w:r>
      <w:r w:rsidR="00056D00">
        <w:rPr>
          <w:bCs/>
          <w:sz w:val="22"/>
          <w:szCs w:val="22"/>
        </w:rPr>
        <w:t>should also</w:t>
      </w:r>
      <w:r w:rsidR="00056D00" w:rsidRPr="00056D00">
        <w:rPr>
          <w:bCs/>
          <w:sz w:val="22"/>
          <w:szCs w:val="22"/>
        </w:rPr>
        <w:t xml:space="preserve"> </w:t>
      </w:r>
      <w:r w:rsidR="00C60A95" w:rsidRPr="00C60A95">
        <w:rPr>
          <w:bCs/>
          <w:sz w:val="22"/>
          <w:szCs w:val="22"/>
        </w:rPr>
        <w:t>regularly evaluate existing financial education programs and their efficiency</w:t>
      </w:r>
      <w:r w:rsidR="00F73797">
        <w:rPr>
          <w:bCs/>
          <w:sz w:val="22"/>
          <w:szCs w:val="22"/>
        </w:rPr>
        <w:t xml:space="preserve"> based on the pre-agreed benchmarks</w:t>
      </w:r>
      <w:r w:rsidR="00C60A95" w:rsidRPr="00C60A95">
        <w:rPr>
          <w:bCs/>
          <w:sz w:val="22"/>
          <w:szCs w:val="22"/>
        </w:rPr>
        <w:t xml:space="preserve">. Effectiveness and impact of financial education initiatives should be evaluated from the outset, so as to identify the ones that are most beneficial and should be scaled up. The </w:t>
      </w:r>
      <w:r w:rsidR="00F73797">
        <w:rPr>
          <w:bCs/>
          <w:sz w:val="22"/>
          <w:szCs w:val="22"/>
        </w:rPr>
        <w:t>Steering Committee</w:t>
      </w:r>
      <w:r w:rsidR="00F73797" w:rsidRPr="00C60A95">
        <w:rPr>
          <w:bCs/>
          <w:sz w:val="22"/>
          <w:szCs w:val="22"/>
        </w:rPr>
        <w:t xml:space="preserve"> </w:t>
      </w:r>
      <w:r w:rsidR="00C60A95" w:rsidRPr="00C60A95">
        <w:rPr>
          <w:bCs/>
          <w:sz w:val="22"/>
          <w:szCs w:val="22"/>
        </w:rPr>
        <w:t xml:space="preserve">should comprise all key stakeholders, including the CBA, </w:t>
      </w:r>
      <w:r w:rsidR="00F73797">
        <w:rPr>
          <w:bCs/>
          <w:sz w:val="22"/>
          <w:szCs w:val="22"/>
        </w:rPr>
        <w:t>the all relevant ministries and state bodies, the Financial System Mediator, the MTPL Bureau, the Pension Awareness Center, financial associations</w:t>
      </w:r>
      <w:r w:rsidR="00F73797" w:rsidRPr="00C60A95">
        <w:rPr>
          <w:bCs/>
          <w:sz w:val="22"/>
          <w:szCs w:val="22"/>
        </w:rPr>
        <w:t>, educational institutions</w:t>
      </w:r>
      <w:r w:rsidR="00F73797">
        <w:rPr>
          <w:bCs/>
          <w:sz w:val="22"/>
          <w:szCs w:val="22"/>
        </w:rPr>
        <w:t xml:space="preserve"> and consumer NGOs </w:t>
      </w:r>
      <w:r w:rsidR="00C60A95" w:rsidRPr="00C60A95">
        <w:rPr>
          <w:bCs/>
          <w:sz w:val="22"/>
          <w:szCs w:val="22"/>
        </w:rPr>
        <w:t xml:space="preserve">Meetings should be conducted on a regular basis (at least twice a year) to assess and report on the progress made in implementing the national financial education strategy and streamline and evaluate financial education initiatives. </w:t>
      </w:r>
    </w:p>
    <w:p w:rsidR="00003463" w:rsidRPr="00C60A95" w:rsidRDefault="00003463" w:rsidP="00003463">
      <w:pPr>
        <w:pStyle w:val="BodyText"/>
        <w:tabs>
          <w:tab w:val="left" w:pos="360"/>
          <w:tab w:val="left" w:pos="630"/>
        </w:tabs>
        <w:suppressAutoHyphens/>
        <w:spacing w:before="0" w:after="0" w:line="240" w:lineRule="auto"/>
        <w:rPr>
          <w:bCs/>
          <w:sz w:val="22"/>
          <w:szCs w:val="22"/>
        </w:rPr>
      </w:pPr>
    </w:p>
    <w:p w:rsidR="00867FE2" w:rsidRPr="00867FE2" w:rsidRDefault="00867FE2" w:rsidP="00C60A95">
      <w:pPr>
        <w:pStyle w:val="BodyText"/>
        <w:numPr>
          <w:ilvl w:val="0"/>
          <w:numId w:val="5"/>
        </w:numPr>
        <w:tabs>
          <w:tab w:val="left" w:pos="360"/>
          <w:tab w:val="left" w:pos="630"/>
        </w:tabs>
        <w:suppressAutoHyphens/>
        <w:spacing w:before="0" w:after="0" w:line="240" w:lineRule="auto"/>
        <w:ind w:left="0" w:firstLine="0"/>
        <w:rPr>
          <w:bCs/>
          <w:sz w:val="22"/>
          <w:szCs w:val="22"/>
        </w:rPr>
      </w:pPr>
      <w:r w:rsidRPr="00867FE2">
        <w:rPr>
          <w:b/>
          <w:bCs/>
          <w:sz w:val="22"/>
          <w:szCs w:val="22"/>
        </w:rPr>
        <w:t>The work on the national strategy should be informed by detailed surveys of the Armenian population.</w:t>
      </w:r>
      <w:r>
        <w:rPr>
          <w:bCs/>
          <w:sz w:val="22"/>
          <w:szCs w:val="22"/>
        </w:rPr>
        <w:t xml:space="preserve"> T</w:t>
      </w:r>
      <w:r w:rsidRPr="00867FE2">
        <w:rPr>
          <w:bCs/>
          <w:sz w:val="22"/>
          <w:szCs w:val="22"/>
        </w:rPr>
        <w:t>he World Bank 2012 Financial Literacy survey (with preliminary results included as part VI. of this report)</w:t>
      </w:r>
      <w:r>
        <w:rPr>
          <w:bCs/>
          <w:sz w:val="22"/>
          <w:szCs w:val="22"/>
        </w:rPr>
        <w:t xml:space="preserve"> should be used by the Steering Committee to select key priorities and the most effective delivery channels for the financial education programs to be implemented. </w:t>
      </w:r>
      <w:r w:rsidR="00260EDC" w:rsidRPr="00260EDC">
        <w:rPr>
          <w:bCs/>
          <w:sz w:val="22"/>
          <w:szCs w:val="22"/>
        </w:rPr>
        <w:t xml:space="preserve">The results of this survey </w:t>
      </w:r>
      <w:r w:rsidR="00260EDC">
        <w:rPr>
          <w:bCs/>
          <w:sz w:val="22"/>
          <w:szCs w:val="22"/>
        </w:rPr>
        <w:t>should</w:t>
      </w:r>
      <w:r w:rsidR="00260EDC" w:rsidRPr="00260EDC">
        <w:rPr>
          <w:bCs/>
          <w:sz w:val="22"/>
          <w:szCs w:val="22"/>
        </w:rPr>
        <w:t xml:space="preserve"> provide the necessary information to the policy makers to better target and develop effective financial education programs, thus allowing consumers of financial services to improve the understanding and skills and making informed decisions, through instruction (traini</w:t>
      </w:r>
      <w:r w:rsidR="00260EDC">
        <w:rPr>
          <w:bCs/>
          <w:sz w:val="22"/>
          <w:szCs w:val="22"/>
        </w:rPr>
        <w:t>ng and guidance), information (</w:t>
      </w:r>
      <w:r w:rsidR="00260EDC" w:rsidRPr="00260EDC">
        <w:rPr>
          <w:bCs/>
          <w:sz w:val="22"/>
          <w:szCs w:val="22"/>
        </w:rPr>
        <w:t>facts, data and knowledge on financial opportunities, choic</w:t>
      </w:r>
      <w:r w:rsidR="00260EDC">
        <w:rPr>
          <w:bCs/>
          <w:sz w:val="22"/>
          <w:szCs w:val="22"/>
        </w:rPr>
        <w:t>es and consequences) and advice.</w:t>
      </w:r>
      <w:r w:rsidR="00260EDC" w:rsidRPr="00260EDC">
        <w:rPr>
          <w:bCs/>
          <w:sz w:val="22"/>
          <w:szCs w:val="22"/>
        </w:rPr>
        <w:t xml:space="preserve"> Such information is not only critical to serve as a baseline for measuring the impact of strategy implementation but even more important for developing  financial education programs that are well targeted and that use appropriate channels of delivery and instruments to meet the needs of different socio-economic and demographic categories of consumers.</w:t>
      </w:r>
    </w:p>
    <w:p w:rsidR="00867FE2" w:rsidRDefault="00867FE2" w:rsidP="00867FE2">
      <w:pPr>
        <w:pStyle w:val="ListParagraph"/>
        <w:rPr>
          <w:b/>
          <w:bCs/>
          <w:sz w:val="22"/>
          <w:szCs w:val="22"/>
        </w:rPr>
      </w:pPr>
    </w:p>
    <w:p w:rsidR="00C60A95" w:rsidRPr="00C60A95" w:rsidRDefault="00C60A95" w:rsidP="00C60A95">
      <w:pPr>
        <w:pStyle w:val="BodyText"/>
        <w:numPr>
          <w:ilvl w:val="0"/>
          <w:numId w:val="5"/>
        </w:numPr>
        <w:tabs>
          <w:tab w:val="left" w:pos="360"/>
          <w:tab w:val="left" w:pos="630"/>
        </w:tabs>
        <w:suppressAutoHyphens/>
        <w:spacing w:before="0" w:after="0" w:line="240" w:lineRule="auto"/>
        <w:ind w:left="0" w:firstLine="0"/>
        <w:rPr>
          <w:bCs/>
          <w:sz w:val="22"/>
          <w:szCs w:val="22"/>
        </w:rPr>
      </w:pPr>
      <w:r w:rsidRPr="00003463">
        <w:rPr>
          <w:b/>
          <w:bCs/>
          <w:sz w:val="22"/>
          <w:szCs w:val="22"/>
        </w:rPr>
        <w:t xml:space="preserve">Focus </w:t>
      </w:r>
      <w:r w:rsidR="00003463" w:rsidRPr="00003463">
        <w:rPr>
          <w:b/>
          <w:bCs/>
          <w:sz w:val="22"/>
          <w:szCs w:val="22"/>
        </w:rPr>
        <w:t xml:space="preserve">of the education activities </w:t>
      </w:r>
      <w:r w:rsidRPr="00003463">
        <w:rPr>
          <w:b/>
          <w:bCs/>
          <w:sz w:val="22"/>
          <w:szCs w:val="22"/>
        </w:rPr>
        <w:t>should be on consumer rights and obligations as well the risks and rewards of using financial services.</w:t>
      </w:r>
      <w:r w:rsidRPr="00C60A95">
        <w:rPr>
          <w:bCs/>
          <w:sz w:val="22"/>
          <w:szCs w:val="22"/>
        </w:rPr>
        <w:t xml:space="preserve"> Understanding–and properly utilizing–consumer rights are an important part of financial education and consumer empowerment. Therefore, part of the financial education programs should focus on explaining consumers' rights and how to use them. The planned financial education programs should be divided into several areas. Besides general financial education that should focus on explaining individuals' rights as consumers of financial services with the aim of increasing the trust of the public in financial institutions, specific programs should seek and focus on education during teachable moments, i.e. life situations when people need advice and are thus willing to listen to the educational message. </w:t>
      </w:r>
    </w:p>
    <w:p w:rsidR="00C60A95" w:rsidRPr="00C60A95" w:rsidRDefault="00C60A95" w:rsidP="00003463">
      <w:pPr>
        <w:pStyle w:val="BodyText"/>
        <w:tabs>
          <w:tab w:val="left" w:pos="360"/>
          <w:tab w:val="left" w:pos="630"/>
        </w:tabs>
        <w:suppressAutoHyphens/>
        <w:spacing w:before="0" w:after="0" w:line="240" w:lineRule="auto"/>
        <w:rPr>
          <w:bCs/>
          <w:sz w:val="22"/>
          <w:szCs w:val="22"/>
        </w:rPr>
      </w:pPr>
    </w:p>
    <w:p w:rsidR="00C60A95" w:rsidRPr="00C60A95" w:rsidRDefault="00C60A95" w:rsidP="00C60A95">
      <w:pPr>
        <w:pStyle w:val="BodyText"/>
        <w:numPr>
          <w:ilvl w:val="0"/>
          <w:numId w:val="5"/>
        </w:numPr>
        <w:tabs>
          <w:tab w:val="left" w:pos="360"/>
          <w:tab w:val="left" w:pos="630"/>
        </w:tabs>
        <w:suppressAutoHyphens/>
        <w:spacing w:before="0" w:after="0" w:line="240" w:lineRule="auto"/>
        <w:ind w:left="0" w:firstLine="0"/>
        <w:rPr>
          <w:bCs/>
          <w:sz w:val="22"/>
          <w:szCs w:val="22"/>
        </w:rPr>
      </w:pPr>
      <w:r w:rsidRPr="00003463">
        <w:rPr>
          <w:b/>
          <w:bCs/>
          <w:sz w:val="22"/>
          <w:szCs w:val="22"/>
        </w:rPr>
        <w:t>One form of financial education is consumer disclosure.</w:t>
      </w:r>
      <w:r w:rsidRPr="00C60A95">
        <w:rPr>
          <w:bCs/>
          <w:sz w:val="22"/>
          <w:szCs w:val="22"/>
        </w:rPr>
        <w:t xml:space="preserve"> Consumer disclosure is important as source of financial education across all financial services but the issues are particularly important for insurance and private pensions which have long-term horizons. Consumer rights (as well as consumer obligations) should be clearly defined in the legislation and also communicated clearly to consumers. For example, in the area of insurance, the regulation should include clear rules on fair claims practices and these rules should be communicated in plain language to consumers not only by insurers but also by the </w:t>
      </w:r>
      <w:r w:rsidR="00003463" w:rsidRPr="00C60A95">
        <w:rPr>
          <w:bCs/>
          <w:sz w:val="22"/>
          <w:szCs w:val="22"/>
        </w:rPr>
        <w:t>MTPL Bureau</w:t>
      </w:r>
      <w:r w:rsidR="00003463">
        <w:rPr>
          <w:bCs/>
          <w:sz w:val="22"/>
          <w:szCs w:val="22"/>
        </w:rPr>
        <w:t>, the</w:t>
      </w:r>
      <w:r w:rsidR="00003463" w:rsidRPr="00C60A95">
        <w:rPr>
          <w:bCs/>
          <w:sz w:val="22"/>
          <w:szCs w:val="22"/>
        </w:rPr>
        <w:t xml:space="preserve"> </w:t>
      </w:r>
      <w:r w:rsidRPr="00C60A95">
        <w:rPr>
          <w:bCs/>
          <w:sz w:val="22"/>
          <w:szCs w:val="22"/>
        </w:rPr>
        <w:t xml:space="preserve">Financial </w:t>
      </w:r>
      <w:r w:rsidR="00F73797">
        <w:rPr>
          <w:bCs/>
          <w:sz w:val="22"/>
          <w:szCs w:val="22"/>
        </w:rPr>
        <w:t>System</w:t>
      </w:r>
      <w:r w:rsidRPr="00C60A95">
        <w:rPr>
          <w:bCs/>
          <w:sz w:val="22"/>
          <w:szCs w:val="22"/>
        </w:rPr>
        <w:t xml:space="preserve"> Mediator as well as by the consumer organizations. The </w:t>
      </w:r>
      <w:r w:rsidR="00003463" w:rsidRPr="00003463">
        <w:rPr>
          <w:bCs/>
          <w:sz w:val="22"/>
          <w:szCs w:val="22"/>
        </w:rPr>
        <w:t xml:space="preserve">Financial Education </w:t>
      </w:r>
      <w:r w:rsidR="00F73797">
        <w:rPr>
          <w:bCs/>
          <w:sz w:val="22"/>
          <w:szCs w:val="22"/>
        </w:rPr>
        <w:t>Steering Committee</w:t>
      </w:r>
      <w:r w:rsidR="00003463" w:rsidRPr="00003463">
        <w:rPr>
          <w:bCs/>
          <w:sz w:val="22"/>
          <w:szCs w:val="22"/>
        </w:rPr>
        <w:t xml:space="preserve"> </w:t>
      </w:r>
      <w:r w:rsidRPr="00C60A95">
        <w:rPr>
          <w:bCs/>
          <w:sz w:val="22"/>
          <w:szCs w:val="22"/>
        </w:rPr>
        <w:t xml:space="preserve">should analyze the public education program conducted before the introduction of the MTPL insurance and </w:t>
      </w:r>
      <w:r w:rsidR="00003463">
        <w:rPr>
          <w:bCs/>
          <w:sz w:val="22"/>
          <w:szCs w:val="22"/>
        </w:rPr>
        <w:t>it</w:t>
      </w:r>
      <w:r w:rsidRPr="00C60A95">
        <w:rPr>
          <w:bCs/>
          <w:sz w:val="22"/>
          <w:szCs w:val="22"/>
        </w:rPr>
        <w:t xml:space="preserve"> should reflect on lessons learned in improving the communication of MTPL insurance in the future as well as in preparing the education campaign for the pension fund reform.</w:t>
      </w:r>
    </w:p>
    <w:p w:rsidR="00C60A95" w:rsidRPr="00C60A95" w:rsidRDefault="00C60A95" w:rsidP="00003463">
      <w:pPr>
        <w:pStyle w:val="BodyText"/>
        <w:tabs>
          <w:tab w:val="left" w:pos="360"/>
          <w:tab w:val="left" w:pos="630"/>
        </w:tabs>
        <w:suppressAutoHyphens/>
        <w:spacing w:before="0" w:after="0" w:line="240" w:lineRule="auto"/>
        <w:rPr>
          <w:bCs/>
          <w:sz w:val="22"/>
          <w:szCs w:val="22"/>
        </w:rPr>
      </w:pPr>
    </w:p>
    <w:p w:rsidR="000A441F" w:rsidRDefault="00C60A95" w:rsidP="00C60A95">
      <w:pPr>
        <w:pStyle w:val="BodyText"/>
        <w:numPr>
          <w:ilvl w:val="0"/>
          <w:numId w:val="5"/>
        </w:numPr>
        <w:tabs>
          <w:tab w:val="left" w:pos="360"/>
          <w:tab w:val="left" w:pos="630"/>
        </w:tabs>
        <w:suppressAutoHyphens/>
        <w:spacing w:before="0" w:after="0" w:line="240" w:lineRule="auto"/>
        <w:ind w:left="0" w:firstLine="0"/>
        <w:rPr>
          <w:bCs/>
          <w:sz w:val="22"/>
          <w:szCs w:val="22"/>
        </w:rPr>
      </w:pPr>
      <w:r w:rsidRPr="00003463">
        <w:rPr>
          <w:b/>
          <w:bCs/>
          <w:sz w:val="22"/>
          <w:szCs w:val="22"/>
        </w:rPr>
        <w:t xml:space="preserve">Financial education </w:t>
      </w:r>
      <w:r w:rsidR="00003463">
        <w:rPr>
          <w:b/>
          <w:bCs/>
          <w:sz w:val="22"/>
          <w:szCs w:val="22"/>
        </w:rPr>
        <w:t>in schools should be conducted throughout the curriculum</w:t>
      </w:r>
      <w:r w:rsidRPr="00003463">
        <w:rPr>
          <w:b/>
          <w:bCs/>
          <w:sz w:val="22"/>
          <w:szCs w:val="22"/>
        </w:rPr>
        <w:t>.</w:t>
      </w:r>
      <w:r w:rsidR="00003463">
        <w:rPr>
          <w:bCs/>
          <w:sz w:val="22"/>
          <w:szCs w:val="22"/>
        </w:rPr>
        <w:t xml:space="preserve"> </w:t>
      </w:r>
      <w:r w:rsidR="000A441F" w:rsidRPr="000A441F">
        <w:rPr>
          <w:bCs/>
          <w:sz w:val="22"/>
          <w:szCs w:val="22"/>
        </w:rPr>
        <w:t xml:space="preserve">Financial issues should be fully integrated throughout the curriculum from early grades on, </w:t>
      </w:r>
      <w:r w:rsidR="000A441F" w:rsidRPr="000A441F">
        <w:rPr>
          <w:bCs/>
          <w:sz w:val="22"/>
          <w:szCs w:val="22"/>
        </w:rPr>
        <w:lastRenderedPageBreak/>
        <w:t xml:space="preserve">including financial product-related examples and cases in mathematics, Armenian language (especially in the area of functional understanding of text), as well as civic education (consumer rights, legal system, etc.). </w:t>
      </w:r>
      <w:r w:rsidR="00003463">
        <w:rPr>
          <w:bCs/>
          <w:sz w:val="22"/>
          <w:szCs w:val="22"/>
        </w:rPr>
        <w:t>A </w:t>
      </w:r>
      <w:r w:rsidRPr="00C60A95">
        <w:rPr>
          <w:bCs/>
          <w:sz w:val="22"/>
          <w:szCs w:val="22"/>
        </w:rPr>
        <w:t xml:space="preserve">separate course of Economics and Finance in high schools may be helpful. Another possibility could be to restructure the current curricula by grouping "Economics" with content-related courses. In addition, a new textbook on "Economics" should be designed with an updated section on financial services in cooperation with financial industry associations. Elective programs teaching young children (under the age of 12) about earning, spending, sharing, and saving money should be further enhanced. </w:t>
      </w:r>
      <w:r w:rsidR="000A441F" w:rsidRPr="000A441F">
        <w:rPr>
          <w:bCs/>
          <w:sz w:val="22"/>
          <w:szCs w:val="22"/>
        </w:rPr>
        <w:t>Financial associations as well as consumer organizations should be encouraged to develop examples that could be used in various school grades.</w:t>
      </w:r>
    </w:p>
    <w:p w:rsidR="000A441F" w:rsidRDefault="000A441F" w:rsidP="000A441F">
      <w:pPr>
        <w:pStyle w:val="ListParagraph"/>
        <w:rPr>
          <w:bCs/>
          <w:sz w:val="22"/>
          <w:szCs w:val="22"/>
        </w:rPr>
      </w:pPr>
    </w:p>
    <w:p w:rsidR="00003463" w:rsidRPr="000A441F" w:rsidRDefault="000A441F" w:rsidP="000A441F">
      <w:pPr>
        <w:pStyle w:val="BodyText"/>
        <w:numPr>
          <w:ilvl w:val="0"/>
          <w:numId w:val="5"/>
        </w:numPr>
        <w:tabs>
          <w:tab w:val="left" w:pos="360"/>
          <w:tab w:val="left" w:pos="630"/>
        </w:tabs>
        <w:suppressAutoHyphens/>
        <w:spacing w:before="0" w:after="0" w:line="240" w:lineRule="auto"/>
        <w:ind w:left="0" w:firstLine="0"/>
        <w:rPr>
          <w:bCs/>
          <w:sz w:val="22"/>
          <w:szCs w:val="22"/>
        </w:rPr>
      </w:pPr>
      <w:r w:rsidRPr="000A441F">
        <w:rPr>
          <w:b/>
          <w:bCs/>
          <w:sz w:val="22"/>
          <w:szCs w:val="22"/>
        </w:rPr>
        <w:t xml:space="preserve">Teachers need to be properly trained to deliver financial messages effectively. </w:t>
      </w:r>
      <w:r w:rsidR="00C60A95" w:rsidRPr="000A441F">
        <w:rPr>
          <w:bCs/>
          <w:sz w:val="22"/>
          <w:szCs w:val="22"/>
        </w:rPr>
        <w:t>When planning educational programs in schools, proper attention should be given to educating teachers so that they feel comfortable about the subject and can properly explain the topic. The initiatives of CBA and Junior Achievement NGO need to be complemented by targeted regular trainings provided by the Nat</w:t>
      </w:r>
      <w:r w:rsidR="00003463" w:rsidRPr="000A441F">
        <w:rPr>
          <w:bCs/>
          <w:sz w:val="22"/>
          <w:szCs w:val="22"/>
        </w:rPr>
        <w:t>ional Institute of Education. A </w:t>
      </w:r>
      <w:r w:rsidR="00C60A95" w:rsidRPr="000A441F">
        <w:rPr>
          <w:bCs/>
          <w:sz w:val="22"/>
          <w:szCs w:val="22"/>
        </w:rPr>
        <w:t xml:space="preserve">survey of teachers and administrators of secondary schools about their needs to improve the quality of teaching materials and tools related to financial education should be conducted and the Financial Education </w:t>
      </w:r>
      <w:r w:rsidR="00F73797">
        <w:rPr>
          <w:bCs/>
          <w:sz w:val="22"/>
          <w:szCs w:val="22"/>
        </w:rPr>
        <w:t>Steering Committee</w:t>
      </w:r>
      <w:r w:rsidR="00F73797" w:rsidRPr="00003463">
        <w:rPr>
          <w:bCs/>
          <w:sz w:val="22"/>
          <w:szCs w:val="22"/>
        </w:rPr>
        <w:t xml:space="preserve"> </w:t>
      </w:r>
      <w:r w:rsidR="00C60A95" w:rsidRPr="000A441F">
        <w:rPr>
          <w:bCs/>
          <w:sz w:val="22"/>
          <w:szCs w:val="22"/>
        </w:rPr>
        <w:t xml:space="preserve">should coordinate the development of these materials and tools. </w:t>
      </w:r>
    </w:p>
    <w:p w:rsidR="00003463" w:rsidRDefault="00003463" w:rsidP="00003463">
      <w:pPr>
        <w:pStyle w:val="BodyText"/>
        <w:tabs>
          <w:tab w:val="left" w:pos="360"/>
          <w:tab w:val="left" w:pos="630"/>
        </w:tabs>
        <w:suppressAutoHyphens/>
        <w:spacing w:before="0" w:after="0" w:line="240" w:lineRule="auto"/>
        <w:rPr>
          <w:bCs/>
          <w:sz w:val="22"/>
          <w:szCs w:val="22"/>
        </w:rPr>
      </w:pPr>
    </w:p>
    <w:p w:rsidR="00C60A95" w:rsidRPr="00C60A95" w:rsidRDefault="00C60A95" w:rsidP="00C60A95">
      <w:pPr>
        <w:pStyle w:val="BodyText"/>
        <w:numPr>
          <w:ilvl w:val="0"/>
          <w:numId w:val="5"/>
        </w:numPr>
        <w:tabs>
          <w:tab w:val="left" w:pos="360"/>
          <w:tab w:val="left" w:pos="630"/>
        </w:tabs>
        <w:suppressAutoHyphens/>
        <w:spacing w:before="0" w:after="0" w:line="240" w:lineRule="auto"/>
        <w:ind w:left="0" w:firstLine="0"/>
        <w:rPr>
          <w:bCs/>
          <w:sz w:val="22"/>
          <w:szCs w:val="22"/>
        </w:rPr>
      </w:pPr>
      <w:r w:rsidRPr="000A441F">
        <w:rPr>
          <w:b/>
          <w:bCs/>
          <w:sz w:val="22"/>
          <w:szCs w:val="22"/>
        </w:rPr>
        <w:t>Modern technology should be widely used to reach the Armenian population</w:t>
      </w:r>
      <w:r w:rsidR="000A441F" w:rsidRPr="000A441F">
        <w:rPr>
          <w:b/>
          <w:bCs/>
          <w:sz w:val="22"/>
          <w:szCs w:val="22"/>
        </w:rPr>
        <w:t>.</w:t>
      </w:r>
      <w:r w:rsidRPr="00C60A95">
        <w:rPr>
          <w:bCs/>
          <w:sz w:val="22"/>
          <w:szCs w:val="22"/>
        </w:rPr>
        <w:t xml:space="preserve"> </w:t>
      </w:r>
      <w:r w:rsidR="000A441F">
        <w:rPr>
          <w:bCs/>
          <w:sz w:val="22"/>
          <w:szCs w:val="22"/>
        </w:rPr>
        <w:t xml:space="preserve">The CBA already operates a financial education website and other modern media including social networks could be used. For example, </w:t>
      </w:r>
      <w:r w:rsidRPr="00C60A95">
        <w:rPr>
          <w:bCs/>
          <w:sz w:val="22"/>
          <w:szCs w:val="22"/>
        </w:rPr>
        <w:t>a financial advice website and a virtual financial advisor on Facebook</w:t>
      </w:r>
      <w:r w:rsidR="000A441F">
        <w:rPr>
          <w:bCs/>
          <w:sz w:val="22"/>
          <w:szCs w:val="22"/>
        </w:rPr>
        <w:t xml:space="preserve"> could be</w:t>
      </w:r>
      <w:r w:rsidRPr="00C60A95">
        <w:rPr>
          <w:bCs/>
          <w:sz w:val="22"/>
          <w:szCs w:val="22"/>
        </w:rPr>
        <w:t xml:space="preserve"> operated under the guidance and supp</w:t>
      </w:r>
      <w:r w:rsidR="000A441F">
        <w:rPr>
          <w:bCs/>
          <w:sz w:val="22"/>
          <w:szCs w:val="22"/>
        </w:rPr>
        <w:t>ort of the CBA. The new media c</w:t>
      </w:r>
      <w:r w:rsidRPr="00C60A95">
        <w:rPr>
          <w:bCs/>
          <w:sz w:val="22"/>
          <w:szCs w:val="22"/>
        </w:rPr>
        <w:t xml:space="preserve">ould also be used to collect information from the public on unfair business practices. </w:t>
      </w:r>
    </w:p>
    <w:p w:rsidR="00C60A95" w:rsidRPr="00C60A95" w:rsidRDefault="00C60A95" w:rsidP="000A441F">
      <w:pPr>
        <w:pStyle w:val="BodyText"/>
        <w:tabs>
          <w:tab w:val="left" w:pos="360"/>
          <w:tab w:val="left" w:pos="630"/>
        </w:tabs>
        <w:suppressAutoHyphens/>
        <w:spacing w:before="0" w:after="0" w:line="240" w:lineRule="auto"/>
        <w:rPr>
          <w:bCs/>
          <w:sz w:val="22"/>
          <w:szCs w:val="22"/>
        </w:rPr>
      </w:pPr>
    </w:p>
    <w:p w:rsidR="00C60A95" w:rsidRPr="00C60A95" w:rsidRDefault="00C60A95" w:rsidP="00C60A95">
      <w:pPr>
        <w:pStyle w:val="BodyText"/>
        <w:numPr>
          <w:ilvl w:val="0"/>
          <w:numId w:val="5"/>
        </w:numPr>
        <w:tabs>
          <w:tab w:val="left" w:pos="360"/>
          <w:tab w:val="left" w:pos="630"/>
        </w:tabs>
        <w:suppressAutoHyphens/>
        <w:spacing w:before="0" w:after="0" w:line="240" w:lineRule="auto"/>
        <w:ind w:left="0" w:firstLine="0"/>
        <w:rPr>
          <w:bCs/>
          <w:sz w:val="22"/>
          <w:szCs w:val="22"/>
        </w:rPr>
      </w:pPr>
      <w:r w:rsidRPr="000A441F">
        <w:rPr>
          <w:b/>
          <w:bCs/>
          <w:sz w:val="22"/>
          <w:szCs w:val="22"/>
        </w:rPr>
        <w:t>Consideration could be given to an establishment of an Armenian Financial Awareness Foundation.</w:t>
      </w:r>
      <w:r w:rsidRPr="00C60A95">
        <w:rPr>
          <w:bCs/>
          <w:sz w:val="22"/>
          <w:szCs w:val="22"/>
        </w:rPr>
        <w:t xml:space="preserve"> The Foundation would be jointly operated by the members of the Financial Education </w:t>
      </w:r>
      <w:r w:rsidR="00F73797">
        <w:rPr>
          <w:bCs/>
          <w:sz w:val="22"/>
          <w:szCs w:val="22"/>
        </w:rPr>
        <w:t>Steering Committee</w:t>
      </w:r>
      <w:r w:rsidRPr="00C60A95">
        <w:rPr>
          <w:bCs/>
          <w:sz w:val="22"/>
          <w:szCs w:val="22"/>
        </w:rPr>
        <w:t xml:space="preserve">. The foundation would manage some of the nationwide financial education programs and would be financed jointly by all relevant stakeholders. The CBA and the Financial System Mediator could pool their financial education budgets and the CBA could use fines collected from financial institutions to cofinance the foundation. An agreement with the financial industry should be reached so that the industry would match the government financing of the foundation. The Armenian Financial Awareness Foundation should </w:t>
      </w:r>
      <w:r w:rsidR="000A441F">
        <w:rPr>
          <w:bCs/>
          <w:sz w:val="22"/>
          <w:szCs w:val="22"/>
        </w:rPr>
        <w:t xml:space="preserve">also </w:t>
      </w:r>
      <w:r w:rsidRPr="00C60A95">
        <w:rPr>
          <w:bCs/>
          <w:sz w:val="22"/>
          <w:szCs w:val="22"/>
        </w:rPr>
        <w:t>operate a "fund of good ideas" for competitive selection of financial education projects by civil society.</w:t>
      </w:r>
    </w:p>
    <w:p w:rsidR="00C60A95" w:rsidRPr="00C60A95" w:rsidRDefault="00C60A95" w:rsidP="000A441F">
      <w:pPr>
        <w:pStyle w:val="BodyText"/>
        <w:tabs>
          <w:tab w:val="left" w:pos="360"/>
          <w:tab w:val="left" w:pos="630"/>
        </w:tabs>
        <w:suppressAutoHyphens/>
        <w:spacing w:before="0" w:after="0" w:line="240" w:lineRule="auto"/>
        <w:rPr>
          <w:bCs/>
          <w:sz w:val="22"/>
          <w:szCs w:val="22"/>
        </w:rPr>
      </w:pPr>
    </w:p>
    <w:p w:rsidR="00C60A95" w:rsidRPr="009C2CAF" w:rsidRDefault="00C60A95" w:rsidP="00C60A95">
      <w:pPr>
        <w:pStyle w:val="BodyText"/>
        <w:numPr>
          <w:ilvl w:val="0"/>
          <w:numId w:val="5"/>
        </w:numPr>
        <w:tabs>
          <w:tab w:val="left" w:pos="360"/>
          <w:tab w:val="left" w:pos="630"/>
        </w:tabs>
        <w:suppressAutoHyphens/>
        <w:spacing w:before="0" w:after="0" w:line="240" w:lineRule="auto"/>
        <w:ind w:left="0" w:firstLine="0"/>
        <w:rPr>
          <w:bCs/>
          <w:sz w:val="22"/>
          <w:szCs w:val="22"/>
        </w:rPr>
      </w:pPr>
      <w:r w:rsidRPr="009C2CAF">
        <w:rPr>
          <w:b/>
          <w:bCs/>
          <w:sz w:val="22"/>
          <w:szCs w:val="22"/>
        </w:rPr>
        <w:t xml:space="preserve">The effectiveness of financial education programs should be regularly monitored. </w:t>
      </w:r>
      <w:r w:rsidRPr="009C2CAF">
        <w:rPr>
          <w:bCs/>
          <w:sz w:val="22"/>
          <w:szCs w:val="22"/>
        </w:rPr>
        <w:t>The evaluation of individual financial education programs should be based on the achievement of targets that would be set before launching the programs. The targets should be measurable and set in such a way that would allow for verification of the impact of the program on the targets. There should also be an overall periodic evaluation of the state of the Armenian financial sector. This evaluation should focus both on the quantitative data (number of banked citizens, savings level, usage of retail electronic payments, etc.) and qualitative data. To make the data comparable over time so that developments could be monitored and evaluated, the World Bank 2012 Financial Literacy survey now under</w:t>
      </w:r>
      <w:r w:rsidR="000704EB" w:rsidRPr="009C2CAF">
        <w:rPr>
          <w:bCs/>
          <w:sz w:val="22"/>
          <w:szCs w:val="22"/>
        </w:rPr>
        <w:t xml:space="preserve"> </w:t>
      </w:r>
      <w:r w:rsidRPr="009C2CAF">
        <w:rPr>
          <w:bCs/>
          <w:sz w:val="22"/>
          <w:szCs w:val="22"/>
        </w:rPr>
        <w:t xml:space="preserve">way </w:t>
      </w:r>
      <w:r w:rsidR="00C36E22" w:rsidRPr="009C2CAF">
        <w:rPr>
          <w:bCs/>
          <w:sz w:val="22"/>
          <w:szCs w:val="22"/>
        </w:rPr>
        <w:t xml:space="preserve">(with preliminary results included as part VI. of this report) </w:t>
      </w:r>
      <w:r w:rsidRPr="009C2CAF">
        <w:rPr>
          <w:bCs/>
          <w:sz w:val="22"/>
          <w:szCs w:val="22"/>
        </w:rPr>
        <w:t>could be used as a baseline and then the same questions and methodology should be used every three to five years for further surveys. In addition, a common website should be established where government authorities, consumer organizations and industry associations could upload their education materials for consumers and discuss the effectiveness of various programs and teaching approaches.</w:t>
      </w:r>
    </w:p>
    <w:p w:rsidR="00057AAD" w:rsidRPr="00E06713" w:rsidRDefault="00057AAD" w:rsidP="00E71FC2">
      <w:pPr>
        <w:pStyle w:val="ListParagraph"/>
        <w:rPr>
          <w:bCs/>
          <w:sz w:val="22"/>
          <w:szCs w:val="22"/>
        </w:rPr>
      </w:pPr>
    </w:p>
    <w:p w:rsidR="00057AAD" w:rsidRPr="00E06713" w:rsidRDefault="00057AAD" w:rsidP="00E71FC2">
      <w:pPr>
        <w:pStyle w:val="BodyText"/>
        <w:tabs>
          <w:tab w:val="left" w:pos="360"/>
          <w:tab w:val="left" w:pos="630"/>
        </w:tabs>
        <w:suppressAutoHyphens/>
        <w:spacing w:before="0" w:line="240" w:lineRule="auto"/>
        <w:rPr>
          <w:bCs/>
          <w:sz w:val="22"/>
          <w:szCs w:val="22"/>
        </w:rPr>
        <w:sectPr w:rsidR="00057AAD" w:rsidRPr="00E06713" w:rsidSect="00B671D4">
          <w:footerReference w:type="default" r:id="rId15"/>
          <w:headerReference w:type="first" r:id="rId16"/>
          <w:footerReference w:type="first" r:id="rId17"/>
          <w:pgSz w:w="12240" w:h="15840"/>
          <w:pgMar w:top="1440" w:right="1800" w:bottom="1440" w:left="1800" w:header="720" w:footer="720" w:gutter="0"/>
          <w:pgNumType w:start="1"/>
          <w:cols w:space="720"/>
          <w:titlePg/>
          <w:docGrid w:linePitch="360"/>
        </w:sectPr>
      </w:pPr>
    </w:p>
    <w:p w:rsidR="00057AAD" w:rsidRPr="002E65C8" w:rsidRDefault="008574D3" w:rsidP="002E65C8">
      <w:pPr>
        <w:pStyle w:val="Heading1"/>
        <w:numPr>
          <w:ilvl w:val="0"/>
          <w:numId w:val="41"/>
        </w:numPr>
        <w:ind w:left="0" w:firstLine="0"/>
        <w:jc w:val="center"/>
        <w:rPr>
          <w:rFonts w:ascii="Times New Roman" w:hAnsi="Times New Roman" w:cs="Times New Roman"/>
          <w:sz w:val="28"/>
          <w:szCs w:val="28"/>
          <w:lang w:eastAsia="cs-CZ"/>
        </w:rPr>
      </w:pPr>
      <w:bookmarkStart w:id="52" w:name="_Toc331409068"/>
      <w:r w:rsidRPr="002E65C8">
        <w:rPr>
          <w:rFonts w:ascii="Times New Roman" w:hAnsi="Times New Roman" w:cs="Times New Roman"/>
          <w:sz w:val="28"/>
          <w:szCs w:val="28"/>
          <w:lang w:eastAsia="cs-CZ"/>
        </w:rPr>
        <w:lastRenderedPageBreak/>
        <w:t xml:space="preserve">List of </w:t>
      </w:r>
      <w:r w:rsidR="00057AAD" w:rsidRPr="002E65C8">
        <w:rPr>
          <w:rFonts w:ascii="Times New Roman" w:hAnsi="Times New Roman" w:cs="Times New Roman"/>
          <w:sz w:val="28"/>
          <w:szCs w:val="28"/>
          <w:lang w:eastAsia="cs-CZ"/>
        </w:rPr>
        <w:t>Recommendations</w:t>
      </w:r>
      <w:bookmarkEnd w:id="52"/>
    </w:p>
    <w:p w:rsidR="00057AAD" w:rsidRPr="00E06713" w:rsidRDefault="00057AAD" w:rsidP="00165D0F">
      <w:pPr>
        <w:jc w:val="both"/>
        <w:rPr>
          <w:bCs/>
          <w:sz w:val="22"/>
          <w:szCs w:val="22"/>
        </w:rPr>
      </w:pPr>
    </w:p>
    <w:p w:rsidR="00057AAD" w:rsidRPr="00E06713" w:rsidRDefault="00057AAD" w:rsidP="00165D0F">
      <w:pPr>
        <w:jc w:val="both"/>
        <w:rPr>
          <w:bCs/>
          <w:sz w:val="22"/>
          <w:szCs w:val="22"/>
        </w:rPr>
      </w:pPr>
      <w:r w:rsidRPr="00E06713">
        <w:rPr>
          <w:bCs/>
          <w:sz w:val="22"/>
          <w:szCs w:val="22"/>
        </w:rPr>
        <w:t>A list of key recommendations is presented below:</w:t>
      </w:r>
    </w:p>
    <w:p w:rsidR="00057AAD" w:rsidRPr="00E06713" w:rsidRDefault="00057AAD" w:rsidP="00165D0F">
      <w:pPr>
        <w:jc w:val="both"/>
        <w:rPr>
          <w:bCs/>
          <w:sz w:val="22"/>
          <w:szCs w:val="22"/>
        </w:rPr>
      </w:pPr>
    </w:p>
    <w:tbl>
      <w:tblPr>
        <w:tblW w:w="8820" w:type="dxa"/>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5670"/>
        <w:gridCol w:w="1701"/>
        <w:gridCol w:w="1449"/>
      </w:tblGrid>
      <w:tr w:rsidR="00FF024A" w:rsidRPr="00A054C4" w:rsidTr="001341D6">
        <w:tc>
          <w:tcPr>
            <w:tcW w:w="5670" w:type="dxa"/>
            <w:tcBorders>
              <w:top w:val="single" w:sz="12" w:space="0" w:color="auto"/>
              <w:bottom w:val="single" w:sz="12" w:space="0" w:color="auto"/>
              <w:right w:val="nil"/>
            </w:tcBorders>
          </w:tcPr>
          <w:p w:rsidR="00FF024A" w:rsidRPr="00A054C4" w:rsidRDefault="00FF024A" w:rsidP="00DE5CEA">
            <w:pPr>
              <w:ind w:left="72"/>
              <w:rPr>
                <w:b/>
                <w:color w:val="000000"/>
                <w:sz w:val="20"/>
              </w:rPr>
            </w:pPr>
            <w:r w:rsidRPr="00A054C4">
              <w:rPr>
                <w:b/>
                <w:color w:val="000000"/>
                <w:sz w:val="20"/>
                <w:szCs w:val="22"/>
              </w:rPr>
              <w:t>Key Recommendations</w:t>
            </w:r>
          </w:p>
        </w:tc>
        <w:tc>
          <w:tcPr>
            <w:tcW w:w="1701" w:type="dxa"/>
            <w:tcBorders>
              <w:top w:val="single" w:sz="12" w:space="0" w:color="auto"/>
              <w:left w:val="nil"/>
              <w:bottom w:val="single" w:sz="12" w:space="0" w:color="auto"/>
              <w:right w:val="nil"/>
            </w:tcBorders>
          </w:tcPr>
          <w:p w:rsidR="00FF024A" w:rsidRPr="00A054C4" w:rsidRDefault="00FF024A" w:rsidP="00390775">
            <w:pPr>
              <w:jc w:val="center"/>
              <w:rPr>
                <w:b/>
                <w:color w:val="000000"/>
                <w:sz w:val="20"/>
              </w:rPr>
            </w:pPr>
            <w:r w:rsidRPr="00A054C4">
              <w:rPr>
                <w:b/>
                <w:color w:val="000000"/>
                <w:sz w:val="20"/>
                <w:szCs w:val="22"/>
              </w:rPr>
              <w:t>Responsible</w:t>
            </w:r>
          </w:p>
        </w:tc>
        <w:tc>
          <w:tcPr>
            <w:tcW w:w="1449" w:type="dxa"/>
            <w:tcBorders>
              <w:top w:val="single" w:sz="12" w:space="0" w:color="auto"/>
              <w:left w:val="nil"/>
              <w:bottom w:val="single" w:sz="12" w:space="0" w:color="auto"/>
            </w:tcBorders>
          </w:tcPr>
          <w:p w:rsidR="00FF024A" w:rsidRPr="00A054C4" w:rsidRDefault="00A054C4" w:rsidP="00390775">
            <w:pPr>
              <w:jc w:val="center"/>
              <w:rPr>
                <w:b/>
                <w:color w:val="000000"/>
                <w:sz w:val="20"/>
              </w:rPr>
            </w:pPr>
            <w:r w:rsidRPr="00A054C4">
              <w:rPr>
                <w:b/>
                <w:color w:val="000000"/>
                <w:sz w:val="20"/>
                <w:szCs w:val="22"/>
              </w:rPr>
              <w:t>Outputs</w:t>
            </w:r>
          </w:p>
        </w:tc>
      </w:tr>
      <w:tr w:rsidR="00FF024A" w:rsidRPr="00E06713" w:rsidTr="001341D6">
        <w:tc>
          <w:tcPr>
            <w:tcW w:w="5670" w:type="dxa"/>
            <w:tcBorders>
              <w:top w:val="single" w:sz="12" w:space="0" w:color="auto"/>
              <w:right w:val="nil"/>
            </w:tcBorders>
          </w:tcPr>
          <w:p w:rsidR="00FF024A" w:rsidRPr="00E06713" w:rsidRDefault="00563DDF" w:rsidP="0008262E">
            <w:pPr>
              <w:ind w:left="72"/>
              <w:rPr>
                <w:color w:val="000000"/>
                <w:sz w:val="20"/>
              </w:rPr>
            </w:pPr>
            <w:r>
              <w:rPr>
                <w:color w:val="000000"/>
                <w:sz w:val="20"/>
                <w:szCs w:val="22"/>
              </w:rPr>
              <w:t xml:space="preserve">Adequate resources need to be allocated to the Consumer Protection and Market Conduct </w:t>
            </w:r>
            <w:r w:rsidR="0008262E">
              <w:rPr>
                <w:color w:val="000000"/>
                <w:sz w:val="20"/>
                <w:szCs w:val="22"/>
              </w:rPr>
              <w:t xml:space="preserve">Division and it should be given effective supervisory tools. </w:t>
            </w:r>
          </w:p>
        </w:tc>
        <w:tc>
          <w:tcPr>
            <w:tcW w:w="1701" w:type="dxa"/>
            <w:tcBorders>
              <w:top w:val="single" w:sz="12" w:space="0" w:color="auto"/>
              <w:left w:val="nil"/>
              <w:right w:val="nil"/>
            </w:tcBorders>
          </w:tcPr>
          <w:p w:rsidR="00FF024A" w:rsidRPr="00E06713" w:rsidRDefault="0008262E" w:rsidP="00390775">
            <w:pPr>
              <w:jc w:val="center"/>
              <w:rPr>
                <w:color w:val="000000"/>
                <w:sz w:val="20"/>
              </w:rPr>
            </w:pPr>
            <w:r>
              <w:rPr>
                <w:color w:val="000000"/>
                <w:sz w:val="20"/>
                <w:szCs w:val="22"/>
              </w:rPr>
              <w:t>CBA</w:t>
            </w:r>
          </w:p>
        </w:tc>
        <w:tc>
          <w:tcPr>
            <w:tcW w:w="1449" w:type="dxa"/>
            <w:tcBorders>
              <w:top w:val="single" w:sz="12" w:space="0" w:color="auto"/>
              <w:left w:val="nil"/>
            </w:tcBorders>
          </w:tcPr>
          <w:p w:rsidR="00FF024A" w:rsidRPr="00E06713" w:rsidRDefault="0008262E" w:rsidP="00390775">
            <w:pPr>
              <w:jc w:val="center"/>
              <w:rPr>
                <w:color w:val="000000"/>
                <w:sz w:val="20"/>
              </w:rPr>
            </w:pPr>
            <w:r>
              <w:rPr>
                <w:color w:val="000000"/>
                <w:sz w:val="20"/>
              </w:rPr>
              <w:t>Adequately staffed and equipped team, new law and supervisory manual</w:t>
            </w:r>
          </w:p>
        </w:tc>
      </w:tr>
      <w:tr w:rsidR="00FF024A" w:rsidRPr="00E06713" w:rsidTr="001341D6">
        <w:tc>
          <w:tcPr>
            <w:tcW w:w="5670" w:type="dxa"/>
            <w:tcBorders>
              <w:right w:val="nil"/>
            </w:tcBorders>
          </w:tcPr>
          <w:p w:rsidR="00FF024A" w:rsidRPr="00E06713" w:rsidRDefault="0008262E" w:rsidP="00DE5CEA">
            <w:pPr>
              <w:ind w:left="72"/>
              <w:rPr>
                <w:color w:val="000000"/>
                <w:sz w:val="20"/>
              </w:rPr>
            </w:pPr>
            <w:r>
              <w:rPr>
                <w:color w:val="000000"/>
                <w:sz w:val="20"/>
                <w:szCs w:val="22"/>
              </w:rPr>
              <w:t xml:space="preserve">Consumer organizations need to be strengthened and motivated to assist CBA in market monitoring. </w:t>
            </w:r>
          </w:p>
        </w:tc>
        <w:tc>
          <w:tcPr>
            <w:tcW w:w="1701" w:type="dxa"/>
            <w:tcBorders>
              <w:left w:val="nil"/>
              <w:right w:val="nil"/>
            </w:tcBorders>
          </w:tcPr>
          <w:p w:rsidR="00FF024A" w:rsidRPr="00E06713" w:rsidRDefault="0008262E" w:rsidP="00390775">
            <w:pPr>
              <w:jc w:val="center"/>
              <w:rPr>
                <w:color w:val="000000"/>
                <w:sz w:val="20"/>
              </w:rPr>
            </w:pPr>
            <w:r>
              <w:rPr>
                <w:color w:val="000000"/>
                <w:sz w:val="20"/>
                <w:szCs w:val="22"/>
              </w:rPr>
              <w:t>CBA</w:t>
            </w:r>
          </w:p>
        </w:tc>
        <w:tc>
          <w:tcPr>
            <w:tcW w:w="1449" w:type="dxa"/>
            <w:tcBorders>
              <w:left w:val="nil"/>
            </w:tcBorders>
          </w:tcPr>
          <w:p w:rsidR="00FF024A" w:rsidRPr="00E06713" w:rsidRDefault="0008262E" w:rsidP="00390775">
            <w:pPr>
              <w:jc w:val="center"/>
              <w:rPr>
                <w:color w:val="000000"/>
                <w:sz w:val="20"/>
              </w:rPr>
            </w:pPr>
            <w:r>
              <w:rPr>
                <w:color w:val="000000"/>
                <w:sz w:val="20"/>
              </w:rPr>
              <w:t>NGO development and support program</w:t>
            </w:r>
          </w:p>
        </w:tc>
      </w:tr>
      <w:tr w:rsidR="00FF024A" w:rsidRPr="00E06713" w:rsidTr="001341D6">
        <w:tc>
          <w:tcPr>
            <w:tcW w:w="5670" w:type="dxa"/>
            <w:tcBorders>
              <w:right w:val="nil"/>
            </w:tcBorders>
          </w:tcPr>
          <w:p w:rsidR="00FF024A" w:rsidRPr="00E06713" w:rsidRDefault="0008262E" w:rsidP="00DE5CEA">
            <w:pPr>
              <w:ind w:left="72"/>
              <w:rPr>
                <w:sz w:val="20"/>
              </w:rPr>
            </w:pPr>
            <w:r>
              <w:rPr>
                <w:sz w:val="20"/>
                <w:szCs w:val="22"/>
              </w:rPr>
              <w:t xml:space="preserve">Self-regulation through codes of conduct should be supported. </w:t>
            </w:r>
          </w:p>
        </w:tc>
        <w:tc>
          <w:tcPr>
            <w:tcW w:w="1701" w:type="dxa"/>
            <w:tcBorders>
              <w:left w:val="nil"/>
              <w:right w:val="nil"/>
            </w:tcBorders>
          </w:tcPr>
          <w:p w:rsidR="00FF024A" w:rsidRPr="00E06713" w:rsidRDefault="0008262E" w:rsidP="00390775">
            <w:pPr>
              <w:jc w:val="center"/>
              <w:rPr>
                <w:sz w:val="20"/>
              </w:rPr>
            </w:pPr>
            <w:r>
              <w:rPr>
                <w:sz w:val="20"/>
                <w:szCs w:val="22"/>
              </w:rPr>
              <w:t>CBA, industry associations</w:t>
            </w:r>
          </w:p>
        </w:tc>
        <w:tc>
          <w:tcPr>
            <w:tcW w:w="1449" w:type="dxa"/>
            <w:tcBorders>
              <w:left w:val="nil"/>
            </w:tcBorders>
          </w:tcPr>
          <w:p w:rsidR="00FF024A" w:rsidRPr="00E06713" w:rsidRDefault="0008262E" w:rsidP="00390775">
            <w:pPr>
              <w:jc w:val="center"/>
              <w:rPr>
                <w:sz w:val="20"/>
              </w:rPr>
            </w:pPr>
            <w:r>
              <w:rPr>
                <w:sz w:val="20"/>
              </w:rPr>
              <w:t>Enforceable codes of conduct for each market segment</w:t>
            </w:r>
          </w:p>
        </w:tc>
      </w:tr>
      <w:tr w:rsidR="00FF024A" w:rsidRPr="00E06713" w:rsidTr="001341D6">
        <w:tc>
          <w:tcPr>
            <w:tcW w:w="5670" w:type="dxa"/>
            <w:tcBorders>
              <w:right w:val="nil"/>
            </w:tcBorders>
          </w:tcPr>
          <w:p w:rsidR="00FF024A" w:rsidRPr="00E06713" w:rsidRDefault="0008262E" w:rsidP="00DE5CEA">
            <w:pPr>
              <w:ind w:left="72"/>
              <w:rPr>
                <w:sz w:val="20"/>
              </w:rPr>
            </w:pPr>
            <w:r>
              <w:rPr>
                <w:sz w:val="20"/>
                <w:szCs w:val="22"/>
              </w:rPr>
              <w:t xml:space="preserve">Clear, understandable, timely, comparable and standardized information should be provided to consumers, including standardized Key Fact Statements. </w:t>
            </w:r>
          </w:p>
        </w:tc>
        <w:tc>
          <w:tcPr>
            <w:tcW w:w="1701" w:type="dxa"/>
            <w:tcBorders>
              <w:left w:val="nil"/>
              <w:right w:val="nil"/>
            </w:tcBorders>
          </w:tcPr>
          <w:p w:rsidR="00FF024A" w:rsidRPr="00E06713" w:rsidRDefault="0008262E" w:rsidP="00390775">
            <w:pPr>
              <w:jc w:val="center"/>
              <w:rPr>
                <w:sz w:val="20"/>
              </w:rPr>
            </w:pPr>
            <w:r>
              <w:rPr>
                <w:sz w:val="20"/>
                <w:szCs w:val="22"/>
              </w:rPr>
              <w:t>CBA</w:t>
            </w:r>
          </w:p>
        </w:tc>
        <w:tc>
          <w:tcPr>
            <w:tcW w:w="1449" w:type="dxa"/>
            <w:tcBorders>
              <w:left w:val="nil"/>
            </w:tcBorders>
          </w:tcPr>
          <w:p w:rsidR="00FF024A" w:rsidRPr="00E06713" w:rsidRDefault="0008262E" w:rsidP="00390775">
            <w:pPr>
              <w:jc w:val="center"/>
              <w:rPr>
                <w:sz w:val="20"/>
              </w:rPr>
            </w:pPr>
            <w:r>
              <w:rPr>
                <w:sz w:val="20"/>
              </w:rPr>
              <w:t>New disclosure rules for all segments</w:t>
            </w:r>
          </w:p>
        </w:tc>
      </w:tr>
      <w:tr w:rsidR="0008262E" w:rsidRPr="00E06713" w:rsidTr="001341D6">
        <w:tc>
          <w:tcPr>
            <w:tcW w:w="5670" w:type="dxa"/>
            <w:tcBorders>
              <w:bottom w:val="single" w:sz="4" w:space="0" w:color="auto"/>
              <w:right w:val="nil"/>
            </w:tcBorders>
          </w:tcPr>
          <w:p w:rsidR="0008262E" w:rsidRPr="00E06713" w:rsidRDefault="0008262E" w:rsidP="006863C5">
            <w:pPr>
              <w:ind w:left="72"/>
              <w:rPr>
                <w:color w:val="000000"/>
                <w:sz w:val="20"/>
                <w:szCs w:val="22"/>
              </w:rPr>
            </w:pPr>
            <w:r>
              <w:rPr>
                <w:color w:val="000000"/>
                <w:sz w:val="20"/>
                <w:szCs w:val="22"/>
              </w:rPr>
              <w:t xml:space="preserve">Consumers should be provided with information that helps them make informed decisions and that promotes competition. </w:t>
            </w:r>
          </w:p>
        </w:tc>
        <w:tc>
          <w:tcPr>
            <w:tcW w:w="1701" w:type="dxa"/>
            <w:tcBorders>
              <w:left w:val="nil"/>
              <w:bottom w:val="single" w:sz="4" w:space="0" w:color="auto"/>
              <w:right w:val="nil"/>
            </w:tcBorders>
          </w:tcPr>
          <w:p w:rsidR="0008262E" w:rsidRPr="00E06713" w:rsidRDefault="0008262E" w:rsidP="00390775">
            <w:pPr>
              <w:jc w:val="center"/>
              <w:rPr>
                <w:color w:val="000000"/>
                <w:sz w:val="20"/>
                <w:szCs w:val="22"/>
              </w:rPr>
            </w:pPr>
            <w:r>
              <w:rPr>
                <w:color w:val="000000"/>
                <w:sz w:val="20"/>
                <w:szCs w:val="22"/>
              </w:rPr>
              <w:t>CBA</w:t>
            </w:r>
          </w:p>
        </w:tc>
        <w:tc>
          <w:tcPr>
            <w:tcW w:w="1449" w:type="dxa"/>
            <w:tcBorders>
              <w:left w:val="nil"/>
              <w:bottom w:val="single" w:sz="4" w:space="0" w:color="auto"/>
            </w:tcBorders>
          </w:tcPr>
          <w:p w:rsidR="0008262E" w:rsidRDefault="0008262E" w:rsidP="00390775">
            <w:pPr>
              <w:jc w:val="center"/>
              <w:rPr>
                <w:sz w:val="20"/>
              </w:rPr>
            </w:pPr>
            <w:r>
              <w:rPr>
                <w:sz w:val="20"/>
              </w:rPr>
              <w:t xml:space="preserve">Tariff surveys, glossaries of terms and conditions </w:t>
            </w:r>
          </w:p>
        </w:tc>
      </w:tr>
      <w:tr w:rsidR="0008262E" w:rsidRPr="00E06713" w:rsidTr="001341D6">
        <w:tc>
          <w:tcPr>
            <w:tcW w:w="5670" w:type="dxa"/>
            <w:tcBorders>
              <w:bottom w:val="single" w:sz="4" w:space="0" w:color="auto"/>
              <w:right w:val="nil"/>
            </w:tcBorders>
          </w:tcPr>
          <w:p w:rsidR="0008262E" w:rsidRPr="00E06713" w:rsidRDefault="00636B11" w:rsidP="00636B11">
            <w:pPr>
              <w:ind w:left="72"/>
              <w:rPr>
                <w:color w:val="000000"/>
                <w:sz w:val="20"/>
                <w:szCs w:val="22"/>
              </w:rPr>
            </w:pPr>
            <w:r>
              <w:rPr>
                <w:color w:val="000000"/>
                <w:sz w:val="20"/>
                <w:szCs w:val="22"/>
              </w:rPr>
              <w:t xml:space="preserve">All sales personnel should be well trained and the sales process should be adequately supervised. </w:t>
            </w:r>
          </w:p>
        </w:tc>
        <w:tc>
          <w:tcPr>
            <w:tcW w:w="1701" w:type="dxa"/>
            <w:tcBorders>
              <w:left w:val="nil"/>
              <w:bottom w:val="single" w:sz="4" w:space="0" w:color="auto"/>
              <w:right w:val="nil"/>
            </w:tcBorders>
          </w:tcPr>
          <w:p w:rsidR="0008262E" w:rsidRPr="00E06713" w:rsidRDefault="00636B11" w:rsidP="00390775">
            <w:pPr>
              <w:jc w:val="center"/>
              <w:rPr>
                <w:color w:val="000000"/>
                <w:sz w:val="20"/>
                <w:szCs w:val="22"/>
              </w:rPr>
            </w:pPr>
            <w:r>
              <w:rPr>
                <w:color w:val="000000"/>
                <w:sz w:val="20"/>
                <w:szCs w:val="22"/>
              </w:rPr>
              <w:t>CBA, industry associations</w:t>
            </w:r>
          </w:p>
        </w:tc>
        <w:tc>
          <w:tcPr>
            <w:tcW w:w="1449" w:type="dxa"/>
            <w:tcBorders>
              <w:left w:val="nil"/>
              <w:bottom w:val="single" w:sz="4" w:space="0" w:color="auto"/>
            </w:tcBorders>
          </w:tcPr>
          <w:p w:rsidR="0008262E" w:rsidRDefault="00636B11" w:rsidP="00390775">
            <w:pPr>
              <w:jc w:val="center"/>
              <w:rPr>
                <w:sz w:val="20"/>
              </w:rPr>
            </w:pPr>
            <w:r>
              <w:rPr>
                <w:sz w:val="20"/>
              </w:rPr>
              <w:t>Standards for sales staff knowledge and testing</w:t>
            </w:r>
          </w:p>
        </w:tc>
      </w:tr>
      <w:tr w:rsidR="0008262E" w:rsidRPr="00E06713" w:rsidTr="001341D6">
        <w:tc>
          <w:tcPr>
            <w:tcW w:w="5670" w:type="dxa"/>
            <w:tcBorders>
              <w:bottom w:val="single" w:sz="4" w:space="0" w:color="auto"/>
              <w:right w:val="nil"/>
            </w:tcBorders>
          </w:tcPr>
          <w:p w:rsidR="0008262E" w:rsidRPr="00E06713" w:rsidRDefault="009158ED" w:rsidP="006863C5">
            <w:pPr>
              <w:ind w:left="72"/>
              <w:rPr>
                <w:color w:val="000000"/>
                <w:sz w:val="20"/>
                <w:szCs w:val="22"/>
              </w:rPr>
            </w:pPr>
            <w:r>
              <w:rPr>
                <w:color w:val="000000"/>
                <w:sz w:val="20"/>
                <w:szCs w:val="22"/>
              </w:rPr>
              <w:t xml:space="preserve">The Financial System Mediator should be available also to sole entrepreneurs, micro- and small-size businesses. </w:t>
            </w:r>
          </w:p>
        </w:tc>
        <w:tc>
          <w:tcPr>
            <w:tcW w:w="1701" w:type="dxa"/>
            <w:tcBorders>
              <w:left w:val="nil"/>
              <w:bottom w:val="single" w:sz="4" w:space="0" w:color="auto"/>
              <w:right w:val="nil"/>
            </w:tcBorders>
          </w:tcPr>
          <w:p w:rsidR="0008262E" w:rsidRPr="00E06713" w:rsidRDefault="009158ED" w:rsidP="00390775">
            <w:pPr>
              <w:jc w:val="center"/>
              <w:rPr>
                <w:color w:val="000000"/>
                <w:sz w:val="20"/>
                <w:szCs w:val="22"/>
              </w:rPr>
            </w:pPr>
            <w:r>
              <w:rPr>
                <w:color w:val="000000"/>
                <w:sz w:val="20"/>
                <w:szCs w:val="22"/>
              </w:rPr>
              <w:t>CBA, Financial System Mediator</w:t>
            </w:r>
          </w:p>
        </w:tc>
        <w:tc>
          <w:tcPr>
            <w:tcW w:w="1449" w:type="dxa"/>
            <w:tcBorders>
              <w:left w:val="nil"/>
              <w:bottom w:val="single" w:sz="4" w:space="0" w:color="auto"/>
            </w:tcBorders>
          </w:tcPr>
          <w:p w:rsidR="0008262E" w:rsidRDefault="009158ED" w:rsidP="00390775">
            <w:pPr>
              <w:jc w:val="center"/>
              <w:rPr>
                <w:sz w:val="20"/>
              </w:rPr>
            </w:pPr>
            <w:r>
              <w:rPr>
                <w:sz w:val="20"/>
              </w:rPr>
              <w:t>Change of law</w:t>
            </w:r>
          </w:p>
        </w:tc>
      </w:tr>
      <w:tr w:rsidR="00FF024A" w:rsidRPr="00E06713" w:rsidTr="001341D6">
        <w:tc>
          <w:tcPr>
            <w:tcW w:w="5670" w:type="dxa"/>
            <w:tcBorders>
              <w:bottom w:val="single" w:sz="4" w:space="0" w:color="auto"/>
              <w:right w:val="nil"/>
            </w:tcBorders>
          </w:tcPr>
          <w:p w:rsidR="00FF024A" w:rsidRPr="00E06713" w:rsidRDefault="009158ED" w:rsidP="009158ED">
            <w:pPr>
              <w:ind w:left="72"/>
              <w:rPr>
                <w:color w:val="000000"/>
                <w:sz w:val="20"/>
              </w:rPr>
            </w:pPr>
            <w:r>
              <w:rPr>
                <w:color w:val="000000"/>
                <w:sz w:val="20"/>
                <w:szCs w:val="22"/>
              </w:rPr>
              <w:t xml:space="preserve">Financial institutions should analyze complaints received and provide the analysis to the CBA. </w:t>
            </w:r>
          </w:p>
        </w:tc>
        <w:tc>
          <w:tcPr>
            <w:tcW w:w="1701" w:type="dxa"/>
            <w:tcBorders>
              <w:left w:val="nil"/>
              <w:bottom w:val="single" w:sz="4" w:space="0" w:color="auto"/>
              <w:right w:val="nil"/>
            </w:tcBorders>
          </w:tcPr>
          <w:p w:rsidR="00FF024A" w:rsidRPr="00E06713" w:rsidRDefault="009158ED" w:rsidP="00390775">
            <w:pPr>
              <w:jc w:val="center"/>
              <w:rPr>
                <w:color w:val="000000"/>
                <w:sz w:val="20"/>
              </w:rPr>
            </w:pPr>
            <w:r>
              <w:rPr>
                <w:color w:val="000000"/>
                <w:sz w:val="20"/>
                <w:szCs w:val="22"/>
              </w:rPr>
              <w:t>CBA, financial institutions</w:t>
            </w:r>
          </w:p>
        </w:tc>
        <w:tc>
          <w:tcPr>
            <w:tcW w:w="1449" w:type="dxa"/>
            <w:tcBorders>
              <w:left w:val="nil"/>
              <w:bottom w:val="single" w:sz="4" w:space="0" w:color="auto"/>
            </w:tcBorders>
          </w:tcPr>
          <w:p w:rsidR="00FF024A" w:rsidRPr="00E06713" w:rsidRDefault="009158ED" w:rsidP="00390775">
            <w:pPr>
              <w:jc w:val="center"/>
              <w:rPr>
                <w:color w:val="000000"/>
                <w:sz w:val="20"/>
              </w:rPr>
            </w:pPr>
            <w:r>
              <w:rPr>
                <w:sz w:val="20"/>
              </w:rPr>
              <w:t>Update of CBA regulations</w:t>
            </w:r>
          </w:p>
        </w:tc>
      </w:tr>
      <w:tr w:rsidR="00A054C4" w:rsidRPr="00E06713" w:rsidTr="001341D6">
        <w:tc>
          <w:tcPr>
            <w:tcW w:w="5670" w:type="dxa"/>
            <w:tcBorders>
              <w:right w:val="nil"/>
            </w:tcBorders>
          </w:tcPr>
          <w:p w:rsidR="00A054C4" w:rsidRPr="00E06713" w:rsidRDefault="00CD2DCF" w:rsidP="00294AD1">
            <w:pPr>
              <w:ind w:left="72"/>
              <w:rPr>
                <w:color w:val="000000"/>
                <w:sz w:val="20"/>
              </w:rPr>
            </w:pPr>
            <w:r>
              <w:rPr>
                <w:color w:val="000000"/>
                <w:sz w:val="20"/>
                <w:szCs w:val="22"/>
              </w:rPr>
              <w:t xml:space="preserve">Multi-stakeholder national financial education program should be developed and implemented. </w:t>
            </w:r>
          </w:p>
        </w:tc>
        <w:tc>
          <w:tcPr>
            <w:tcW w:w="1701" w:type="dxa"/>
            <w:tcBorders>
              <w:left w:val="nil"/>
              <w:right w:val="nil"/>
            </w:tcBorders>
          </w:tcPr>
          <w:p w:rsidR="00A054C4" w:rsidRPr="00E06713" w:rsidRDefault="00CD2DCF" w:rsidP="00C777BD">
            <w:pPr>
              <w:jc w:val="center"/>
              <w:rPr>
                <w:color w:val="000000"/>
                <w:sz w:val="20"/>
              </w:rPr>
            </w:pPr>
            <w:r>
              <w:rPr>
                <w:color w:val="000000"/>
                <w:sz w:val="20"/>
                <w:szCs w:val="22"/>
              </w:rPr>
              <w:t>CBA, MoES, Ministry of Agriculture,</w:t>
            </w:r>
            <w:r w:rsidR="00C777BD">
              <w:rPr>
                <w:color w:val="000000"/>
                <w:sz w:val="20"/>
                <w:szCs w:val="22"/>
              </w:rPr>
              <w:t xml:space="preserve"> Ministry of Finance, Ministry of Social Affairs, Financial System Mediator,</w:t>
            </w:r>
            <w:r>
              <w:rPr>
                <w:color w:val="000000"/>
                <w:sz w:val="20"/>
                <w:szCs w:val="22"/>
              </w:rPr>
              <w:t xml:space="preserve"> financial associations, NGOs</w:t>
            </w:r>
          </w:p>
        </w:tc>
        <w:tc>
          <w:tcPr>
            <w:tcW w:w="1449" w:type="dxa"/>
            <w:tcBorders>
              <w:left w:val="nil"/>
            </w:tcBorders>
          </w:tcPr>
          <w:p w:rsidR="00A054C4" w:rsidRPr="00E06713" w:rsidRDefault="00CD2DCF" w:rsidP="00390775">
            <w:pPr>
              <w:jc w:val="center"/>
              <w:rPr>
                <w:color w:val="000000"/>
                <w:sz w:val="20"/>
              </w:rPr>
            </w:pPr>
            <w:r>
              <w:rPr>
                <w:sz w:val="20"/>
              </w:rPr>
              <w:t>National financial education program</w:t>
            </w:r>
          </w:p>
        </w:tc>
      </w:tr>
      <w:tr w:rsidR="00CD2DCF" w:rsidRPr="00E06713" w:rsidTr="001341D6">
        <w:tc>
          <w:tcPr>
            <w:tcW w:w="5670" w:type="dxa"/>
            <w:tcBorders>
              <w:bottom w:val="single" w:sz="12" w:space="0" w:color="auto"/>
              <w:right w:val="nil"/>
            </w:tcBorders>
          </w:tcPr>
          <w:p w:rsidR="00CD2DCF" w:rsidRDefault="00C777BD" w:rsidP="00F73797">
            <w:pPr>
              <w:ind w:left="72"/>
              <w:rPr>
                <w:color w:val="000000"/>
                <w:sz w:val="20"/>
                <w:szCs w:val="22"/>
              </w:rPr>
            </w:pPr>
            <w:r>
              <w:rPr>
                <w:color w:val="000000"/>
                <w:sz w:val="20"/>
                <w:szCs w:val="22"/>
              </w:rPr>
              <w:t xml:space="preserve">The Steering Committee for the National Strategy of </w:t>
            </w:r>
            <w:r w:rsidR="00CD2DCF">
              <w:rPr>
                <w:color w:val="000000"/>
                <w:sz w:val="20"/>
                <w:szCs w:val="22"/>
              </w:rPr>
              <w:t xml:space="preserve">Financial Education should implement </w:t>
            </w:r>
            <w:r>
              <w:rPr>
                <w:color w:val="000000"/>
                <w:sz w:val="20"/>
                <w:szCs w:val="22"/>
              </w:rPr>
              <w:t xml:space="preserve">the National Strategy, coordinate </w:t>
            </w:r>
            <w:r w:rsidR="00CD2DCF">
              <w:rPr>
                <w:color w:val="000000"/>
                <w:sz w:val="20"/>
                <w:szCs w:val="22"/>
              </w:rPr>
              <w:t xml:space="preserve">and evaluate </w:t>
            </w:r>
            <w:r>
              <w:rPr>
                <w:color w:val="000000"/>
                <w:sz w:val="20"/>
                <w:szCs w:val="22"/>
              </w:rPr>
              <w:t xml:space="preserve">various </w:t>
            </w:r>
            <w:r w:rsidR="00CD2DCF">
              <w:rPr>
                <w:color w:val="000000"/>
                <w:sz w:val="20"/>
                <w:szCs w:val="22"/>
              </w:rPr>
              <w:t>financial education program</w:t>
            </w:r>
            <w:r>
              <w:rPr>
                <w:color w:val="000000"/>
                <w:sz w:val="20"/>
                <w:szCs w:val="22"/>
              </w:rPr>
              <w:t>s</w:t>
            </w:r>
            <w:r w:rsidR="00CD2DCF">
              <w:rPr>
                <w:color w:val="000000"/>
                <w:sz w:val="20"/>
                <w:szCs w:val="22"/>
              </w:rPr>
              <w:t xml:space="preserve">. </w:t>
            </w:r>
          </w:p>
        </w:tc>
        <w:tc>
          <w:tcPr>
            <w:tcW w:w="1701" w:type="dxa"/>
            <w:tcBorders>
              <w:left w:val="nil"/>
              <w:bottom w:val="single" w:sz="12" w:space="0" w:color="auto"/>
              <w:right w:val="nil"/>
            </w:tcBorders>
          </w:tcPr>
          <w:p w:rsidR="00CD2DCF" w:rsidRDefault="00CD2DCF" w:rsidP="00390775">
            <w:pPr>
              <w:jc w:val="center"/>
              <w:rPr>
                <w:color w:val="000000"/>
                <w:sz w:val="20"/>
                <w:szCs w:val="22"/>
              </w:rPr>
            </w:pPr>
            <w:r>
              <w:rPr>
                <w:color w:val="000000"/>
                <w:sz w:val="20"/>
                <w:szCs w:val="22"/>
              </w:rPr>
              <w:t>as above</w:t>
            </w:r>
          </w:p>
        </w:tc>
        <w:tc>
          <w:tcPr>
            <w:tcW w:w="1449" w:type="dxa"/>
            <w:tcBorders>
              <w:left w:val="nil"/>
              <w:bottom w:val="single" w:sz="12" w:space="0" w:color="auto"/>
            </w:tcBorders>
          </w:tcPr>
          <w:p w:rsidR="00CD2DCF" w:rsidRDefault="00CD2DCF" w:rsidP="00390775">
            <w:pPr>
              <w:jc w:val="center"/>
              <w:rPr>
                <w:sz w:val="20"/>
              </w:rPr>
            </w:pPr>
            <w:r>
              <w:rPr>
                <w:sz w:val="20"/>
              </w:rPr>
              <w:t>Implementation and evaluation of financial education programs</w:t>
            </w:r>
          </w:p>
        </w:tc>
      </w:tr>
    </w:tbl>
    <w:p w:rsidR="00057AAD" w:rsidRPr="00E06713" w:rsidRDefault="00057AAD"/>
    <w:p w:rsidR="00057AAD" w:rsidRDefault="00057AAD" w:rsidP="005A21D4">
      <w:pPr>
        <w:jc w:val="both"/>
        <w:rPr>
          <w:sz w:val="22"/>
        </w:rPr>
      </w:pPr>
      <w:r w:rsidRPr="00E06713">
        <w:rPr>
          <w:sz w:val="22"/>
        </w:rPr>
        <w:t>Additional recommendations, classified as short, medium and long term are listed in the table below.</w:t>
      </w:r>
    </w:p>
    <w:p w:rsidR="00061881" w:rsidRPr="005A21D4" w:rsidRDefault="00061881" w:rsidP="005A21D4">
      <w:pPr>
        <w:jc w:val="both"/>
        <w:rPr>
          <w:sz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1276"/>
        <w:gridCol w:w="992"/>
        <w:gridCol w:w="1307"/>
      </w:tblGrid>
      <w:tr w:rsidR="00061881" w:rsidRPr="00040B4C" w:rsidTr="00F00C93">
        <w:trPr>
          <w:trHeight w:val="294"/>
        </w:trPr>
        <w:tc>
          <w:tcPr>
            <w:tcW w:w="5245" w:type="dxa"/>
            <w:tcBorders>
              <w:top w:val="single" w:sz="12" w:space="0" w:color="auto"/>
              <w:left w:val="nil"/>
              <w:bottom w:val="single" w:sz="12" w:space="0" w:color="auto"/>
              <w:right w:val="nil"/>
            </w:tcBorders>
            <w:vAlign w:val="center"/>
          </w:tcPr>
          <w:p w:rsidR="00E22B8E" w:rsidRPr="00040B4C" w:rsidRDefault="00E22B8E" w:rsidP="006F391B">
            <w:pPr>
              <w:ind w:left="72"/>
              <w:rPr>
                <w:b/>
                <w:color w:val="000000"/>
                <w:sz w:val="20"/>
                <w:szCs w:val="20"/>
              </w:rPr>
            </w:pPr>
            <w:r w:rsidRPr="00040B4C">
              <w:rPr>
                <w:b/>
                <w:color w:val="000000"/>
                <w:sz w:val="20"/>
                <w:szCs w:val="20"/>
              </w:rPr>
              <w:t>Additional Recommendations</w:t>
            </w:r>
          </w:p>
        </w:tc>
        <w:tc>
          <w:tcPr>
            <w:tcW w:w="1276" w:type="dxa"/>
            <w:tcBorders>
              <w:top w:val="single" w:sz="12" w:space="0" w:color="auto"/>
              <w:left w:val="nil"/>
              <w:bottom w:val="single" w:sz="12" w:space="0" w:color="auto"/>
              <w:right w:val="nil"/>
            </w:tcBorders>
            <w:vAlign w:val="center"/>
          </w:tcPr>
          <w:p w:rsidR="00E22B8E" w:rsidRPr="00040B4C" w:rsidRDefault="00E22B8E" w:rsidP="006F391B">
            <w:pPr>
              <w:ind w:left="-18" w:right="-18"/>
              <w:jc w:val="center"/>
              <w:rPr>
                <w:b/>
                <w:color w:val="000000"/>
                <w:sz w:val="20"/>
                <w:szCs w:val="20"/>
              </w:rPr>
            </w:pPr>
            <w:r w:rsidRPr="00040B4C">
              <w:rPr>
                <w:b/>
                <w:color w:val="000000"/>
                <w:sz w:val="20"/>
                <w:szCs w:val="20"/>
              </w:rPr>
              <w:t>Responsible</w:t>
            </w:r>
          </w:p>
        </w:tc>
        <w:tc>
          <w:tcPr>
            <w:tcW w:w="992" w:type="dxa"/>
            <w:tcBorders>
              <w:top w:val="single" w:sz="12" w:space="0" w:color="auto"/>
              <w:left w:val="nil"/>
              <w:bottom w:val="single" w:sz="12" w:space="0" w:color="auto"/>
              <w:right w:val="nil"/>
            </w:tcBorders>
            <w:vAlign w:val="center"/>
          </w:tcPr>
          <w:p w:rsidR="00E22B8E" w:rsidRPr="00040B4C" w:rsidRDefault="00061881" w:rsidP="006F391B">
            <w:pPr>
              <w:jc w:val="center"/>
              <w:rPr>
                <w:b/>
                <w:color w:val="000000"/>
                <w:sz w:val="20"/>
                <w:szCs w:val="20"/>
              </w:rPr>
            </w:pPr>
            <w:r>
              <w:rPr>
                <w:b/>
                <w:color w:val="000000"/>
                <w:sz w:val="20"/>
                <w:szCs w:val="20"/>
              </w:rPr>
              <w:t>Term</w:t>
            </w:r>
          </w:p>
        </w:tc>
        <w:tc>
          <w:tcPr>
            <w:tcW w:w="1307" w:type="dxa"/>
            <w:tcBorders>
              <w:top w:val="single" w:sz="12" w:space="0" w:color="auto"/>
              <w:left w:val="nil"/>
              <w:bottom w:val="single" w:sz="12" w:space="0" w:color="auto"/>
              <w:right w:val="nil"/>
            </w:tcBorders>
            <w:vAlign w:val="center"/>
          </w:tcPr>
          <w:p w:rsidR="00E22B8E" w:rsidRPr="00040B4C" w:rsidRDefault="00E22B8E" w:rsidP="006F391B">
            <w:pPr>
              <w:jc w:val="center"/>
              <w:rPr>
                <w:b/>
                <w:color w:val="000000"/>
                <w:sz w:val="20"/>
                <w:szCs w:val="20"/>
              </w:rPr>
            </w:pPr>
            <w:r w:rsidRPr="00040B4C">
              <w:rPr>
                <w:b/>
                <w:color w:val="000000"/>
                <w:sz w:val="20"/>
                <w:szCs w:val="20"/>
              </w:rPr>
              <w:t>Output</w:t>
            </w:r>
            <w:r w:rsidR="00D82C38">
              <w:rPr>
                <w:b/>
                <w:color w:val="000000"/>
                <w:sz w:val="20"/>
                <w:szCs w:val="20"/>
              </w:rPr>
              <w:t>s</w:t>
            </w:r>
          </w:p>
        </w:tc>
      </w:tr>
      <w:tr w:rsidR="00061881" w:rsidRPr="00B3720D" w:rsidTr="00F00C93">
        <w:tc>
          <w:tcPr>
            <w:tcW w:w="5245" w:type="dxa"/>
            <w:tcBorders>
              <w:top w:val="single" w:sz="12" w:space="0" w:color="auto"/>
              <w:left w:val="nil"/>
              <w:bottom w:val="single" w:sz="12" w:space="0" w:color="auto"/>
              <w:right w:val="nil"/>
            </w:tcBorders>
          </w:tcPr>
          <w:p w:rsidR="00E22B8E" w:rsidRPr="00B3720D" w:rsidRDefault="00E22B8E" w:rsidP="00DE5CEA">
            <w:pPr>
              <w:ind w:left="72"/>
              <w:rPr>
                <w:b/>
                <w:i/>
                <w:color w:val="000000"/>
                <w:sz w:val="20"/>
                <w:szCs w:val="20"/>
              </w:rPr>
            </w:pPr>
            <w:r w:rsidRPr="00B3720D">
              <w:rPr>
                <w:b/>
                <w:i/>
                <w:color w:val="000000"/>
                <w:sz w:val="20"/>
                <w:szCs w:val="20"/>
              </w:rPr>
              <w:t>Consumer Disclosure</w:t>
            </w:r>
          </w:p>
        </w:tc>
        <w:tc>
          <w:tcPr>
            <w:tcW w:w="1276" w:type="dxa"/>
            <w:tcBorders>
              <w:top w:val="single" w:sz="12" w:space="0" w:color="auto"/>
              <w:left w:val="nil"/>
              <w:bottom w:val="single" w:sz="12" w:space="0" w:color="auto"/>
              <w:right w:val="nil"/>
            </w:tcBorders>
          </w:tcPr>
          <w:p w:rsidR="00E22B8E" w:rsidRPr="00B3720D" w:rsidRDefault="00E22B8E" w:rsidP="00390775">
            <w:pPr>
              <w:jc w:val="center"/>
              <w:rPr>
                <w:i/>
                <w:color w:val="000000"/>
                <w:sz w:val="20"/>
                <w:szCs w:val="20"/>
              </w:rPr>
            </w:pPr>
          </w:p>
        </w:tc>
        <w:tc>
          <w:tcPr>
            <w:tcW w:w="992" w:type="dxa"/>
            <w:tcBorders>
              <w:top w:val="single" w:sz="12" w:space="0" w:color="auto"/>
              <w:left w:val="nil"/>
              <w:bottom w:val="single" w:sz="12" w:space="0" w:color="auto"/>
              <w:right w:val="nil"/>
            </w:tcBorders>
          </w:tcPr>
          <w:p w:rsidR="00E22B8E" w:rsidRPr="00B3720D" w:rsidRDefault="00E22B8E" w:rsidP="00DE5CEA">
            <w:pPr>
              <w:jc w:val="center"/>
              <w:rPr>
                <w:i/>
                <w:color w:val="000000"/>
                <w:sz w:val="20"/>
                <w:szCs w:val="20"/>
              </w:rPr>
            </w:pPr>
          </w:p>
        </w:tc>
        <w:tc>
          <w:tcPr>
            <w:tcW w:w="1307" w:type="dxa"/>
            <w:tcBorders>
              <w:top w:val="single" w:sz="12" w:space="0" w:color="auto"/>
              <w:left w:val="nil"/>
              <w:bottom w:val="single" w:sz="12" w:space="0" w:color="auto"/>
              <w:right w:val="nil"/>
            </w:tcBorders>
          </w:tcPr>
          <w:p w:rsidR="00E22B8E" w:rsidRPr="00B3720D" w:rsidRDefault="00E22B8E" w:rsidP="00DE5CEA">
            <w:pPr>
              <w:jc w:val="center"/>
              <w:rPr>
                <w:i/>
                <w:color w:val="000000"/>
                <w:sz w:val="20"/>
                <w:szCs w:val="20"/>
              </w:rPr>
            </w:pPr>
          </w:p>
        </w:tc>
      </w:tr>
      <w:tr w:rsidR="00A16FD4" w:rsidRPr="00A16FD4" w:rsidTr="00F00C93">
        <w:tc>
          <w:tcPr>
            <w:tcW w:w="5245" w:type="dxa"/>
            <w:tcBorders>
              <w:top w:val="single" w:sz="12" w:space="0" w:color="auto"/>
              <w:left w:val="nil"/>
              <w:right w:val="nil"/>
            </w:tcBorders>
          </w:tcPr>
          <w:p w:rsidR="00A16FD4" w:rsidRPr="00A16FD4" w:rsidRDefault="00A16FD4" w:rsidP="00A16FD4">
            <w:pPr>
              <w:ind w:left="72"/>
              <w:rPr>
                <w:color w:val="000000"/>
                <w:sz w:val="20"/>
                <w:szCs w:val="20"/>
              </w:rPr>
            </w:pPr>
            <w:r>
              <w:rPr>
                <w:color w:val="000000"/>
                <w:sz w:val="20"/>
                <w:szCs w:val="20"/>
              </w:rPr>
              <w:t>Require financial institutions to disclose the effective price or cost of financial products, using standard calculation methods, in all advertising, marketing and sales materials.</w:t>
            </w:r>
          </w:p>
        </w:tc>
        <w:tc>
          <w:tcPr>
            <w:tcW w:w="1276" w:type="dxa"/>
            <w:tcBorders>
              <w:top w:val="single" w:sz="12" w:space="0" w:color="auto"/>
              <w:left w:val="nil"/>
              <w:right w:val="nil"/>
            </w:tcBorders>
          </w:tcPr>
          <w:p w:rsidR="00A16FD4" w:rsidRPr="00A16FD4" w:rsidRDefault="006E0D76" w:rsidP="00390775">
            <w:pPr>
              <w:jc w:val="center"/>
              <w:rPr>
                <w:color w:val="000000"/>
                <w:sz w:val="20"/>
                <w:szCs w:val="20"/>
              </w:rPr>
            </w:pPr>
            <w:r>
              <w:rPr>
                <w:color w:val="000000"/>
                <w:sz w:val="20"/>
                <w:szCs w:val="20"/>
              </w:rPr>
              <w:t>CBA</w:t>
            </w:r>
          </w:p>
        </w:tc>
        <w:tc>
          <w:tcPr>
            <w:tcW w:w="992" w:type="dxa"/>
            <w:tcBorders>
              <w:top w:val="single" w:sz="12" w:space="0" w:color="auto"/>
              <w:left w:val="nil"/>
              <w:right w:val="nil"/>
            </w:tcBorders>
          </w:tcPr>
          <w:p w:rsidR="00A16FD4" w:rsidRPr="00A16FD4" w:rsidRDefault="00A16FD4" w:rsidP="00DE5CEA">
            <w:pPr>
              <w:jc w:val="center"/>
              <w:rPr>
                <w:color w:val="000000"/>
                <w:sz w:val="20"/>
                <w:szCs w:val="20"/>
              </w:rPr>
            </w:pPr>
            <w:r>
              <w:rPr>
                <w:color w:val="000000"/>
                <w:sz w:val="20"/>
                <w:szCs w:val="20"/>
              </w:rPr>
              <w:t>Short</w:t>
            </w:r>
          </w:p>
        </w:tc>
        <w:tc>
          <w:tcPr>
            <w:tcW w:w="1307" w:type="dxa"/>
            <w:tcBorders>
              <w:top w:val="single" w:sz="12" w:space="0" w:color="auto"/>
              <w:left w:val="nil"/>
              <w:right w:val="nil"/>
            </w:tcBorders>
          </w:tcPr>
          <w:p w:rsidR="00A16FD4" w:rsidRPr="00A16FD4" w:rsidRDefault="006E0D76" w:rsidP="006E0D76">
            <w:pPr>
              <w:jc w:val="center"/>
              <w:rPr>
                <w:color w:val="000000"/>
                <w:sz w:val="20"/>
                <w:szCs w:val="20"/>
              </w:rPr>
            </w:pPr>
            <w:r>
              <w:rPr>
                <w:color w:val="000000"/>
                <w:sz w:val="20"/>
                <w:szCs w:val="20"/>
              </w:rPr>
              <w:t>CBA Regulation</w:t>
            </w:r>
          </w:p>
        </w:tc>
      </w:tr>
      <w:tr w:rsidR="00AE2C04" w:rsidRPr="00040B4C" w:rsidTr="00F00C93">
        <w:tc>
          <w:tcPr>
            <w:tcW w:w="5245" w:type="dxa"/>
            <w:tcBorders>
              <w:left w:val="nil"/>
              <w:right w:val="nil"/>
            </w:tcBorders>
          </w:tcPr>
          <w:p w:rsidR="00AE2C04" w:rsidRPr="00AE2C04" w:rsidRDefault="00AE2C04" w:rsidP="00A16FD4">
            <w:pPr>
              <w:ind w:left="72"/>
              <w:rPr>
                <w:sz w:val="20"/>
                <w:szCs w:val="20"/>
              </w:rPr>
            </w:pPr>
            <w:r>
              <w:rPr>
                <w:sz w:val="20"/>
                <w:szCs w:val="20"/>
              </w:rPr>
              <w:t xml:space="preserve">Regularly analyze the understandability of the disclosure materials by an average consumer and support comparability of disclosure among institutions. </w:t>
            </w:r>
          </w:p>
        </w:tc>
        <w:tc>
          <w:tcPr>
            <w:tcW w:w="1276" w:type="dxa"/>
            <w:tcBorders>
              <w:left w:val="nil"/>
              <w:right w:val="nil"/>
            </w:tcBorders>
          </w:tcPr>
          <w:p w:rsidR="00AE2C04" w:rsidRDefault="00AE2C04" w:rsidP="00390775">
            <w:pPr>
              <w:jc w:val="center"/>
              <w:rPr>
                <w:sz w:val="20"/>
                <w:szCs w:val="20"/>
              </w:rPr>
            </w:pPr>
            <w:r>
              <w:rPr>
                <w:sz w:val="20"/>
                <w:szCs w:val="20"/>
              </w:rPr>
              <w:t>CBA,</w:t>
            </w:r>
          </w:p>
          <w:p w:rsidR="00AE2C04" w:rsidRPr="00040B4C" w:rsidRDefault="00AE2C04" w:rsidP="00AE2C04">
            <w:pPr>
              <w:jc w:val="center"/>
              <w:rPr>
                <w:sz w:val="20"/>
                <w:szCs w:val="20"/>
              </w:rPr>
            </w:pPr>
            <w:r>
              <w:rPr>
                <w:sz w:val="20"/>
                <w:szCs w:val="20"/>
              </w:rPr>
              <w:t>consumer NGOs</w:t>
            </w:r>
          </w:p>
        </w:tc>
        <w:tc>
          <w:tcPr>
            <w:tcW w:w="992" w:type="dxa"/>
            <w:tcBorders>
              <w:left w:val="nil"/>
              <w:right w:val="nil"/>
            </w:tcBorders>
          </w:tcPr>
          <w:p w:rsidR="00AE2C04" w:rsidRDefault="006E0D76" w:rsidP="00C27AD3">
            <w:pPr>
              <w:jc w:val="center"/>
              <w:rPr>
                <w:sz w:val="20"/>
                <w:szCs w:val="20"/>
              </w:rPr>
            </w:pPr>
            <w:r>
              <w:rPr>
                <w:sz w:val="20"/>
                <w:szCs w:val="20"/>
              </w:rPr>
              <w:t>Short</w:t>
            </w:r>
          </w:p>
        </w:tc>
        <w:tc>
          <w:tcPr>
            <w:tcW w:w="1307" w:type="dxa"/>
            <w:tcBorders>
              <w:left w:val="nil"/>
              <w:right w:val="nil"/>
            </w:tcBorders>
          </w:tcPr>
          <w:p w:rsidR="00AE2C04" w:rsidRPr="00040B4C" w:rsidRDefault="006E0D76" w:rsidP="00C27AD3">
            <w:pPr>
              <w:jc w:val="center"/>
              <w:rPr>
                <w:sz w:val="20"/>
                <w:szCs w:val="20"/>
              </w:rPr>
            </w:pPr>
            <w:r>
              <w:rPr>
                <w:color w:val="000000"/>
                <w:sz w:val="20"/>
                <w:szCs w:val="20"/>
              </w:rPr>
              <w:t>Analysis, update of regulations</w:t>
            </w:r>
          </w:p>
        </w:tc>
      </w:tr>
      <w:tr w:rsidR="003C62BE" w:rsidRPr="00040B4C" w:rsidTr="00F00C93">
        <w:tc>
          <w:tcPr>
            <w:tcW w:w="5245" w:type="dxa"/>
            <w:tcBorders>
              <w:left w:val="nil"/>
              <w:right w:val="nil"/>
            </w:tcBorders>
          </w:tcPr>
          <w:p w:rsidR="003C62BE" w:rsidRDefault="003C62BE" w:rsidP="00A16FD4">
            <w:pPr>
              <w:ind w:left="72"/>
              <w:rPr>
                <w:sz w:val="20"/>
                <w:szCs w:val="20"/>
              </w:rPr>
            </w:pPr>
            <w:r>
              <w:rPr>
                <w:sz w:val="20"/>
                <w:szCs w:val="20"/>
              </w:rPr>
              <w:t xml:space="preserve">Consumer rights should be fully and understandably disclosed to all consumers. </w:t>
            </w:r>
          </w:p>
        </w:tc>
        <w:tc>
          <w:tcPr>
            <w:tcW w:w="1276" w:type="dxa"/>
            <w:tcBorders>
              <w:left w:val="nil"/>
              <w:right w:val="nil"/>
            </w:tcBorders>
          </w:tcPr>
          <w:p w:rsidR="006E0D76" w:rsidRDefault="006E0D76" w:rsidP="006E0D76">
            <w:pPr>
              <w:jc w:val="center"/>
              <w:rPr>
                <w:sz w:val="20"/>
                <w:szCs w:val="20"/>
              </w:rPr>
            </w:pPr>
            <w:r>
              <w:rPr>
                <w:sz w:val="20"/>
                <w:szCs w:val="20"/>
              </w:rPr>
              <w:t>CBA,</w:t>
            </w:r>
          </w:p>
          <w:p w:rsidR="003C62BE" w:rsidRDefault="006E0D76" w:rsidP="006E0D76">
            <w:pPr>
              <w:jc w:val="center"/>
              <w:rPr>
                <w:sz w:val="20"/>
                <w:szCs w:val="20"/>
              </w:rPr>
            </w:pPr>
            <w:r>
              <w:rPr>
                <w:sz w:val="20"/>
                <w:szCs w:val="20"/>
              </w:rPr>
              <w:t>consumer NGOs</w:t>
            </w:r>
          </w:p>
        </w:tc>
        <w:tc>
          <w:tcPr>
            <w:tcW w:w="992" w:type="dxa"/>
            <w:tcBorders>
              <w:left w:val="nil"/>
              <w:right w:val="nil"/>
            </w:tcBorders>
          </w:tcPr>
          <w:p w:rsidR="003C62BE" w:rsidRDefault="006E0D76" w:rsidP="00C27AD3">
            <w:pPr>
              <w:jc w:val="center"/>
              <w:rPr>
                <w:sz w:val="20"/>
                <w:szCs w:val="20"/>
              </w:rPr>
            </w:pPr>
            <w:r>
              <w:rPr>
                <w:sz w:val="20"/>
                <w:szCs w:val="20"/>
              </w:rPr>
              <w:t>Short</w:t>
            </w:r>
          </w:p>
        </w:tc>
        <w:tc>
          <w:tcPr>
            <w:tcW w:w="1307" w:type="dxa"/>
            <w:tcBorders>
              <w:left w:val="nil"/>
              <w:right w:val="nil"/>
            </w:tcBorders>
          </w:tcPr>
          <w:p w:rsidR="003C62BE" w:rsidRPr="00040B4C" w:rsidRDefault="006E0D76" w:rsidP="00C27AD3">
            <w:pPr>
              <w:jc w:val="center"/>
              <w:rPr>
                <w:sz w:val="20"/>
                <w:szCs w:val="20"/>
              </w:rPr>
            </w:pPr>
            <w:r>
              <w:rPr>
                <w:sz w:val="20"/>
                <w:szCs w:val="20"/>
              </w:rPr>
              <w:t>Update of regulations</w:t>
            </w:r>
          </w:p>
        </w:tc>
      </w:tr>
      <w:tr w:rsidR="007E78CC" w:rsidRPr="00040B4C" w:rsidTr="00F00C93">
        <w:tc>
          <w:tcPr>
            <w:tcW w:w="5245" w:type="dxa"/>
            <w:tcBorders>
              <w:left w:val="nil"/>
              <w:right w:val="nil"/>
            </w:tcBorders>
          </w:tcPr>
          <w:p w:rsidR="007E78CC" w:rsidRPr="00AE2C04" w:rsidRDefault="007E78CC" w:rsidP="00A16FD4">
            <w:pPr>
              <w:ind w:left="72"/>
              <w:rPr>
                <w:sz w:val="20"/>
                <w:szCs w:val="20"/>
              </w:rPr>
            </w:pPr>
            <w:r>
              <w:rPr>
                <w:sz w:val="20"/>
                <w:szCs w:val="20"/>
              </w:rPr>
              <w:t>Use mystery shopping to verify that sales staff explain</w:t>
            </w:r>
            <w:r w:rsidR="00312DFE">
              <w:rPr>
                <w:sz w:val="20"/>
                <w:szCs w:val="20"/>
              </w:rPr>
              <w:t>s</w:t>
            </w:r>
            <w:r>
              <w:rPr>
                <w:sz w:val="20"/>
                <w:szCs w:val="20"/>
              </w:rPr>
              <w:t xml:space="preserve"> products and related disclosure adequately. </w:t>
            </w:r>
          </w:p>
        </w:tc>
        <w:tc>
          <w:tcPr>
            <w:tcW w:w="1276" w:type="dxa"/>
            <w:tcBorders>
              <w:left w:val="nil"/>
              <w:right w:val="nil"/>
            </w:tcBorders>
          </w:tcPr>
          <w:p w:rsidR="007E78CC" w:rsidRDefault="007E78CC" w:rsidP="007E78CC">
            <w:pPr>
              <w:jc w:val="center"/>
              <w:rPr>
                <w:sz w:val="20"/>
                <w:szCs w:val="20"/>
              </w:rPr>
            </w:pPr>
            <w:r>
              <w:rPr>
                <w:sz w:val="20"/>
                <w:szCs w:val="20"/>
              </w:rPr>
              <w:t>CBA,</w:t>
            </w:r>
          </w:p>
          <w:p w:rsidR="007E78CC" w:rsidRPr="00040B4C" w:rsidRDefault="007E78CC" w:rsidP="007E78CC">
            <w:pPr>
              <w:jc w:val="center"/>
              <w:rPr>
                <w:sz w:val="20"/>
                <w:szCs w:val="20"/>
              </w:rPr>
            </w:pPr>
            <w:r>
              <w:rPr>
                <w:sz w:val="20"/>
                <w:szCs w:val="20"/>
              </w:rPr>
              <w:t>consumer NGOs</w:t>
            </w:r>
          </w:p>
        </w:tc>
        <w:tc>
          <w:tcPr>
            <w:tcW w:w="992" w:type="dxa"/>
            <w:tcBorders>
              <w:left w:val="nil"/>
              <w:right w:val="nil"/>
            </w:tcBorders>
          </w:tcPr>
          <w:p w:rsidR="007E78CC" w:rsidRDefault="006E0D76" w:rsidP="00C27AD3">
            <w:pPr>
              <w:jc w:val="center"/>
              <w:rPr>
                <w:sz w:val="20"/>
                <w:szCs w:val="20"/>
              </w:rPr>
            </w:pPr>
            <w:r>
              <w:rPr>
                <w:sz w:val="20"/>
                <w:szCs w:val="20"/>
              </w:rPr>
              <w:t>Medium</w:t>
            </w:r>
          </w:p>
        </w:tc>
        <w:tc>
          <w:tcPr>
            <w:tcW w:w="1307" w:type="dxa"/>
            <w:tcBorders>
              <w:left w:val="nil"/>
              <w:right w:val="nil"/>
            </w:tcBorders>
          </w:tcPr>
          <w:p w:rsidR="007E78CC" w:rsidRPr="00040B4C" w:rsidRDefault="006E0D76" w:rsidP="00C27AD3">
            <w:pPr>
              <w:jc w:val="center"/>
              <w:rPr>
                <w:sz w:val="20"/>
                <w:szCs w:val="20"/>
              </w:rPr>
            </w:pPr>
            <w:r>
              <w:rPr>
                <w:sz w:val="20"/>
                <w:szCs w:val="20"/>
              </w:rPr>
              <w:t>Analysis</w:t>
            </w:r>
          </w:p>
        </w:tc>
      </w:tr>
      <w:tr w:rsidR="00061881" w:rsidRPr="00040B4C" w:rsidTr="00F00C93">
        <w:tc>
          <w:tcPr>
            <w:tcW w:w="5245" w:type="dxa"/>
            <w:tcBorders>
              <w:left w:val="nil"/>
              <w:right w:val="nil"/>
            </w:tcBorders>
          </w:tcPr>
          <w:p w:rsidR="00040B4C" w:rsidRPr="00040B4C" w:rsidRDefault="00040B4C" w:rsidP="00AF2F0E">
            <w:pPr>
              <w:ind w:left="72"/>
              <w:rPr>
                <w:color w:val="000000"/>
                <w:sz w:val="20"/>
                <w:szCs w:val="20"/>
              </w:rPr>
            </w:pPr>
            <w:r w:rsidRPr="00040B4C">
              <w:rPr>
                <w:color w:val="000000"/>
                <w:sz w:val="20"/>
                <w:szCs w:val="20"/>
              </w:rPr>
              <w:t>Require key facts statements to be provided to consumers by all financial providers</w:t>
            </w:r>
            <w:r>
              <w:rPr>
                <w:color w:val="000000"/>
                <w:sz w:val="20"/>
                <w:szCs w:val="20"/>
              </w:rPr>
              <w:t>; develop key facts statements</w:t>
            </w:r>
            <w:r w:rsidR="00AF2F0E">
              <w:rPr>
                <w:color w:val="000000"/>
                <w:sz w:val="20"/>
                <w:szCs w:val="20"/>
              </w:rPr>
              <w:t>, starting</w:t>
            </w:r>
            <w:r>
              <w:rPr>
                <w:color w:val="000000"/>
                <w:sz w:val="20"/>
                <w:szCs w:val="20"/>
              </w:rPr>
              <w:t xml:space="preserve"> </w:t>
            </w:r>
            <w:r w:rsidR="00AF2F0E">
              <w:rPr>
                <w:color w:val="000000"/>
                <w:sz w:val="20"/>
                <w:szCs w:val="20"/>
              </w:rPr>
              <w:t>with</w:t>
            </w:r>
            <w:r>
              <w:rPr>
                <w:color w:val="000000"/>
                <w:sz w:val="20"/>
                <w:szCs w:val="20"/>
              </w:rPr>
              <w:t xml:space="preserve"> basic retail financial products.</w:t>
            </w:r>
          </w:p>
        </w:tc>
        <w:tc>
          <w:tcPr>
            <w:tcW w:w="1276" w:type="dxa"/>
            <w:tcBorders>
              <w:left w:val="nil"/>
              <w:right w:val="nil"/>
            </w:tcBorders>
          </w:tcPr>
          <w:p w:rsidR="00040B4C" w:rsidRDefault="006E0D76" w:rsidP="00390775">
            <w:pPr>
              <w:jc w:val="center"/>
              <w:rPr>
                <w:color w:val="000000"/>
                <w:sz w:val="20"/>
                <w:szCs w:val="20"/>
              </w:rPr>
            </w:pPr>
            <w:r>
              <w:rPr>
                <w:color w:val="000000"/>
                <w:sz w:val="20"/>
                <w:szCs w:val="20"/>
              </w:rPr>
              <w:t>CBA</w:t>
            </w:r>
            <w:r w:rsidR="00040B4C">
              <w:rPr>
                <w:color w:val="000000"/>
                <w:sz w:val="20"/>
                <w:szCs w:val="20"/>
              </w:rPr>
              <w:t>,</w:t>
            </w:r>
          </w:p>
          <w:p w:rsidR="00040B4C" w:rsidRPr="00040B4C" w:rsidRDefault="006E0D76" w:rsidP="00390775">
            <w:pPr>
              <w:jc w:val="center"/>
              <w:rPr>
                <w:color w:val="000000"/>
                <w:sz w:val="20"/>
                <w:szCs w:val="20"/>
              </w:rPr>
            </w:pPr>
            <w:r>
              <w:rPr>
                <w:color w:val="000000"/>
                <w:sz w:val="20"/>
                <w:szCs w:val="20"/>
              </w:rPr>
              <w:t>i</w:t>
            </w:r>
            <w:r w:rsidR="00040B4C">
              <w:rPr>
                <w:color w:val="000000"/>
                <w:sz w:val="20"/>
                <w:szCs w:val="20"/>
              </w:rPr>
              <w:t>ndustry &amp; consumer associations</w:t>
            </w:r>
          </w:p>
        </w:tc>
        <w:tc>
          <w:tcPr>
            <w:tcW w:w="992" w:type="dxa"/>
            <w:tcBorders>
              <w:left w:val="nil"/>
              <w:right w:val="nil"/>
            </w:tcBorders>
          </w:tcPr>
          <w:p w:rsidR="00040B4C" w:rsidRPr="00040B4C" w:rsidRDefault="00040B4C" w:rsidP="00802B34">
            <w:pPr>
              <w:jc w:val="center"/>
              <w:rPr>
                <w:color w:val="000000"/>
                <w:sz w:val="20"/>
                <w:szCs w:val="20"/>
              </w:rPr>
            </w:pPr>
            <w:r w:rsidRPr="00040B4C">
              <w:rPr>
                <w:color w:val="000000"/>
                <w:sz w:val="20"/>
                <w:szCs w:val="20"/>
              </w:rPr>
              <w:t xml:space="preserve">Medium </w:t>
            </w:r>
          </w:p>
        </w:tc>
        <w:tc>
          <w:tcPr>
            <w:tcW w:w="1307" w:type="dxa"/>
            <w:tcBorders>
              <w:left w:val="nil"/>
              <w:right w:val="nil"/>
            </w:tcBorders>
          </w:tcPr>
          <w:p w:rsidR="00040B4C" w:rsidRPr="00040B4C" w:rsidRDefault="006E0D76" w:rsidP="006E0D76">
            <w:pPr>
              <w:jc w:val="center"/>
              <w:rPr>
                <w:color w:val="000000"/>
                <w:sz w:val="20"/>
                <w:szCs w:val="20"/>
              </w:rPr>
            </w:pPr>
            <w:r>
              <w:rPr>
                <w:color w:val="000000"/>
                <w:sz w:val="20"/>
                <w:szCs w:val="20"/>
              </w:rPr>
              <w:t>CBA</w:t>
            </w:r>
            <w:r w:rsidR="00040B4C" w:rsidRPr="00040B4C">
              <w:rPr>
                <w:color w:val="000000"/>
                <w:sz w:val="20"/>
                <w:szCs w:val="20"/>
              </w:rPr>
              <w:t xml:space="preserve"> </w:t>
            </w:r>
            <w:r>
              <w:rPr>
                <w:color w:val="000000"/>
                <w:sz w:val="20"/>
                <w:szCs w:val="20"/>
              </w:rPr>
              <w:t>Regulation</w:t>
            </w:r>
            <w:r w:rsidR="00040B4C" w:rsidRPr="00040B4C">
              <w:rPr>
                <w:color w:val="000000"/>
                <w:sz w:val="20"/>
                <w:szCs w:val="20"/>
              </w:rPr>
              <w:t>, disclosure formats</w:t>
            </w:r>
          </w:p>
        </w:tc>
      </w:tr>
      <w:tr w:rsidR="00312DFE" w:rsidRPr="00040B4C" w:rsidTr="00F00C93">
        <w:tc>
          <w:tcPr>
            <w:tcW w:w="5245" w:type="dxa"/>
            <w:tcBorders>
              <w:left w:val="nil"/>
              <w:right w:val="nil"/>
            </w:tcBorders>
          </w:tcPr>
          <w:p w:rsidR="00312DFE" w:rsidRDefault="00312DFE" w:rsidP="00312DFE">
            <w:pPr>
              <w:ind w:left="72"/>
              <w:rPr>
                <w:color w:val="000000"/>
                <w:sz w:val="20"/>
                <w:szCs w:val="20"/>
              </w:rPr>
            </w:pPr>
            <w:r>
              <w:rPr>
                <w:color w:val="000000"/>
                <w:sz w:val="20"/>
                <w:szCs w:val="20"/>
              </w:rPr>
              <w:t xml:space="preserve">All contracts for deposit products and investments should clearly state whether the deposit/investment is guaranteed, to which amount and under which conditions. </w:t>
            </w:r>
            <w:r w:rsidR="005842AF">
              <w:rPr>
                <w:color w:val="000000"/>
                <w:sz w:val="20"/>
                <w:szCs w:val="20"/>
              </w:rPr>
              <w:t xml:space="preserve">Information on deposit guarantees should also be presented in branches. </w:t>
            </w:r>
          </w:p>
        </w:tc>
        <w:tc>
          <w:tcPr>
            <w:tcW w:w="1276" w:type="dxa"/>
            <w:tcBorders>
              <w:left w:val="nil"/>
              <w:right w:val="nil"/>
            </w:tcBorders>
          </w:tcPr>
          <w:p w:rsidR="00312DFE" w:rsidRPr="00040B4C" w:rsidRDefault="006E0D76" w:rsidP="00390775">
            <w:pPr>
              <w:jc w:val="center"/>
              <w:rPr>
                <w:color w:val="000000"/>
                <w:sz w:val="20"/>
                <w:szCs w:val="20"/>
              </w:rPr>
            </w:pPr>
            <w:r>
              <w:rPr>
                <w:color w:val="000000"/>
                <w:sz w:val="20"/>
                <w:szCs w:val="20"/>
              </w:rPr>
              <w:t>CBA</w:t>
            </w:r>
          </w:p>
        </w:tc>
        <w:tc>
          <w:tcPr>
            <w:tcW w:w="992" w:type="dxa"/>
            <w:tcBorders>
              <w:left w:val="nil"/>
              <w:right w:val="nil"/>
            </w:tcBorders>
          </w:tcPr>
          <w:p w:rsidR="00312DFE" w:rsidRPr="00040B4C" w:rsidRDefault="006E0D76" w:rsidP="00802B34">
            <w:pPr>
              <w:jc w:val="center"/>
              <w:rPr>
                <w:color w:val="000000"/>
                <w:sz w:val="20"/>
                <w:szCs w:val="20"/>
              </w:rPr>
            </w:pPr>
            <w:r>
              <w:rPr>
                <w:color w:val="000000"/>
                <w:sz w:val="20"/>
                <w:szCs w:val="20"/>
              </w:rPr>
              <w:t>Medium</w:t>
            </w:r>
          </w:p>
        </w:tc>
        <w:tc>
          <w:tcPr>
            <w:tcW w:w="1307" w:type="dxa"/>
            <w:tcBorders>
              <w:left w:val="nil"/>
              <w:right w:val="nil"/>
            </w:tcBorders>
          </w:tcPr>
          <w:p w:rsidR="00312DFE" w:rsidRPr="00040B4C" w:rsidRDefault="006E0D76" w:rsidP="00040B4C">
            <w:pPr>
              <w:jc w:val="center"/>
              <w:rPr>
                <w:color w:val="000000"/>
                <w:sz w:val="20"/>
                <w:szCs w:val="20"/>
              </w:rPr>
            </w:pPr>
            <w:r>
              <w:rPr>
                <w:color w:val="000000"/>
                <w:sz w:val="20"/>
                <w:szCs w:val="20"/>
              </w:rPr>
              <w:t>CBA</w:t>
            </w:r>
            <w:r w:rsidRPr="00040B4C">
              <w:rPr>
                <w:color w:val="000000"/>
                <w:sz w:val="20"/>
                <w:szCs w:val="20"/>
              </w:rPr>
              <w:t xml:space="preserve"> </w:t>
            </w:r>
            <w:r>
              <w:rPr>
                <w:color w:val="000000"/>
                <w:sz w:val="20"/>
                <w:szCs w:val="20"/>
              </w:rPr>
              <w:t>Regulation</w:t>
            </w:r>
          </w:p>
        </w:tc>
      </w:tr>
      <w:tr w:rsidR="00AE2C04" w:rsidRPr="00040B4C" w:rsidTr="00F00C93">
        <w:tc>
          <w:tcPr>
            <w:tcW w:w="5245" w:type="dxa"/>
            <w:tcBorders>
              <w:left w:val="nil"/>
              <w:right w:val="nil"/>
            </w:tcBorders>
          </w:tcPr>
          <w:p w:rsidR="00AE2C04" w:rsidRPr="00040B4C" w:rsidRDefault="00AE2C04" w:rsidP="00AF2F0E">
            <w:pPr>
              <w:ind w:left="72"/>
              <w:rPr>
                <w:color w:val="000000"/>
                <w:sz w:val="20"/>
                <w:szCs w:val="20"/>
              </w:rPr>
            </w:pPr>
            <w:r>
              <w:rPr>
                <w:color w:val="000000"/>
                <w:sz w:val="20"/>
                <w:szCs w:val="20"/>
              </w:rPr>
              <w:t xml:space="preserve">All advertising should state that the financial institution is licensed and supervised by the CBA. </w:t>
            </w:r>
          </w:p>
        </w:tc>
        <w:tc>
          <w:tcPr>
            <w:tcW w:w="1276" w:type="dxa"/>
            <w:tcBorders>
              <w:left w:val="nil"/>
              <w:right w:val="nil"/>
            </w:tcBorders>
          </w:tcPr>
          <w:p w:rsidR="00AE2C04" w:rsidRPr="00040B4C" w:rsidRDefault="006E0D76" w:rsidP="00390775">
            <w:pPr>
              <w:jc w:val="center"/>
              <w:rPr>
                <w:color w:val="000000"/>
                <w:sz w:val="20"/>
                <w:szCs w:val="20"/>
              </w:rPr>
            </w:pPr>
            <w:r>
              <w:rPr>
                <w:color w:val="000000"/>
                <w:sz w:val="20"/>
                <w:szCs w:val="20"/>
              </w:rPr>
              <w:t>CBA</w:t>
            </w:r>
          </w:p>
        </w:tc>
        <w:tc>
          <w:tcPr>
            <w:tcW w:w="992" w:type="dxa"/>
            <w:tcBorders>
              <w:left w:val="nil"/>
              <w:right w:val="nil"/>
            </w:tcBorders>
          </w:tcPr>
          <w:p w:rsidR="00AE2C04" w:rsidRPr="00040B4C" w:rsidRDefault="006E0D76" w:rsidP="00802B34">
            <w:pPr>
              <w:jc w:val="center"/>
              <w:rPr>
                <w:color w:val="000000"/>
                <w:sz w:val="20"/>
                <w:szCs w:val="20"/>
              </w:rPr>
            </w:pPr>
            <w:r>
              <w:rPr>
                <w:color w:val="000000"/>
                <w:sz w:val="20"/>
                <w:szCs w:val="20"/>
              </w:rPr>
              <w:t>Short</w:t>
            </w:r>
          </w:p>
        </w:tc>
        <w:tc>
          <w:tcPr>
            <w:tcW w:w="1307" w:type="dxa"/>
            <w:tcBorders>
              <w:left w:val="nil"/>
              <w:right w:val="nil"/>
            </w:tcBorders>
          </w:tcPr>
          <w:p w:rsidR="00AE2C04" w:rsidRPr="00040B4C" w:rsidRDefault="006E0D76" w:rsidP="00040B4C">
            <w:pPr>
              <w:jc w:val="center"/>
              <w:rPr>
                <w:color w:val="000000"/>
                <w:sz w:val="20"/>
                <w:szCs w:val="20"/>
              </w:rPr>
            </w:pPr>
            <w:r>
              <w:rPr>
                <w:color w:val="000000"/>
                <w:sz w:val="20"/>
                <w:szCs w:val="20"/>
              </w:rPr>
              <w:t>CBA</w:t>
            </w:r>
            <w:r w:rsidRPr="00040B4C">
              <w:rPr>
                <w:color w:val="000000"/>
                <w:sz w:val="20"/>
                <w:szCs w:val="20"/>
              </w:rPr>
              <w:t xml:space="preserve"> </w:t>
            </w:r>
            <w:r>
              <w:rPr>
                <w:color w:val="000000"/>
                <w:sz w:val="20"/>
                <w:szCs w:val="20"/>
              </w:rPr>
              <w:t>Regulation</w:t>
            </w:r>
          </w:p>
        </w:tc>
      </w:tr>
      <w:tr w:rsidR="006E0D76" w:rsidRPr="00040B4C" w:rsidTr="00F00C93">
        <w:tc>
          <w:tcPr>
            <w:tcW w:w="5245" w:type="dxa"/>
            <w:tcBorders>
              <w:left w:val="nil"/>
              <w:right w:val="nil"/>
            </w:tcBorders>
          </w:tcPr>
          <w:p w:rsidR="006E0D76" w:rsidRDefault="006E0D76" w:rsidP="00F57A43">
            <w:pPr>
              <w:ind w:left="72"/>
              <w:rPr>
                <w:sz w:val="20"/>
                <w:szCs w:val="20"/>
              </w:rPr>
            </w:pPr>
            <w:r>
              <w:rPr>
                <w:sz w:val="20"/>
                <w:szCs w:val="20"/>
              </w:rPr>
              <w:t xml:space="preserve">The CBA should publish and explain its decisions regarding unfair advertising to define acceptable practices. Consumer organizations should be encouraged to monitor advertising and report misleading advertising to the CBA. </w:t>
            </w:r>
          </w:p>
        </w:tc>
        <w:tc>
          <w:tcPr>
            <w:tcW w:w="1276" w:type="dxa"/>
            <w:tcBorders>
              <w:left w:val="nil"/>
              <w:right w:val="nil"/>
            </w:tcBorders>
          </w:tcPr>
          <w:p w:rsidR="006E0D76" w:rsidRDefault="006E0D76" w:rsidP="006E0D76">
            <w:pPr>
              <w:jc w:val="center"/>
              <w:rPr>
                <w:sz w:val="20"/>
                <w:szCs w:val="20"/>
              </w:rPr>
            </w:pPr>
            <w:r>
              <w:rPr>
                <w:color w:val="000000"/>
                <w:sz w:val="20"/>
                <w:szCs w:val="20"/>
              </w:rPr>
              <w:t>CBA</w:t>
            </w:r>
            <w:r>
              <w:rPr>
                <w:sz w:val="20"/>
                <w:szCs w:val="20"/>
              </w:rPr>
              <w:t>,</w:t>
            </w:r>
          </w:p>
          <w:p w:rsidR="006E0D76" w:rsidRPr="00040B4C" w:rsidRDefault="006E0D76" w:rsidP="006E0D76">
            <w:pPr>
              <w:jc w:val="center"/>
              <w:rPr>
                <w:color w:val="000000"/>
                <w:sz w:val="20"/>
                <w:szCs w:val="20"/>
              </w:rPr>
            </w:pPr>
            <w:r>
              <w:rPr>
                <w:sz w:val="20"/>
                <w:szCs w:val="20"/>
              </w:rPr>
              <w:t>consumer NGOs</w:t>
            </w:r>
          </w:p>
        </w:tc>
        <w:tc>
          <w:tcPr>
            <w:tcW w:w="992" w:type="dxa"/>
            <w:tcBorders>
              <w:left w:val="nil"/>
              <w:right w:val="nil"/>
            </w:tcBorders>
          </w:tcPr>
          <w:p w:rsidR="006E0D76" w:rsidRPr="00040B4C" w:rsidRDefault="006E0D76" w:rsidP="00867FE2">
            <w:pPr>
              <w:jc w:val="center"/>
              <w:rPr>
                <w:color w:val="000000"/>
                <w:sz w:val="20"/>
                <w:szCs w:val="20"/>
              </w:rPr>
            </w:pPr>
            <w:r>
              <w:rPr>
                <w:color w:val="000000"/>
                <w:sz w:val="20"/>
                <w:szCs w:val="20"/>
              </w:rPr>
              <w:t xml:space="preserve">Long </w:t>
            </w:r>
          </w:p>
        </w:tc>
        <w:tc>
          <w:tcPr>
            <w:tcW w:w="1307" w:type="dxa"/>
            <w:tcBorders>
              <w:left w:val="nil"/>
              <w:right w:val="nil"/>
            </w:tcBorders>
          </w:tcPr>
          <w:p w:rsidR="006E0D76" w:rsidRPr="00040B4C" w:rsidRDefault="006E0D76" w:rsidP="006E0D76">
            <w:pPr>
              <w:jc w:val="center"/>
              <w:rPr>
                <w:color w:val="000000"/>
                <w:sz w:val="20"/>
                <w:szCs w:val="20"/>
              </w:rPr>
            </w:pPr>
            <w:r>
              <w:rPr>
                <w:color w:val="000000"/>
                <w:sz w:val="20"/>
                <w:szCs w:val="20"/>
              </w:rPr>
              <w:t>Improved market monitoring and regulatory disclosure</w:t>
            </w:r>
          </w:p>
        </w:tc>
      </w:tr>
      <w:tr w:rsidR="006E0D76" w:rsidRPr="00040B4C" w:rsidTr="00F00C93">
        <w:tc>
          <w:tcPr>
            <w:tcW w:w="5245" w:type="dxa"/>
            <w:tcBorders>
              <w:left w:val="nil"/>
              <w:right w:val="nil"/>
            </w:tcBorders>
          </w:tcPr>
          <w:p w:rsidR="006E0D76" w:rsidRPr="00040B4C" w:rsidRDefault="006E0D76" w:rsidP="001B1F8D">
            <w:pPr>
              <w:ind w:left="72"/>
              <w:rPr>
                <w:color w:val="000000"/>
                <w:sz w:val="20"/>
                <w:szCs w:val="20"/>
              </w:rPr>
            </w:pPr>
            <w:r>
              <w:rPr>
                <w:sz w:val="20"/>
                <w:szCs w:val="20"/>
              </w:rPr>
              <w:t xml:space="preserve">Require </w:t>
            </w:r>
            <w:r>
              <w:rPr>
                <w:color w:val="000000"/>
                <w:sz w:val="20"/>
                <w:szCs w:val="20"/>
              </w:rPr>
              <w:t xml:space="preserve">provision of </w:t>
            </w:r>
            <w:r w:rsidRPr="00040B4C">
              <w:rPr>
                <w:color w:val="000000"/>
                <w:sz w:val="20"/>
                <w:szCs w:val="20"/>
              </w:rPr>
              <w:t>statements on all client accounts</w:t>
            </w:r>
            <w:r>
              <w:rPr>
                <w:color w:val="000000"/>
                <w:sz w:val="20"/>
                <w:szCs w:val="20"/>
              </w:rPr>
              <w:t>, and including mechanisms to dispute accuracy of statements.</w:t>
            </w:r>
          </w:p>
        </w:tc>
        <w:tc>
          <w:tcPr>
            <w:tcW w:w="1276" w:type="dxa"/>
            <w:tcBorders>
              <w:left w:val="nil"/>
              <w:right w:val="nil"/>
            </w:tcBorders>
          </w:tcPr>
          <w:p w:rsidR="006E0D76" w:rsidRPr="00040B4C" w:rsidRDefault="006E0D76" w:rsidP="001B1F8D">
            <w:pPr>
              <w:jc w:val="center"/>
              <w:rPr>
                <w:color w:val="000000"/>
                <w:sz w:val="20"/>
                <w:szCs w:val="20"/>
              </w:rPr>
            </w:pPr>
            <w:r>
              <w:rPr>
                <w:color w:val="000000"/>
                <w:sz w:val="20"/>
                <w:szCs w:val="20"/>
              </w:rPr>
              <w:t>CBA</w:t>
            </w:r>
          </w:p>
        </w:tc>
        <w:tc>
          <w:tcPr>
            <w:tcW w:w="992" w:type="dxa"/>
            <w:tcBorders>
              <w:left w:val="nil"/>
              <w:right w:val="nil"/>
            </w:tcBorders>
          </w:tcPr>
          <w:p w:rsidR="006E0D76" w:rsidRPr="00040B4C" w:rsidRDefault="006E0D76" w:rsidP="001B1F8D">
            <w:pPr>
              <w:jc w:val="center"/>
              <w:rPr>
                <w:color w:val="000000"/>
                <w:sz w:val="20"/>
                <w:szCs w:val="20"/>
              </w:rPr>
            </w:pPr>
            <w:r>
              <w:rPr>
                <w:color w:val="000000"/>
                <w:sz w:val="20"/>
                <w:szCs w:val="20"/>
              </w:rPr>
              <w:t>Medium</w:t>
            </w:r>
            <w:r w:rsidRPr="00040B4C">
              <w:rPr>
                <w:color w:val="000000"/>
                <w:sz w:val="20"/>
                <w:szCs w:val="20"/>
              </w:rPr>
              <w:t xml:space="preserve"> </w:t>
            </w:r>
          </w:p>
        </w:tc>
        <w:tc>
          <w:tcPr>
            <w:tcW w:w="1307" w:type="dxa"/>
            <w:tcBorders>
              <w:left w:val="nil"/>
              <w:right w:val="nil"/>
            </w:tcBorders>
          </w:tcPr>
          <w:p w:rsidR="006E0D76" w:rsidRPr="00040B4C" w:rsidRDefault="006E0D76" w:rsidP="001B1F8D">
            <w:pPr>
              <w:jc w:val="center"/>
              <w:rPr>
                <w:color w:val="000000"/>
                <w:sz w:val="20"/>
                <w:szCs w:val="20"/>
              </w:rPr>
            </w:pPr>
            <w:r>
              <w:rPr>
                <w:color w:val="000000"/>
                <w:sz w:val="20"/>
                <w:szCs w:val="20"/>
              </w:rPr>
              <w:t>CBA</w:t>
            </w:r>
            <w:r w:rsidRPr="00040B4C">
              <w:rPr>
                <w:color w:val="000000"/>
                <w:sz w:val="20"/>
                <w:szCs w:val="20"/>
              </w:rPr>
              <w:t xml:space="preserve"> </w:t>
            </w:r>
            <w:r>
              <w:rPr>
                <w:color w:val="000000"/>
                <w:sz w:val="20"/>
                <w:szCs w:val="20"/>
              </w:rPr>
              <w:t>Regulation</w:t>
            </w:r>
          </w:p>
        </w:tc>
      </w:tr>
      <w:tr w:rsidR="006E0D76" w:rsidRPr="00040B4C" w:rsidTr="00F00C93">
        <w:tc>
          <w:tcPr>
            <w:tcW w:w="5245" w:type="dxa"/>
            <w:tcBorders>
              <w:left w:val="nil"/>
              <w:right w:val="nil"/>
            </w:tcBorders>
          </w:tcPr>
          <w:p w:rsidR="006E0D76" w:rsidRDefault="006E0D76" w:rsidP="007920EA">
            <w:pPr>
              <w:ind w:left="72"/>
              <w:rPr>
                <w:color w:val="000000"/>
                <w:sz w:val="20"/>
                <w:szCs w:val="20"/>
              </w:rPr>
            </w:pPr>
            <w:r>
              <w:rPr>
                <w:color w:val="000000"/>
                <w:sz w:val="20"/>
                <w:szCs w:val="20"/>
              </w:rPr>
              <w:t>For capital markets, s</w:t>
            </w:r>
            <w:r w:rsidRPr="007920EA">
              <w:rPr>
                <w:color w:val="000000"/>
                <w:sz w:val="20"/>
                <w:szCs w:val="20"/>
              </w:rPr>
              <w:t>tatements be sent to customers in any month that a transaction takes place and at least quarterly for customers/investors of an investment service provider or CIU.</w:t>
            </w:r>
            <w:r>
              <w:rPr>
                <w:color w:val="000000"/>
                <w:sz w:val="20"/>
                <w:szCs w:val="20"/>
              </w:rPr>
              <w:t xml:space="preserve"> </w:t>
            </w:r>
            <w:r w:rsidRPr="007920EA">
              <w:rPr>
                <w:color w:val="000000"/>
                <w:sz w:val="20"/>
                <w:szCs w:val="20"/>
              </w:rPr>
              <w:t>The “mark-up” in a dealer should be shown on the notice of transaction.</w:t>
            </w:r>
          </w:p>
        </w:tc>
        <w:tc>
          <w:tcPr>
            <w:tcW w:w="1276" w:type="dxa"/>
            <w:tcBorders>
              <w:left w:val="nil"/>
              <w:right w:val="nil"/>
            </w:tcBorders>
          </w:tcPr>
          <w:p w:rsidR="006E0D76" w:rsidRPr="00040B4C" w:rsidRDefault="006E0D76" w:rsidP="00390775">
            <w:pPr>
              <w:jc w:val="center"/>
              <w:rPr>
                <w:color w:val="000000"/>
                <w:sz w:val="20"/>
                <w:szCs w:val="20"/>
              </w:rPr>
            </w:pPr>
            <w:r>
              <w:rPr>
                <w:color w:val="000000"/>
                <w:sz w:val="20"/>
                <w:szCs w:val="20"/>
              </w:rPr>
              <w:t>CBA</w:t>
            </w:r>
          </w:p>
        </w:tc>
        <w:tc>
          <w:tcPr>
            <w:tcW w:w="992" w:type="dxa"/>
            <w:tcBorders>
              <w:left w:val="nil"/>
              <w:right w:val="nil"/>
            </w:tcBorders>
          </w:tcPr>
          <w:p w:rsidR="006E0D76" w:rsidRPr="00040B4C" w:rsidRDefault="006E0D76" w:rsidP="00802B34">
            <w:pPr>
              <w:jc w:val="center"/>
              <w:rPr>
                <w:color w:val="000000"/>
                <w:sz w:val="20"/>
                <w:szCs w:val="20"/>
              </w:rPr>
            </w:pPr>
            <w:r>
              <w:rPr>
                <w:color w:val="000000"/>
                <w:sz w:val="20"/>
                <w:szCs w:val="20"/>
              </w:rPr>
              <w:t>Medium</w:t>
            </w:r>
          </w:p>
        </w:tc>
        <w:tc>
          <w:tcPr>
            <w:tcW w:w="1307" w:type="dxa"/>
            <w:tcBorders>
              <w:left w:val="nil"/>
              <w:right w:val="nil"/>
            </w:tcBorders>
          </w:tcPr>
          <w:p w:rsidR="006E0D76" w:rsidRPr="00040B4C" w:rsidRDefault="006E0D76" w:rsidP="00040B4C">
            <w:pPr>
              <w:jc w:val="center"/>
              <w:rPr>
                <w:color w:val="000000"/>
                <w:sz w:val="20"/>
                <w:szCs w:val="20"/>
              </w:rPr>
            </w:pPr>
            <w:r>
              <w:rPr>
                <w:color w:val="000000"/>
                <w:sz w:val="20"/>
                <w:szCs w:val="20"/>
              </w:rPr>
              <w:t>CBA</w:t>
            </w:r>
            <w:r w:rsidRPr="00040B4C">
              <w:rPr>
                <w:color w:val="000000"/>
                <w:sz w:val="20"/>
                <w:szCs w:val="20"/>
              </w:rPr>
              <w:t xml:space="preserve"> </w:t>
            </w:r>
            <w:r>
              <w:rPr>
                <w:color w:val="000000"/>
                <w:sz w:val="20"/>
                <w:szCs w:val="20"/>
              </w:rPr>
              <w:t>Regulation</w:t>
            </w:r>
          </w:p>
        </w:tc>
      </w:tr>
      <w:tr w:rsidR="006E0D76" w:rsidRPr="00040B4C" w:rsidTr="00F00C93">
        <w:tc>
          <w:tcPr>
            <w:tcW w:w="5245" w:type="dxa"/>
            <w:tcBorders>
              <w:left w:val="nil"/>
              <w:right w:val="nil"/>
            </w:tcBorders>
          </w:tcPr>
          <w:p w:rsidR="006E0D76" w:rsidRDefault="006E0D76" w:rsidP="00040B4C">
            <w:pPr>
              <w:ind w:left="72"/>
              <w:rPr>
                <w:color w:val="000000"/>
                <w:sz w:val="20"/>
                <w:szCs w:val="20"/>
              </w:rPr>
            </w:pPr>
            <w:r>
              <w:rPr>
                <w:color w:val="000000"/>
                <w:sz w:val="20"/>
                <w:szCs w:val="20"/>
              </w:rPr>
              <w:t xml:space="preserve">Analyze formats of statements for understandability and if needed define compulsory format and content. </w:t>
            </w:r>
          </w:p>
        </w:tc>
        <w:tc>
          <w:tcPr>
            <w:tcW w:w="1276" w:type="dxa"/>
            <w:tcBorders>
              <w:left w:val="nil"/>
              <w:right w:val="nil"/>
            </w:tcBorders>
          </w:tcPr>
          <w:p w:rsidR="006E0D76" w:rsidRDefault="006E0D76" w:rsidP="00867FE2">
            <w:pPr>
              <w:jc w:val="center"/>
              <w:rPr>
                <w:sz w:val="20"/>
                <w:szCs w:val="20"/>
              </w:rPr>
            </w:pPr>
            <w:r>
              <w:rPr>
                <w:color w:val="000000"/>
                <w:sz w:val="20"/>
                <w:szCs w:val="20"/>
              </w:rPr>
              <w:t>CBA</w:t>
            </w:r>
            <w:r>
              <w:rPr>
                <w:sz w:val="20"/>
                <w:szCs w:val="20"/>
              </w:rPr>
              <w:t>,</w:t>
            </w:r>
          </w:p>
          <w:p w:rsidR="006E0D76" w:rsidRPr="00040B4C" w:rsidRDefault="006E0D76" w:rsidP="00867FE2">
            <w:pPr>
              <w:jc w:val="center"/>
              <w:rPr>
                <w:color w:val="000000"/>
                <w:sz w:val="20"/>
                <w:szCs w:val="20"/>
              </w:rPr>
            </w:pPr>
            <w:r>
              <w:rPr>
                <w:sz w:val="20"/>
                <w:szCs w:val="20"/>
              </w:rPr>
              <w:t>consumer NGOs</w:t>
            </w:r>
          </w:p>
        </w:tc>
        <w:tc>
          <w:tcPr>
            <w:tcW w:w="992" w:type="dxa"/>
            <w:tcBorders>
              <w:left w:val="nil"/>
              <w:right w:val="nil"/>
            </w:tcBorders>
          </w:tcPr>
          <w:p w:rsidR="006E0D76" w:rsidRPr="00040B4C" w:rsidRDefault="006E0D76" w:rsidP="00867FE2">
            <w:pPr>
              <w:jc w:val="center"/>
              <w:rPr>
                <w:color w:val="000000"/>
                <w:sz w:val="20"/>
                <w:szCs w:val="20"/>
              </w:rPr>
            </w:pPr>
            <w:r>
              <w:rPr>
                <w:color w:val="000000"/>
                <w:sz w:val="20"/>
                <w:szCs w:val="20"/>
              </w:rPr>
              <w:t xml:space="preserve">Long </w:t>
            </w:r>
          </w:p>
        </w:tc>
        <w:tc>
          <w:tcPr>
            <w:tcW w:w="1307" w:type="dxa"/>
            <w:tcBorders>
              <w:left w:val="nil"/>
              <w:right w:val="nil"/>
            </w:tcBorders>
          </w:tcPr>
          <w:p w:rsidR="006E0D76" w:rsidRPr="00040B4C" w:rsidRDefault="006E0D76" w:rsidP="006E0D76">
            <w:pPr>
              <w:jc w:val="center"/>
              <w:rPr>
                <w:color w:val="000000"/>
                <w:sz w:val="20"/>
                <w:szCs w:val="20"/>
              </w:rPr>
            </w:pPr>
            <w:r>
              <w:rPr>
                <w:color w:val="000000"/>
                <w:sz w:val="20"/>
                <w:szCs w:val="20"/>
              </w:rPr>
              <w:t>Improved disclosure, CBA Regulation</w:t>
            </w:r>
          </w:p>
        </w:tc>
      </w:tr>
      <w:tr w:rsidR="006E0D76" w:rsidRPr="00040B4C" w:rsidTr="00F00C93">
        <w:tc>
          <w:tcPr>
            <w:tcW w:w="5245" w:type="dxa"/>
            <w:tcBorders>
              <w:left w:val="nil"/>
              <w:right w:val="nil"/>
            </w:tcBorders>
          </w:tcPr>
          <w:p w:rsidR="006E0D76" w:rsidRPr="00040B4C" w:rsidRDefault="006E0D76" w:rsidP="00040B4C">
            <w:pPr>
              <w:ind w:left="72"/>
              <w:rPr>
                <w:color w:val="000000"/>
                <w:sz w:val="20"/>
                <w:szCs w:val="20"/>
              </w:rPr>
            </w:pPr>
            <w:r>
              <w:rPr>
                <w:color w:val="000000"/>
                <w:sz w:val="20"/>
                <w:szCs w:val="20"/>
              </w:rPr>
              <w:t xml:space="preserve">Standardized contract clauses should be developed and used throughout the industry wherever applicable. </w:t>
            </w:r>
          </w:p>
        </w:tc>
        <w:tc>
          <w:tcPr>
            <w:tcW w:w="1276" w:type="dxa"/>
            <w:tcBorders>
              <w:left w:val="nil"/>
              <w:right w:val="nil"/>
            </w:tcBorders>
          </w:tcPr>
          <w:p w:rsidR="006E0D76" w:rsidRDefault="006E0D76" w:rsidP="00867FE2">
            <w:pPr>
              <w:jc w:val="center"/>
              <w:rPr>
                <w:sz w:val="20"/>
                <w:szCs w:val="20"/>
              </w:rPr>
            </w:pPr>
            <w:r>
              <w:rPr>
                <w:color w:val="000000"/>
                <w:sz w:val="20"/>
                <w:szCs w:val="20"/>
              </w:rPr>
              <w:t>CBA</w:t>
            </w:r>
            <w:r>
              <w:rPr>
                <w:sz w:val="20"/>
                <w:szCs w:val="20"/>
              </w:rPr>
              <w:t xml:space="preserve">, industry associations, </w:t>
            </w:r>
          </w:p>
          <w:p w:rsidR="006E0D76" w:rsidRPr="00040B4C" w:rsidRDefault="006E0D76" w:rsidP="00867FE2">
            <w:pPr>
              <w:jc w:val="center"/>
              <w:rPr>
                <w:color w:val="000000"/>
                <w:sz w:val="20"/>
                <w:szCs w:val="20"/>
              </w:rPr>
            </w:pPr>
            <w:r>
              <w:rPr>
                <w:sz w:val="20"/>
                <w:szCs w:val="20"/>
              </w:rPr>
              <w:t>consumer NGOs</w:t>
            </w:r>
          </w:p>
        </w:tc>
        <w:tc>
          <w:tcPr>
            <w:tcW w:w="992" w:type="dxa"/>
            <w:tcBorders>
              <w:left w:val="nil"/>
              <w:right w:val="nil"/>
            </w:tcBorders>
          </w:tcPr>
          <w:p w:rsidR="006E0D76" w:rsidRPr="00040B4C" w:rsidRDefault="006E0D76" w:rsidP="00867FE2">
            <w:pPr>
              <w:jc w:val="center"/>
              <w:rPr>
                <w:color w:val="000000"/>
                <w:sz w:val="20"/>
                <w:szCs w:val="20"/>
              </w:rPr>
            </w:pPr>
            <w:r>
              <w:rPr>
                <w:color w:val="000000"/>
                <w:sz w:val="20"/>
                <w:szCs w:val="20"/>
              </w:rPr>
              <w:t xml:space="preserve">Medium </w:t>
            </w:r>
          </w:p>
        </w:tc>
        <w:tc>
          <w:tcPr>
            <w:tcW w:w="1307" w:type="dxa"/>
            <w:tcBorders>
              <w:left w:val="nil"/>
              <w:right w:val="nil"/>
            </w:tcBorders>
          </w:tcPr>
          <w:p w:rsidR="006E0D76" w:rsidRPr="00040B4C" w:rsidRDefault="006E0D76" w:rsidP="006E0D76">
            <w:pPr>
              <w:jc w:val="center"/>
              <w:rPr>
                <w:color w:val="000000"/>
                <w:sz w:val="20"/>
                <w:szCs w:val="20"/>
              </w:rPr>
            </w:pPr>
            <w:r>
              <w:rPr>
                <w:color w:val="000000"/>
                <w:sz w:val="20"/>
                <w:szCs w:val="20"/>
              </w:rPr>
              <w:t>Improved under</w:t>
            </w:r>
            <w:r w:rsidR="00F00C93">
              <w:rPr>
                <w:color w:val="000000"/>
                <w:sz w:val="20"/>
                <w:szCs w:val="20"/>
              </w:rPr>
              <w:t>-</w:t>
            </w:r>
            <w:r>
              <w:rPr>
                <w:color w:val="000000"/>
                <w:sz w:val="20"/>
                <w:szCs w:val="20"/>
              </w:rPr>
              <w:t>standing of contracts</w:t>
            </w:r>
          </w:p>
        </w:tc>
      </w:tr>
      <w:tr w:rsidR="006E0D76" w:rsidRPr="00040B4C" w:rsidTr="00F00C93">
        <w:tc>
          <w:tcPr>
            <w:tcW w:w="5245" w:type="dxa"/>
            <w:tcBorders>
              <w:left w:val="nil"/>
              <w:bottom w:val="single" w:sz="4" w:space="0" w:color="auto"/>
              <w:right w:val="nil"/>
            </w:tcBorders>
          </w:tcPr>
          <w:p w:rsidR="006E0D76" w:rsidRPr="00040B4C" w:rsidRDefault="006E0D76" w:rsidP="00061881">
            <w:pPr>
              <w:ind w:left="72"/>
              <w:rPr>
                <w:sz w:val="20"/>
                <w:szCs w:val="20"/>
              </w:rPr>
            </w:pPr>
            <w:r>
              <w:rPr>
                <w:sz w:val="20"/>
                <w:szCs w:val="20"/>
              </w:rPr>
              <w:t xml:space="preserve">A website with model contracts with standard clauses should be set up, information about consumer rights should be added. </w:t>
            </w:r>
          </w:p>
        </w:tc>
        <w:tc>
          <w:tcPr>
            <w:tcW w:w="1276" w:type="dxa"/>
            <w:tcBorders>
              <w:left w:val="nil"/>
              <w:bottom w:val="single" w:sz="4" w:space="0" w:color="auto"/>
              <w:right w:val="nil"/>
            </w:tcBorders>
          </w:tcPr>
          <w:p w:rsidR="006E0D76" w:rsidRPr="00040B4C" w:rsidRDefault="006E0D76" w:rsidP="00390775">
            <w:pPr>
              <w:jc w:val="center"/>
              <w:rPr>
                <w:sz w:val="20"/>
                <w:szCs w:val="20"/>
              </w:rPr>
            </w:pPr>
            <w:r>
              <w:rPr>
                <w:sz w:val="20"/>
                <w:szCs w:val="20"/>
              </w:rPr>
              <w:t>CBA</w:t>
            </w:r>
          </w:p>
        </w:tc>
        <w:tc>
          <w:tcPr>
            <w:tcW w:w="992" w:type="dxa"/>
            <w:tcBorders>
              <w:left w:val="nil"/>
              <w:bottom w:val="single" w:sz="4" w:space="0" w:color="auto"/>
              <w:right w:val="nil"/>
            </w:tcBorders>
          </w:tcPr>
          <w:p w:rsidR="006E0D76" w:rsidRPr="00040B4C" w:rsidRDefault="006E0D76" w:rsidP="00061881">
            <w:pPr>
              <w:jc w:val="center"/>
              <w:rPr>
                <w:sz w:val="20"/>
                <w:szCs w:val="20"/>
              </w:rPr>
            </w:pPr>
            <w:r>
              <w:rPr>
                <w:color w:val="000000"/>
                <w:sz w:val="20"/>
                <w:szCs w:val="20"/>
              </w:rPr>
              <w:t>Medium</w:t>
            </w:r>
          </w:p>
        </w:tc>
        <w:tc>
          <w:tcPr>
            <w:tcW w:w="1307" w:type="dxa"/>
            <w:tcBorders>
              <w:left w:val="nil"/>
              <w:bottom w:val="single" w:sz="4" w:space="0" w:color="auto"/>
              <w:right w:val="nil"/>
            </w:tcBorders>
          </w:tcPr>
          <w:p w:rsidR="006E0D76" w:rsidRPr="00040B4C" w:rsidRDefault="006E0D76" w:rsidP="00061881">
            <w:pPr>
              <w:jc w:val="center"/>
              <w:rPr>
                <w:sz w:val="20"/>
                <w:szCs w:val="20"/>
              </w:rPr>
            </w:pPr>
            <w:r>
              <w:rPr>
                <w:sz w:val="20"/>
                <w:szCs w:val="20"/>
              </w:rPr>
              <w:t>CBA-managed website</w:t>
            </w:r>
          </w:p>
        </w:tc>
      </w:tr>
      <w:tr w:rsidR="006E0D76" w:rsidRPr="00040B4C" w:rsidTr="00F00C93">
        <w:tc>
          <w:tcPr>
            <w:tcW w:w="5245" w:type="dxa"/>
            <w:tcBorders>
              <w:left w:val="nil"/>
              <w:bottom w:val="single" w:sz="4" w:space="0" w:color="auto"/>
              <w:right w:val="nil"/>
            </w:tcBorders>
          </w:tcPr>
          <w:p w:rsidR="006E0D76" w:rsidRPr="00040B4C" w:rsidRDefault="006E0D76" w:rsidP="00312DFE">
            <w:pPr>
              <w:ind w:left="72"/>
              <w:rPr>
                <w:sz w:val="20"/>
                <w:szCs w:val="20"/>
              </w:rPr>
            </w:pPr>
            <w:r>
              <w:rPr>
                <w:sz w:val="20"/>
                <w:szCs w:val="20"/>
              </w:rPr>
              <w:t>Prices for</w:t>
            </w:r>
            <w:r w:rsidRPr="00312DFE">
              <w:rPr>
                <w:sz w:val="20"/>
                <w:szCs w:val="20"/>
              </w:rPr>
              <w:t xml:space="preserve"> key financial products </w:t>
            </w:r>
            <w:r>
              <w:rPr>
                <w:sz w:val="20"/>
                <w:szCs w:val="20"/>
              </w:rPr>
              <w:t>should be collected</w:t>
            </w:r>
            <w:r w:rsidRPr="00312DFE">
              <w:rPr>
                <w:sz w:val="20"/>
                <w:szCs w:val="20"/>
              </w:rPr>
              <w:t xml:space="preserve"> </w:t>
            </w:r>
            <w:r w:rsidRPr="00312DFE">
              <w:rPr>
                <w:sz w:val="20"/>
                <w:szCs w:val="20"/>
              </w:rPr>
              <w:lastRenderedPageBreak/>
              <w:t xml:space="preserve">regularly </w:t>
            </w:r>
            <w:r>
              <w:rPr>
                <w:sz w:val="20"/>
                <w:szCs w:val="20"/>
              </w:rPr>
              <w:t>and the level of competition analyzed</w:t>
            </w:r>
            <w:r w:rsidRPr="00312DFE">
              <w:rPr>
                <w:sz w:val="20"/>
                <w:szCs w:val="20"/>
              </w:rPr>
              <w:t>.</w:t>
            </w:r>
          </w:p>
        </w:tc>
        <w:tc>
          <w:tcPr>
            <w:tcW w:w="1276" w:type="dxa"/>
            <w:tcBorders>
              <w:left w:val="nil"/>
              <w:bottom w:val="single" w:sz="4" w:space="0" w:color="auto"/>
              <w:right w:val="nil"/>
            </w:tcBorders>
          </w:tcPr>
          <w:p w:rsidR="006E0D76" w:rsidRDefault="006E0D76" w:rsidP="00390775">
            <w:pPr>
              <w:jc w:val="center"/>
              <w:rPr>
                <w:sz w:val="20"/>
                <w:szCs w:val="20"/>
              </w:rPr>
            </w:pPr>
            <w:r>
              <w:rPr>
                <w:sz w:val="20"/>
                <w:szCs w:val="20"/>
              </w:rPr>
              <w:lastRenderedPageBreak/>
              <w:t>CBA</w:t>
            </w:r>
          </w:p>
          <w:p w:rsidR="006E0D76" w:rsidRPr="00040B4C" w:rsidRDefault="006E0D76" w:rsidP="00390775">
            <w:pPr>
              <w:jc w:val="center"/>
              <w:rPr>
                <w:sz w:val="20"/>
                <w:szCs w:val="20"/>
              </w:rPr>
            </w:pPr>
          </w:p>
        </w:tc>
        <w:tc>
          <w:tcPr>
            <w:tcW w:w="992" w:type="dxa"/>
            <w:tcBorders>
              <w:left w:val="nil"/>
              <w:bottom w:val="single" w:sz="4" w:space="0" w:color="auto"/>
              <w:right w:val="nil"/>
            </w:tcBorders>
          </w:tcPr>
          <w:p w:rsidR="006E0D76" w:rsidRDefault="006E0D76" w:rsidP="00061881">
            <w:pPr>
              <w:jc w:val="center"/>
              <w:rPr>
                <w:sz w:val="20"/>
                <w:szCs w:val="20"/>
              </w:rPr>
            </w:pPr>
            <w:r>
              <w:rPr>
                <w:sz w:val="20"/>
                <w:szCs w:val="20"/>
              </w:rPr>
              <w:lastRenderedPageBreak/>
              <w:t>Long</w:t>
            </w:r>
          </w:p>
        </w:tc>
        <w:tc>
          <w:tcPr>
            <w:tcW w:w="1307" w:type="dxa"/>
            <w:tcBorders>
              <w:left w:val="nil"/>
              <w:bottom w:val="single" w:sz="4" w:space="0" w:color="auto"/>
              <w:right w:val="nil"/>
            </w:tcBorders>
          </w:tcPr>
          <w:p w:rsidR="006E0D76" w:rsidRDefault="006E0D76" w:rsidP="00061881">
            <w:pPr>
              <w:jc w:val="center"/>
              <w:rPr>
                <w:color w:val="000000"/>
                <w:sz w:val="20"/>
                <w:szCs w:val="20"/>
              </w:rPr>
            </w:pPr>
            <w:r>
              <w:rPr>
                <w:color w:val="000000"/>
                <w:sz w:val="20"/>
                <w:szCs w:val="20"/>
              </w:rPr>
              <w:t xml:space="preserve">Analysis, </w:t>
            </w:r>
            <w:r>
              <w:rPr>
                <w:color w:val="000000"/>
                <w:sz w:val="20"/>
                <w:szCs w:val="20"/>
              </w:rPr>
              <w:lastRenderedPageBreak/>
              <w:t>price comparison tables</w:t>
            </w:r>
          </w:p>
        </w:tc>
      </w:tr>
      <w:tr w:rsidR="006E0D76" w:rsidRPr="00040B4C" w:rsidTr="00F00C93">
        <w:tc>
          <w:tcPr>
            <w:tcW w:w="5245" w:type="dxa"/>
            <w:tcBorders>
              <w:top w:val="single" w:sz="4" w:space="0" w:color="auto"/>
              <w:left w:val="nil"/>
              <w:bottom w:val="single" w:sz="4" w:space="0" w:color="auto"/>
              <w:right w:val="nil"/>
            </w:tcBorders>
          </w:tcPr>
          <w:p w:rsidR="006E0D76" w:rsidRDefault="006E0D76" w:rsidP="00312DFE">
            <w:pPr>
              <w:ind w:left="72"/>
              <w:rPr>
                <w:sz w:val="20"/>
                <w:szCs w:val="20"/>
              </w:rPr>
            </w:pPr>
            <w:r>
              <w:rPr>
                <w:sz w:val="20"/>
                <w:szCs w:val="20"/>
              </w:rPr>
              <w:lastRenderedPageBreak/>
              <w:t xml:space="preserve">Consumer credit disclosure rules should be extended also to credit products for </w:t>
            </w:r>
            <w:r w:rsidRPr="001B1F8D">
              <w:rPr>
                <w:sz w:val="20"/>
                <w:szCs w:val="20"/>
              </w:rPr>
              <w:t>sole entrepreneurs, micro- and small-size businesses (as defined by the Armenian legislation)</w:t>
            </w:r>
            <w:r>
              <w:rPr>
                <w:sz w:val="20"/>
                <w:szCs w:val="20"/>
              </w:rPr>
              <w:t xml:space="preserve">. </w:t>
            </w:r>
          </w:p>
        </w:tc>
        <w:tc>
          <w:tcPr>
            <w:tcW w:w="1276" w:type="dxa"/>
            <w:tcBorders>
              <w:top w:val="single" w:sz="4" w:space="0" w:color="auto"/>
              <w:left w:val="nil"/>
              <w:bottom w:val="single" w:sz="4" w:space="0" w:color="auto"/>
              <w:right w:val="nil"/>
            </w:tcBorders>
          </w:tcPr>
          <w:p w:rsidR="006E0D76" w:rsidRDefault="006E0D76" w:rsidP="00390775">
            <w:pPr>
              <w:jc w:val="center"/>
              <w:rPr>
                <w:sz w:val="20"/>
                <w:szCs w:val="20"/>
              </w:rPr>
            </w:pPr>
            <w:r>
              <w:rPr>
                <w:sz w:val="20"/>
                <w:szCs w:val="20"/>
              </w:rPr>
              <w:t>CBA</w:t>
            </w:r>
          </w:p>
        </w:tc>
        <w:tc>
          <w:tcPr>
            <w:tcW w:w="992" w:type="dxa"/>
            <w:tcBorders>
              <w:top w:val="single" w:sz="4" w:space="0" w:color="auto"/>
              <w:left w:val="nil"/>
              <w:bottom w:val="single" w:sz="4" w:space="0" w:color="auto"/>
              <w:right w:val="nil"/>
            </w:tcBorders>
          </w:tcPr>
          <w:p w:rsidR="006E0D76" w:rsidRDefault="006E0D76" w:rsidP="00061881">
            <w:pPr>
              <w:jc w:val="center"/>
              <w:rPr>
                <w:sz w:val="20"/>
                <w:szCs w:val="20"/>
              </w:rPr>
            </w:pPr>
            <w:r>
              <w:rPr>
                <w:sz w:val="20"/>
                <w:szCs w:val="20"/>
              </w:rPr>
              <w:t>Short</w:t>
            </w:r>
          </w:p>
        </w:tc>
        <w:tc>
          <w:tcPr>
            <w:tcW w:w="1307" w:type="dxa"/>
            <w:tcBorders>
              <w:top w:val="single" w:sz="4" w:space="0" w:color="auto"/>
              <w:left w:val="nil"/>
              <w:bottom w:val="single" w:sz="4" w:space="0" w:color="auto"/>
              <w:right w:val="nil"/>
            </w:tcBorders>
          </w:tcPr>
          <w:p w:rsidR="006E0D76" w:rsidRDefault="006E0D76" w:rsidP="00061881">
            <w:pPr>
              <w:jc w:val="center"/>
              <w:rPr>
                <w:color w:val="000000"/>
                <w:sz w:val="20"/>
                <w:szCs w:val="20"/>
              </w:rPr>
            </w:pPr>
            <w:r>
              <w:rPr>
                <w:color w:val="000000"/>
                <w:sz w:val="20"/>
                <w:szCs w:val="20"/>
              </w:rPr>
              <w:t>Consumer Credit Law update</w:t>
            </w:r>
          </w:p>
        </w:tc>
      </w:tr>
      <w:tr w:rsidR="006E0D76" w:rsidRPr="00040B4C" w:rsidTr="00F00C93">
        <w:tc>
          <w:tcPr>
            <w:tcW w:w="5245" w:type="dxa"/>
            <w:tcBorders>
              <w:left w:val="nil"/>
              <w:right w:val="nil"/>
            </w:tcBorders>
          </w:tcPr>
          <w:p w:rsidR="006E0D76" w:rsidRDefault="006E0D76" w:rsidP="00867FE2">
            <w:pPr>
              <w:ind w:left="72"/>
              <w:rPr>
                <w:color w:val="000000"/>
                <w:sz w:val="20"/>
                <w:szCs w:val="20"/>
              </w:rPr>
            </w:pPr>
            <w:r>
              <w:rPr>
                <w:color w:val="000000"/>
                <w:sz w:val="20"/>
                <w:szCs w:val="20"/>
              </w:rPr>
              <w:t xml:space="preserve">Disclosure of credit reporting should be improved, including clear information about the impact of negative information and subject's rights to review and dispute credit history information. </w:t>
            </w:r>
          </w:p>
        </w:tc>
        <w:tc>
          <w:tcPr>
            <w:tcW w:w="1276" w:type="dxa"/>
            <w:tcBorders>
              <w:left w:val="nil"/>
              <w:right w:val="nil"/>
            </w:tcBorders>
          </w:tcPr>
          <w:p w:rsidR="006E0D76" w:rsidRDefault="006E0D76" w:rsidP="00867FE2">
            <w:pPr>
              <w:jc w:val="center"/>
              <w:rPr>
                <w:color w:val="000000"/>
                <w:sz w:val="20"/>
                <w:szCs w:val="20"/>
              </w:rPr>
            </w:pPr>
            <w:r>
              <w:rPr>
                <w:color w:val="000000"/>
                <w:sz w:val="20"/>
                <w:szCs w:val="20"/>
              </w:rPr>
              <w:t>Industry associations, credit bureau</w:t>
            </w:r>
          </w:p>
        </w:tc>
        <w:tc>
          <w:tcPr>
            <w:tcW w:w="992" w:type="dxa"/>
            <w:tcBorders>
              <w:left w:val="nil"/>
              <w:right w:val="nil"/>
            </w:tcBorders>
          </w:tcPr>
          <w:p w:rsidR="006E0D76" w:rsidRDefault="006E0D76" w:rsidP="00867FE2">
            <w:pPr>
              <w:jc w:val="center"/>
              <w:rPr>
                <w:color w:val="000000"/>
                <w:sz w:val="20"/>
                <w:szCs w:val="20"/>
              </w:rPr>
            </w:pPr>
            <w:r>
              <w:rPr>
                <w:color w:val="000000"/>
                <w:sz w:val="20"/>
                <w:szCs w:val="20"/>
              </w:rPr>
              <w:t xml:space="preserve">Short </w:t>
            </w:r>
          </w:p>
        </w:tc>
        <w:tc>
          <w:tcPr>
            <w:tcW w:w="1307" w:type="dxa"/>
            <w:tcBorders>
              <w:left w:val="nil"/>
              <w:right w:val="nil"/>
            </w:tcBorders>
          </w:tcPr>
          <w:p w:rsidR="006E0D76" w:rsidRDefault="006E0D76" w:rsidP="00867FE2">
            <w:pPr>
              <w:jc w:val="center"/>
              <w:rPr>
                <w:color w:val="000000"/>
                <w:sz w:val="20"/>
                <w:szCs w:val="20"/>
              </w:rPr>
            </w:pPr>
            <w:r>
              <w:rPr>
                <w:color w:val="000000"/>
                <w:sz w:val="20"/>
                <w:szCs w:val="20"/>
              </w:rPr>
              <w:t>Improved disclosure</w:t>
            </w:r>
          </w:p>
        </w:tc>
      </w:tr>
      <w:tr w:rsidR="006E0D76" w:rsidRPr="00040B4C" w:rsidTr="00F00C93">
        <w:tc>
          <w:tcPr>
            <w:tcW w:w="5245" w:type="dxa"/>
            <w:tcBorders>
              <w:top w:val="single" w:sz="4" w:space="0" w:color="auto"/>
              <w:left w:val="nil"/>
              <w:bottom w:val="single" w:sz="4" w:space="0" w:color="auto"/>
              <w:right w:val="nil"/>
            </w:tcBorders>
          </w:tcPr>
          <w:p w:rsidR="006E0D76" w:rsidRDefault="006E0D76" w:rsidP="00312DFE">
            <w:pPr>
              <w:ind w:left="72"/>
              <w:rPr>
                <w:sz w:val="20"/>
                <w:szCs w:val="20"/>
              </w:rPr>
            </w:pPr>
            <w:r w:rsidRPr="00F8343E">
              <w:rPr>
                <w:sz w:val="20"/>
                <w:szCs w:val="20"/>
              </w:rPr>
              <w:t>The CBA should explicitly indicate the minimum period that credit organizations should keep their customers’ records, and the minimum content of such records.</w:t>
            </w:r>
          </w:p>
        </w:tc>
        <w:tc>
          <w:tcPr>
            <w:tcW w:w="1276" w:type="dxa"/>
            <w:tcBorders>
              <w:top w:val="single" w:sz="4" w:space="0" w:color="auto"/>
              <w:left w:val="nil"/>
              <w:bottom w:val="single" w:sz="4" w:space="0" w:color="auto"/>
              <w:right w:val="nil"/>
            </w:tcBorders>
          </w:tcPr>
          <w:p w:rsidR="006E0D76" w:rsidRDefault="006E0D76" w:rsidP="00390775">
            <w:pPr>
              <w:jc w:val="center"/>
              <w:rPr>
                <w:sz w:val="20"/>
                <w:szCs w:val="20"/>
              </w:rPr>
            </w:pPr>
            <w:r>
              <w:rPr>
                <w:sz w:val="20"/>
                <w:szCs w:val="20"/>
              </w:rPr>
              <w:t>CBA</w:t>
            </w:r>
          </w:p>
        </w:tc>
        <w:tc>
          <w:tcPr>
            <w:tcW w:w="992" w:type="dxa"/>
            <w:tcBorders>
              <w:top w:val="single" w:sz="4" w:space="0" w:color="auto"/>
              <w:left w:val="nil"/>
              <w:bottom w:val="single" w:sz="4" w:space="0" w:color="auto"/>
              <w:right w:val="nil"/>
            </w:tcBorders>
          </w:tcPr>
          <w:p w:rsidR="006E0D76" w:rsidRDefault="006E0D76" w:rsidP="00061881">
            <w:pPr>
              <w:jc w:val="center"/>
              <w:rPr>
                <w:sz w:val="20"/>
                <w:szCs w:val="20"/>
              </w:rPr>
            </w:pPr>
            <w:r>
              <w:rPr>
                <w:sz w:val="20"/>
                <w:szCs w:val="20"/>
              </w:rPr>
              <w:t>Medium</w:t>
            </w:r>
          </w:p>
        </w:tc>
        <w:tc>
          <w:tcPr>
            <w:tcW w:w="1307" w:type="dxa"/>
            <w:tcBorders>
              <w:top w:val="single" w:sz="4" w:space="0" w:color="auto"/>
              <w:left w:val="nil"/>
              <w:bottom w:val="single" w:sz="4" w:space="0" w:color="auto"/>
              <w:right w:val="nil"/>
            </w:tcBorders>
          </w:tcPr>
          <w:p w:rsidR="006E0D76" w:rsidRDefault="006E0D76" w:rsidP="00061881">
            <w:pPr>
              <w:jc w:val="center"/>
              <w:rPr>
                <w:color w:val="000000"/>
                <w:sz w:val="20"/>
                <w:szCs w:val="20"/>
              </w:rPr>
            </w:pPr>
            <w:r>
              <w:rPr>
                <w:color w:val="000000"/>
                <w:sz w:val="20"/>
                <w:szCs w:val="20"/>
              </w:rPr>
              <w:t>CBA Regulation</w:t>
            </w:r>
          </w:p>
        </w:tc>
      </w:tr>
      <w:tr w:rsidR="006E0D76" w:rsidRPr="00040B4C" w:rsidTr="00F00C93">
        <w:tc>
          <w:tcPr>
            <w:tcW w:w="5245" w:type="dxa"/>
            <w:tcBorders>
              <w:top w:val="single" w:sz="4" w:space="0" w:color="auto"/>
              <w:left w:val="nil"/>
              <w:bottom w:val="single" w:sz="12" w:space="0" w:color="auto"/>
              <w:right w:val="nil"/>
            </w:tcBorders>
          </w:tcPr>
          <w:p w:rsidR="006E0D76" w:rsidRDefault="006E0D76" w:rsidP="00312DFE">
            <w:pPr>
              <w:ind w:left="72"/>
              <w:rPr>
                <w:sz w:val="20"/>
                <w:szCs w:val="20"/>
              </w:rPr>
            </w:pPr>
          </w:p>
        </w:tc>
        <w:tc>
          <w:tcPr>
            <w:tcW w:w="1276" w:type="dxa"/>
            <w:tcBorders>
              <w:top w:val="single" w:sz="4" w:space="0" w:color="auto"/>
              <w:left w:val="nil"/>
              <w:bottom w:val="single" w:sz="12" w:space="0" w:color="auto"/>
              <w:right w:val="nil"/>
            </w:tcBorders>
          </w:tcPr>
          <w:p w:rsidR="006E0D76" w:rsidRDefault="006E0D76" w:rsidP="00390775">
            <w:pPr>
              <w:jc w:val="center"/>
              <w:rPr>
                <w:sz w:val="20"/>
                <w:szCs w:val="20"/>
              </w:rPr>
            </w:pPr>
          </w:p>
        </w:tc>
        <w:tc>
          <w:tcPr>
            <w:tcW w:w="992" w:type="dxa"/>
            <w:tcBorders>
              <w:top w:val="single" w:sz="4" w:space="0" w:color="auto"/>
              <w:left w:val="nil"/>
              <w:bottom w:val="single" w:sz="12" w:space="0" w:color="auto"/>
              <w:right w:val="nil"/>
            </w:tcBorders>
          </w:tcPr>
          <w:p w:rsidR="006E0D76" w:rsidRDefault="006E0D76" w:rsidP="00061881">
            <w:pPr>
              <w:jc w:val="center"/>
              <w:rPr>
                <w:sz w:val="20"/>
                <w:szCs w:val="20"/>
              </w:rPr>
            </w:pPr>
          </w:p>
        </w:tc>
        <w:tc>
          <w:tcPr>
            <w:tcW w:w="1307" w:type="dxa"/>
            <w:tcBorders>
              <w:top w:val="single" w:sz="4" w:space="0" w:color="auto"/>
              <w:left w:val="nil"/>
              <w:bottom w:val="single" w:sz="12" w:space="0" w:color="auto"/>
              <w:right w:val="nil"/>
            </w:tcBorders>
          </w:tcPr>
          <w:p w:rsidR="006E0D76" w:rsidRDefault="006E0D76" w:rsidP="00061881">
            <w:pPr>
              <w:jc w:val="center"/>
              <w:rPr>
                <w:color w:val="000000"/>
                <w:sz w:val="20"/>
                <w:szCs w:val="20"/>
              </w:rPr>
            </w:pPr>
          </w:p>
        </w:tc>
      </w:tr>
      <w:tr w:rsidR="006E0D76" w:rsidRPr="005A21D4" w:rsidTr="00F00C93">
        <w:tc>
          <w:tcPr>
            <w:tcW w:w="5245" w:type="dxa"/>
            <w:tcBorders>
              <w:top w:val="single" w:sz="12" w:space="0" w:color="auto"/>
              <w:left w:val="nil"/>
              <w:bottom w:val="single" w:sz="12" w:space="0" w:color="auto"/>
              <w:right w:val="nil"/>
            </w:tcBorders>
          </w:tcPr>
          <w:p w:rsidR="006E0D76" w:rsidRPr="005A21D4" w:rsidRDefault="006E0D76" w:rsidP="00556493">
            <w:pPr>
              <w:ind w:left="72"/>
              <w:rPr>
                <w:b/>
                <w:i/>
                <w:color w:val="000000"/>
                <w:sz w:val="20"/>
                <w:szCs w:val="20"/>
              </w:rPr>
            </w:pPr>
            <w:r w:rsidRPr="005A21D4">
              <w:rPr>
                <w:b/>
                <w:i/>
                <w:color w:val="000000"/>
                <w:sz w:val="20"/>
                <w:szCs w:val="20"/>
              </w:rPr>
              <w:t>Institutional Framework</w:t>
            </w:r>
          </w:p>
        </w:tc>
        <w:tc>
          <w:tcPr>
            <w:tcW w:w="1276" w:type="dxa"/>
            <w:tcBorders>
              <w:top w:val="single" w:sz="12" w:space="0" w:color="auto"/>
              <w:left w:val="nil"/>
              <w:bottom w:val="single" w:sz="12" w:space="0" w:color="auto"/>
              <w:right w:val="nil"/>
            </w:tcBorders>
          </w:tcPr>
          <w:p w:rsidR="006E0D76" w:rsidRPr="005A21D4" w:rsidRDefault="006E0D76" w:rsidP="00556493">
            <w:pPr>
              <w:jc w:val="center"/>
              <w:rPr>
                <w:b/>
                <w:i/>
                <w:color w:val="000000"/>
                <w:sz w:val="20"/>
                <w:szCs w:val="20"/>
              </w:rPr>
            </w:pPr>
          </w:p>
        </w:tc>
        <w:tc>
          <w:tcPr>
            <w:tcW w:w="992" w:type="dxa"/>
            <w:tcBorders>
              <w:top w:val="single" w:sz="12" w:space="0" w:color="auto"/>
              <w:left w:val="nil"/>
              <w:bottom w:val="single" w:sz="12" w:space="0" w:color="auto"/>
              <w:right w:val="nil"/>
            </w:tcBorders>
          </w:tcPr>
          <w:p w:rsidR="006E0D76" w:rsidRPr="005A21D4" w:rsidRDefault="006E0D76" w:rsidP="00556493">
            <w:pPr>
              <w:jc w:val="center"/>
              <w:rPr>
                <w:b/>
                <w:i/>
                <w:color w:val="000000"/>
                <w:sz w:val="20"/>
                <w:szCs w:val="20"/>
              </w:rPr>
            </w:pPr>
          </w:p>
        </w:tc>
        <w:tc>
          <w:tcPr>
            <w:tcW w:w="1307" w:type="dxa"/>
            <w:tcBorders>
              <w:top w:val="single" w:sz="12" w:space="0" w:color="auto"/>
              <w:left w:val="nil"/>
              <w:bottom w:val="single" w:sz="12" w:space="0" w:color="auto"/>
              <w:right w:val="nil"/>
            </w:tcBorders>
          </w:tcPr>
          <w:p w:rsidR="006E0D76" w:rsidRPr="005A21D4" w:rsidRDefault="006E0D76" w:rsidP="00556493">
            <w:pPr>
              <w:jc w:val="center"/>
              <w:rPr>
                <w:b/>
                <w:i/>
                <w:color w:val="000000"/>
                <w:sz w:val="20"/>
                <w:szCs w:val="20"/>
              </w:rPr>
            </w:pPr>
          </w:p>
        </w:tc>
      </w:tr>
      <w:tr w:rsidR="006E0D76" w:rsidRPr="00040B4C" w:rsidTr="00F00C93">
        <w:tc>
          <w:tcPr>
            <w:tcW w:w="5245" w:type="dxa"/>
            <w:tcBorders>
              <w:top w:val="single" w:sz="12" w:space="0" w:color="auto"/>
              <w:left w:val="nil"/>
              <w:right w:val="nil"/>
            </w:tcBorders>
          </w:tcPr>
          <w:p w:rsidR="006E0D76" w:rsidRPr="00040B4C" w:rsidRDefault="006E0D76" w:rsidP="00556493">
            <w:pPr>
              <w:ind w:left="72"/>
              <w:rPr>
                <w:color w:val="000000"/>
                <w:sz w:val="20"/>
                <w:szCs w:val="20"/>
              </w:rPr>
            </w:pPr>
            <w:r>
              <w:rPr>
                <w:color w:val="000000"/>
                <w:sz w:val="20"/>
                <w:szCs w:val="20"/>
              </w:rPr>
              <w:t xml:space="preserve">A member of the board of the CBA should be made responsible for the consumer protection agenda. </w:t>
            </w:r>
          </w:p>
        </w:tc>
        <w:tc>
          <w:tcPr>
            <w:tcW w:w="1276" w:type="dxa"/>
            <w:tcBorders>
              <w:top w:val="single" w:sz="12" w:space="0" w:color="auto"/>
              <w:left w:val="nil"/>
              <w:right w:val="nil"/>
            </w:tcBorders>
          </w:tcPr>
          <w:p w:rsidR="006E0D76" w:rsidRPr="00040B4C" w:rsidRDefault="006E0D76" w:rsidP="00556493">
            <w:pPr>
              <w:jc w:val="center"/>
              <w:rPr>
                <w:color w:val="000000"/>
                <w:sz w:val="20"/>
                <w:szCs w:val="20"/>
              </w:rPr>
            </w:pPr>
            <w:r>
              <w:rPr>
                <w:color w:val="000000"/>
                <w:sz w:val="20"/>
                <w:szCs w:val="20"/>
              </w:rPr>
              <w:t>CBA</w:t>
            </w:r>
          </w:p>
        </w:tc>
        <w:tc>
          <w:tcPr>
            <w:tcW w:w="992" w:type="dxa"/>
            <w:tcBorders>
              <w:top w:val="single" w:sz="12" w:space="0" w:color="auto"/>
              <w:left w:val="nil"/>
              <w:right w:val="nil"/>
            </w:tcBorders>
          </w:tcPr>
          <w:p w:rsidR="006E0D76" w:rsidRPr="00040B4C" w:rsidRDefault="003B10B3" w:rsidP="00556493">
            <w:pPr>
              <w:jc w:val="center"/>
              <w:rPr>
                <w:color w:val="000000"/>
                <w:sz w:val="20"/>
                <w:szCs w:val="20"/>
              </w:rPr>
            </w:pPr>
            <w:r>
              <w:rPr>
                <w:color w:val="000000"/>
                <w:sz w:val="20"/>
                <w:szCs w:val="20"/>
              </w:rPr>
              <w:t>Short</w:t>
            </w:r>
            <w:r w:rsidR="006E0D76" w:rsidRPr="00040B4C">
              <w:rPr>
                <w:color w:val="000000"/>
                <w:sz w:val="20"/>
                <w:szCs w:val="20"/>
              </w:rPr>
              <w:t xml:space="preserve"> </w:t>
            </w:r>
          </w:p>
        </w:tc>
        <w:tc>
          <w:tcPr>
            <w:tcW w:w="1307" w:type="dxa"/>
            <w:tcBorders>
              <w:top w:val="single" w:sz="12" w:space="0" w:color="auto"/>
              <w:left w:val="nil"/>
              <w:right w:val="nil"/>
            </w:tcBorders>
          </w:tcPr>
          <w:p w:rsidR="006E0D76" w:rsidRPr="00040B4C" w:rsidRDefault="003B10B3" w:rsidP="00556493">
            <w:pPr>
              <w:jc w:val="center"/>
              <w:rPr>
                <w:color w:val="000000"/>
                <w:sz w:val="20"/>
                <w:szCs w:val="20"/>
              </w:rPr>
            </w:pPr>
            <w:r>
              <w:rPr>
                <w:color w:val="000000"/>
                <w:sz w:val="20"/>
                <w:szCs w:val="20"/>
              </w:rPr>
              <w:t>Board-level responsibility</w:t>
            </w:r>
          </w:p>
        </w:tc>
      </w:tr>
      <w:tr w:rsidR="006E0D76" w:rsidRPr="00040B4C" w:rsidTr="00F00C93">
        <w:tc>
          <w:tcPr>
            <w:tcW w:w="5245" w:type="dxa"/>
            <w:tcBorders>
              <w:left w:val="nil"/>
              <w:right w:val="nil"/>
            </w:tcBorders>
          </w:tcPr>
          <w:p w:rsidR="006E0D76" w:rsidRPr="00040B4C" w:rsidRDefault="006E0D76" w:rsidP="00556493">
            <w:pPr>
              <w:ind w:left="72"/>
              <w:rPr>
                <w:color w:val="000000"/>
                <w:sz w:val="20"/>
                <w:szCs w:val="20"/>
              </w:rPr>
            </w:pPr>
            <w:r>
              <w:rPr>
                <w:color w:val="000000"/>
                <w:sz w:val="20"/>
                <w:szCs w:val="20"/>
              </w:rPr>
              <w:t xml:space="preserve">The CBA, the Financial System Mediator and the Stock Exchange should publish all disciplinary actions and decisions (not mediated agreements for the Mediator).  </w:t>
            </w:r>
          </w:p>
        </w:tc>
        <w:tc>
          <w:tcPr>
            <w:tcW w:w="1276" w:type="dxa"/>
            <w:tcBorders>
              <w:left w:val="nil"/>
              <w:right w:val="nil"/>
            </w:tcBorders>
          </w:tcPr>
          <w:p w:rsidR="006E0D76" w:rsidRPr="00040B4C" w:rsidRDefault="003B10B3" w:rsidP="00556493">
            <w:pPr>
              <w:ind w:right="-18"/>
              <w:jc w:val="center"/>
              <w:rPr>
                <w:color w:val="000000"/>
                <w:sz w:val="20"/>
                <w:szCs w:val="20"/>
              </w:rPr>
            </w:pPr>
            <w:r>
              <w:rPr>
                <w:color w:val="000000"/>
                <w:sz w:val="20"/>
                <w:szCs w:val="20"/>
              </w:rPr>
              <w:t>CBA, FSM, Stock Exchange</w:t>
            </w:r>
          </w:p>
        </w:tc>
        <w:tc>
          <w:tcPr>
            <w:tcW w:w="992" w:type="dxa"/>
            <w:tcBorders>
              <w:left w:val="nil"/>
              <w:right w:val="nil"/>
            </w:tcBorders>
          </w:tcPr>
          <w:p w:rsidR="006E0D76" w:rsidRPr="00040B4C" w:rsidRDefault="006E0D76" w:rsidP="00556493">
            <w:pPr>
              <w:jc w:val="center"/>
              <w:rPr>
                <w:color w:val="000000"/>
                <w:sz w:val="20"/>
                <w:szCs w:val="20"/>
              </w:rPr>
            </w:pPr>
            <w:r w:rsidRPr="00040B4C">
              <w:rPr>
                <w:color w:val="000000"/>
                <w:sz w:val="20"/>
                <w:szCs w:val="20"/>
              </w:rPr>
              <w:t xml:space="preserve">Medium </w:t>
            </w:r>
          </w:p>
        </w:tc>
        <w:tc>
          <w:tcPr>
            <w:tcW w:w="1307" w:type="dxa"/>
            <w:tcBorders>
              <w:left w:val="nil"/>
              <w:right w:val="nil"/>
            </w:tcBorders>
          </w:tcPr>
          <w:p w:rsidR="006E0D76" w:rsidRPr="00040B4C" w:rsidRDefault="003B10B3" w:rsidP="00556493">
            <w:pPr>
              <w:jc w:val="center"/>
              <w:rPr>
                <w:color w:val="000000"/>
                <w:sz w:val="20"/>
                <w:szCs w:val="20"/>
              </w:rPr>
            </w:pPr>
            <w:r>
              <w:rPr>
                <w:color w:val="000000"/>
                <w:sz w:val="20"/>
                <w:szCs w:val="20"/>
              </w:rPr>
              <w:t>Disciplinary disclosure</w:t>
            </w:r>
          </w:p>
        </w:tc>
      </w:tr>
      <w:tr w:rsidR="006E0D76" w:rsidRPr="00040B4C" w:rsidTr="00F00C93">
        <w:tc>
          <w:tcPr>
            <w:tcW w:w="5245" w:type="dxa"/>
            <w:tcBorders>
              <w:left w:val="nil"/>
              <w:right w:val="nil"/>
            </w:tcBorders>
          </w:tcPr>
          <w:p w:rsidR="006E0D76" w:rsidRDefault="006E0D76" w:rsidP="00556493">
            <w:pPr>
              <w:ind w:left="72"/>
              <w:rPr>
                <w:color w:val="000000"/>
                <w:sz w:val="20"/>
                <w:szCs w:val="20"/>
              </w:rPr>
            </w:pPr>
            <w:r>
              <w:rPr>
                <w:color w:val="000000"/>
                <w:sz w:val="20"/>
                <w:szCs w:val="20"/>
              </w:rPr>
              <w:t xml:space="preserve">The register of licensed financial institutions should include the disciplinary history of all institutions. </w:t>
            </w:r>
          </w:p>
        </w:tc>
        <w:tc>
          <w:tcPr>
            <w:tcW w:w="1276" w:type="dxa"/>
            <w:tcBorders>
              <w:left w:val="nil"/>
              <w:right w:val="nil"/>
            </w:tcBorders>
          </w:tcPr>
          <w:p w:rsidR="006E0D76" w:rsidRDefault="003B10B3" w:rsidP="00556493">
            <w:pPr>
              <w:ind w:right="-18"/>
              <w:jc w:val="center"/>
              <w:rPr>
                <w:color w:val="000000"/>
                <w:sz w:val="20"/>
                <w:szCs w:val="20"/>
              </w:rPr>
            </w:pPr>
            <w:r>
              <w:rPr>
                <w:color w:val="000000"/>
                <w:sz w:val="20"/>
                <w:szCs w:val="20"/>
              </w:rPr>
              <w:t>CBA</w:t>
            </w:r>
          </w:p>
        </w:tc>
        <w:tc>
          <w:tcPr>
            <w:tcW w:w="992" w:type="dxa"/>
            <w:tcBorders>
              <w:left w:val="nil"/>
              <w:right w:val="nil"/>
            </w:tcBorders>
          </w:tcPr>
          <w:p w:rsidR="006E0D76" w:rsidRPr="00040B4C" w:rsidRDefault="003B10B3" w:rsidP="00556493">
            <w:pPr>
              <w:jc w:val="center"/>
              <w:rPr>
                <w:color w:val="000000"/>
                <w:sz w:val="20"/>
                <w:szCs w:val="20"/>
              </w:rPr>
            </w:pPr>
            <w:r>
              <w:rPr>
                <w:color w:val="000000"/>
                <w:sz w:val="20"/>
                <w:szCs w:val="20"/>
              </w:rPr>
              <w:t>Medium</w:t>
            </w:r>
          </w:p>
        </w:tc>
        <w:tc>
          <w:tcPr>
            <w:tcW w:w="1307" w:type="dxa"/>
            <w:tcBorders>
              <w:left w:val="nil"/>
              <w:right w:val="nil"/>
            </w:tcBorders>
          </w:tcPr>
          <w:p w:rsidR="006E0D76" w:rsidRDefault="003B10B3" w:rsidP="00556493">
            <w:pPr>
              <w:jc w:val="center"/>
              <w:rPr>
                <w:color w:val="000000"/>
                <w:sz w:val="20"/>
                <w:szCs w:val="20"/>
              </w:rPr>
            </w:pPr>
            <w:r>
              <w:rPr>
                <w:color w:val="000000"/>
                <w:sz w:val="20"/>
                <w:szCs w:val="20"/>
              </w:rPr>
              <w:t>Disciplinary disclosure</w:t>
            </w:r>
          </w:p>
        </w:tc>
      </w:tr>
      <w:tr w:rsidR="006E0D76" w:rsidRPr="00040B4C" w:rsidTr="00F00C93">
        <w:tc>
          <w:tcPr>
            <w:tcW w:w="5245" w:type="dxa"/>
            <w:tcBorders>
              <w:left w:val="nil"/>
              <w:right w:val="nil"/>
            </w:tcBorders>
          </w:tcPr>
          <w:p w:rsidR="006E0D76" w:rsidRDefault="006E0D76" w:rsidP="00556493">
            <w:pPr>
              <w:ind w:left="72"/>
              <w:rPr>
                <w:color w:val="000000"/>
                <w:sz w:val="20"/>
                <w:szCs w:val="20"/>
              </w:rPr>
            </w:pPr>
            <w:r w:rsidRPr="00B10A63">
              <w:rPr>
                <w:color w:val="000000"/>
                <w:sz w:val="20"/>
                <w:szCs w:val="20"/>
              </w:rPr>
              <w:t>Consumer protection rights in the terms of disclosure and access to the Financial System Mediator should be extended not only to private individuals but also to sole entrepreneurs, micro- and small-size businesses (as defined by the Armenian legislation).</w:t>
            </w:r>
          </w:p>
        </w:tc>
        <w:tc>
          <w:tcPr>
            <w:tcW w:w="1276" w:type="dxa"/>
            <w:tcBorders>
              <w:left w:val="nil"/>
              <w:right w:val="nil"/>
            </w:tcBorders>
          </w:tcPr>
          <w:p w:rsidR="006E0D76" w:rsidRDefault="003B10B3" w:rsidP="00556493">
            <w:pPr>
              <w:ind w:right="-18"/>
              <w:jc w:val="center"/>
              <w:rPr>
                <w:color w:val="000000"/>
                <w:sz w:val="20"/>
                <w:szCs w:val="20"/>
              </w:rPr>
            </w:pPr>
            <w:r>
              <w:rPr>
                <w:color w:val="000000"/>
                <w:sz w:val="20"/>
                <w:szCs w:val="20"/>
              </w:rPr>
              <w:t>CBA, FSM</w:t>
            </w:r>
          </w:p>
        </w:tc>
        <w:tc>
          <w:tcPr>
            <w:tcW w:w="992" w:type="dxa"/>
            <w:tcBorders>
              <w:left w:val="nil"/>
              <w:right w:val="nil"/>
            </w:tcBorders>
          </w:tcPr>
          <w:p w:rsidR="006E0D76" w:rsidRPr="00040B4C" w:rsidRDefault="003B10B3" w:rsidP="00556493">
            <w:pPr>
              <w:jc w:val="center"/>
              <w:rPr>
                <w:color w:val="000000"/>
                <w:sz w:val="20"/>
                <w:szCs w:val="20"/>
              </w:rPr>
            </w:pPr>
            <w:r>
              <w:rPr>
                <w:color w:val="000000"/>
                <w:sz w:val="20"/>
                <w:szCs w:val="20"/>
              </w:rPr>
              <w:t>Short</w:t>
            </w:r>
          </w:p>
        </w:tc>
        <w:tc>
          <w:tcPr>
            <w:tcW w:w="1307" w:type="dxa"/>
            <w:tcBorders>
              <w:left w:val="nil"/>
              <w:right w:val="nil"/>
            </w:tcBorders>
          </w:tcPr>
          <w:p w:rsidR="006E0D76" w:rsidRDefault="003B10B3" w:rsidP="00556493">
            <w:pPr>
              <w:jc w:val="center"/>
              <w:rPr>
                <w:color w:val="000000"/>
                <w:sz w:val="20"/>
                <w:szCs w:val="20"/>
              </w:rPr>
            </w:pPr>
            <w:r>
              <w:rPr>
                <w:color w:val="000000"/>
                <w:sz w:val="20"/>
                <w:szCs w:val="20"/>
              </w:rPr>
              <w:t>FSM Law update</w:t>
            </w:r>
          </w:p>
        </w:tc>
      </w:tr>
      <w:tr w:rsidR="006E0D76" w:rsidRPr="00040B4C" w:rsidTr="00F00C93">
        <w:tc>
          <w:tcPr>
            <w:tcW w:w="5245" w:type="dxa"/>
            <w:tcBorders>
              <w:left w:val="nil"/>
              <w:right w:val="nil"/>
            </w:tcBorders>
          </w:tcPr>
          <w:p w:rsidR="006E0D76" w:rsidRDefault="006E0D76" w:rsidP="00556493">
            <w:pPr>
              <w:ind w:left="72"/>
              <w:rPr>
                <w:color w:val="000000"/>
                <w:sz w:val="20"/>
                <w:szCs w:val="20"/>
              </w:rPr>
            </w:pPr>
            <w:r>
              <w:rPr>
                <w:color w:val="000000"/>
                <w:sz w:val="20"/>
                <w:szCs w:val="20"/>
              </w:rPr>
              <w:t xml:space="preserve">The CBA should strengthen three key stakeholder groups that play a significant role in developing a safe and fair financial market through communication and education: </w:t>
            </w:r>
          </w:p>
          <w:p w:rsidR="006E0D76" w:rsidRDefault="006E0D76" w:rsidP="00B10A63">
            <w:pPr>
              <w:pStyle w:val="ListParagraph"/>
              <w:numPr>
                <w:ilvl w:val="0"/>
                <w:numId w:val="44"/>
              </w:numPr>
              <w:rPr>
                <w:color w:val="000000"/>
                <w:sz w:val="20"/>
                <w:szCs w:val="20"/>
              </w:rPr>
            </w:pPr>
            <w:r>
              <w:rPr>
                <w:color w:val="000000"/>
                <w:sz w:val="20"/>
                <w:szCs w:val="20"/>
              </w:rPr>
              <w:t xml:space="preserve">consumer organizations </w:t>
            </w:r>
          </w:p>
          <w:p w:rsidR="006E0D76" w:rsidRDefault="006E0D76" w:rsidP="00B10A63">
            <w:pPr>
              <w:pStyle w:val="ListParagraph"/>
              <w:numPr>
                <w:ilvl w:val="0"/>
                <w:numId w:val="44"/>
              </w:numPr>
              <w:rPr>
                <w:color w:val="000000"/>
                <w:sz w:val="20"/>
                <w:szCs w:val="20"/>
              </w:rPr>
            </w:pPr>
            <w:r>
              <w:rPr>
                <w:color w:val="000000"/>
                <w:sz w:val="20"/>
                <w:szCs w:val="20"/>
              </w:rPr>
              <w:t xml:space="preserve">financial associations  </w:t>
            </w:r>
          </w:p>
          <w:p w:rsidR="006E0D76" w:rsidRPr="00B10A63" w:rsidRDefault="006E0D76" w:rsidP="00B10A63">
            <w:pPr>
              <w:pStyle w:val="ListParagraph"/>
              <w:numPr>
                <w:ilvl w:val="0"/>
                <w:numId w:val="44"/>
              </w:numPr>
              <w:rPr>
                <w:color w:val="000000"/>
                <w:sz w:val="20"/>
                <w:szCs w:val="20"/>
              </w:rPr>
            </w:pPr>
            <w:r>
              <w:rPr>
                <w:color w:val="000000"/>
                <w:sz w:val="20"/>
                <w:szCs w:val="20"/>
              </w:rPr>
              <w:t xml:space="preserve">the police, prosecutors and the judiciary </w:t>
            </w:r>
          </w:p>
        </w:tc>
        <w:tc>
          <w:tcPr>
            <w:tcW w:w="1276" w:type="dxa"/>
            <w:tcBorders>
              <w:left w:val="nil"/>
              <w:right w:val="nil"/>
            </w:tcBorders>
          </w:tcPr>
          <w:p w:rsidR="006E0D76" w:rsidRDefault="003B10B3" w:rsidP="00556493">
            <w:pPr>
              <w:ind w:right="-18"/>
              <w:jc w:val="center"/>
              <w:rPr>
                <w:color w:val="000000"/>
                <w:sz w:val="20"/>
                <w:szCs w:val="20"/>
              </w:rPr>
            </w:pPr>
            <w:r>
              <w:rPr>
                <w:color w:val="000000"/>
                <w:sz w:val="20"/>
                <w:szCs w:val="20"/>
              </w:rPr>
              <w:t>CBA</w:t>
            </w:r>
          </w:p>
        </w:tc>
        <w:tc>
          <w:tcPr>
            <w:tcW w:w="992" w:type="dxa"/>
            <w:tcBorders>
              <w:left w:val="nil"/>
              <w:right w:val="nil"/>
            </w:tcBorders>
          </w:tcPr>
          <w:p w:rsidR="006E0D76" w:rsidRPr="00040B4C" w:rsidRDefault="003B10B3" w:rsidP="00556493">
            <w:pPr>
              <w:jc w:val="center"/>
              <w:rPr>
                <w:color w:val="000000"/>
                <w:sz w:val="20"/>
                <w:szCs w:val="20"/>
              </w:rPr>
            </w:pPr>
            <w:r>
              <w:rPr>
                <w:color w:val="000000"/>
                <w:sz w:val="20"/>
                <w:szCs w:val="20"/>
              </w:rPr>
              <w:t>Medium</w:t>
            </w:r>
          </w:p>
        </w:tc>
        <w:tc>
          <w:tcPr>
            <w:tcW w:w="1307" w:type="dxa"/>
            <w:tcBorders>
              <w:left w:val="nil"/>
              <w:right w:val="nil"/>
            </w:tcBorders>
          </w:tcPr>
          <w:p w:rsidR="006E0D76" w:rsidRDefault="003B10B3" w:rsidP="00556493">
            <w:pPr>
              <w:jc w:val="center"/>
              <w:rPr>
                <w:color w:val="000000"/>
                <w:sz w:val="20"/>
                <w:szCs w:val="20"/>
              </w:rPr>
            </w:pPr>
            <w:r>
              <w:rPr>
                <w:color w:val="000000"/>
                <w:sz w:val="20"/>
                <w:szCs w:val="20"/>
              </w:rPr>
              <w:t>Stronger involvement of other stakeholders</w:t>
            </w:r>
          </w:p>
        </w:tc>
      </w:tr>
      <w:tr w:rsidR="006E0D76" w:rsidRPr="00040B4C" w:rsidTr="00F00C93">
        <w:tc>
          <w:tcPr>
            <w:tcW w:w="5245" w:type="dxa"/>
            <w:tcBorders>
              <w:left w:val="nil"/>
              <w:right w:val="nil"/>
            </w:tcBorders>
          </w:tcPr>
          <w:p w:rsidR="006E0D76" w:rsidRPr="008569E0" w:rsidRDefault="006E0D76" w:rsidP="00556493">
            <w:pPr>
              <w:ind w:left="72"/>
              <w:rPr>
                <w:sz w:val="18"/>
                <w:szCs w:val="18"/>
              </w:rPr>
            </w:pPr>
            <w:r w:rsidRPr="007920EA">
              <w:rPr>
                <w:sz w:val="18"/>
                <w:szCs w:val="18"/>
              </w:rPr>
              <w:t>The LIF should be amended to provide for the segregation of assets of an investment fund from the assets of the fund’s custodian.</w:t>
            </w:r>
          </w:p>
        </w:tc>
        <w:tc>
          <w:tcPr>
            <w:tcW w:w="1276" w:type="dxa"/>
            <w:tcBorders>
              <w:left w:val="nil"/>
              <w:right w:val="nil"/>
            </w:tcBorders>
          </w:tcPr>
          <w:p w:rsidR="006E0D76" w:rsidRDefault="003B10B3" w:rsidP="00556493">
            <w:pPr>
              <w:ind w:right="-18"/>
              <w:jc w:val="center"/>
              <w:rPr>
                <w:color w:val="000000"/>
                <w:sz w:val="20"/>
                <w:szCs w:val="20"/>
              </w:rPr>
            </w:pPr>
            <w:r>
              <w:rPr>
                <w:color w:val="000000"/>
                <w:sz w:val="20"/>
                <w:szCs w:val="20"/>
              </w:rPr>
              <w:t xml:space="preserve">CBA </w:t>
            </w:r>
          </w:p>
        </w:tc>
        <w:tc>
          <w:tcPr>
            <w:tcW w:w="992" w:type="dxa"/>
            <w:tcBorders>
              <w:left w:val="nil"/>
              <w:right w:val="nil"/>
            </w:tcBorders>
          </w:tcPr>
          <w:p w:rsidR="006E0D76" w:rsidRPr="00040B4C" w:rsidRDefault="003B10B3" w:rsidP="00556493">
            <w:pPr>
              <w:jc w:val="center"/>
              <w:rPr>
                <w:color w:val="000000"/>
                <w:sz w:val="20"/>
                <w:szCs w:val="20"/>
              </w:rPr>
            </w:pPr>
            <w:r>
              <w:rPr>
                <w:color w:val="000000"/>
                <w:sz w:val="20"/>
                <w:szCs w:val="20"/>
              </w:rPr>
              <w:t>Short</w:t>
            </w:r>
          </w:p>
        </w:tc>
        <w:tc>
          <w:tcPr>
            <w:tcW w:w="1307" w:type="dxa"/>
            <w:tcBorders>
              <w:left w:val="nil"/>
              <w:right w:val="nil"/>
            </w:tcBorders>
          </w:tcPr>
          <w:p w:rsidR="006E0D76" w:rsidRDefault="003B10B3" w:rsidP="00556493">
            <w:pPr>
              <w:jc w:val="center"/>
              <w:rPr>
                <w:color w:val="000000"/>
                <w:sz w:val="20"/>
                <w:szCs w:val="20"/>
              </w:rPr>
            </w:pPr>
            <w:r>
              <w:rPr>
                <w:color w:val="000000"/>
                <w:sz w:val="20"/>
                <w:szCs w:val="20"/>
              </w:rPr>
              <w:t>LIF update</w:t>
            </w:r>
          </w:p>
        </w:tc>
      </w:tr>
      <w:tr w:rsidR="006E0D76" w:rsidRPr="00040B4C" w:rsidTr="00F00C93">
        <w:tc>
          <w:tcPr>
            <w:tcW w:w="5245" w:type="dxa"/>
            <w:tcBorders>
              <w:left w:val="nil"/>
              <w:right w:val="nil"/>
            </w:tcBorders>
          </w:tcPr>
          <w:p w:rsidR="006E0D76" w:rsidRPr="008569E0" w:rsidRDefault="006E0D76" w:rsidP="00556493">
            <w:pPr>
              <w:ind w:left="72"/>
              <w:rPr>
                <w:sz w:val="18"/>
                <w:szCs w:val="18"/>
              </w:rPr>
            </w:pPr>
            <w:r w:rsidRPr="008B09E8">
              <w:rPr>
                <w:sz w:val="18"/>
                <w:szCs w:val="18"/>
              </w:rPr>
              <w:t>The LSM and LIF should be modified to give the CBA more authority to freeze assets and take control of licensed entities that are in distress and may put investors’ assets in jeopardy.</w:t>
            </w:r>
          </w:p>
        </w:tc>
        <w:tc>
          <w:tcPr>
            <w:tcW w:w="1276" w:type="dxa"/>
            <w:tcBorders>
              <w:left w:val="nil"/>
              <w:right w:val="nil"/>
            </w:tcBorders>
          </w:tcPr>
          <w:p w:rsidR="006E0D76" w:rsidRDefault="003B10B3" w:rsidP="00556493">
            <w:pPr>
              <w:ind w:right="-18"/>
              <w:jc w:val="center"/>
              <w:rPr>
                <w:color w:val="000000"/>
                <w:sz w:val="20"/>
                <w:szCs w:val="20"/>
              </w:rPr>
            </w:pPr>
            <w:r>
              <w:rPr>
                <w:color w:val="000000"/>
                <w:sz w:val="20"/>
                <w:szCs w:val="20"/>
              </w:rPr>
              <w:t>CBA</w:t>
            </w:r>
          </w:p>
        </w:tc>
        <w:tc>
          <w:tcPr>
            <w:tcW w:w="992" w:type="dxa"/>
            <w:tcBorders>
              <w:left w:val="nil"/>
              <w:right w:val="nil"/>
            </w:tcBorders>
          </w:tcPr>
          <w:p w:rsidR="006E0D76" w:rsidRPr="00040B4C" w:rsidRDefault="003B10B3" w:rsidP="00556493">
            <w:pPr>
              <w:jc w:val="center"/>
              <w:rPr>
                <w:color w:val="000000"/>
                <w:sz w:val="20"/>
                <w:szCs w:val="20"/>
              </w:rPr>
            </w:pPr>
            <w:r>
              <w:rPr>
                <w:color w:val="000000"/>
                <w:sz w:val="20"/>
                <w:szCs w:val="20"/>
              </w:rPr>
              <w:t>Short</w:t>
            </w:r>
          </w:p>
        </w:tc>
        <w:tc>
          <w:tcPr>
            <w:tcW w:w="1307" w:type="dxa"/>
            <w:tcBorders>
              <w:left w:val="nil"/>
              <w:right w:val="nil"/>
            </w:tcBorders>
          </w:tcPr>
          <w:p w:rsidR="006E0D76" w:rsidRDefault="003B10B3" w:rsidP="00556493">
            <w:pPr>
              <w:jc w:val="center"/>
              <w:rPr>
                <w:color w:val="000000"/>
                <w:sz w:val="20"/>
                <w:szCs w:val="20"/>
              </w:rPr>
            </w:pPr>
            <w:r>
              <w:rPr>
                <w:color w:val="000000"/>
                <w:sz w:val="20"/>
                <w:szCs w:val="20"/>
              </w:rPr>
              <w:t>LSM and LIF update</w:t>
            </w:r>
          </w:p>
        </w:tc>
      </w:tr>
      <w:tr w:rsidR="006E0D76" w:rsidRPr="00040B4C" w:rsidTr="00F00C93">
        <w:tc>
          <w:tcPr>
            <w:tcW w:w="5245" w:type="dxa"/>
            <w:tcBorders>
              <w:left w:val="nil"/>
              <w:right w:val="nil"/>
            </w:tcBorders>
          </w:tcPr>
          <w:p w:rsidR="006E0D76" w:rsidRPr="008B09E8" w:rsidRDefault="006E0D76" w:rsidP="00556493">
            <w:pPr>
              <w:ind w:left="72"/>
              <w:rPr>
                <w:sz w:val="18"/>
                <w:szCs w:val="18"/>
              </w:rPr>
            </w:pPr>
            <w:r>
              <w:rPr>
                <w:sz w:val="18"/>
                <w:szCs w:val="18"/>
              </w:rPr>
              <w:t>T</w:t>
            </w:r>
            <w:r w:rsidRPr="00547CEC">
              <w:rPr>
                <w:sz w:val="18"/>
                <w:szCs w:val="18"/>
              </w:rPr>
              <w:t xml:space="preserve">here should be provisions in place on how the </w:t>
            </w:r>
            <w:r>
              <w:rPr>
                <w:sz w:val="18"/>
                <w:szCs w:val="18"/>
              </w:rPr>
              <w:t xml:space="preserve">MTPL </w:t>
            </w:r>
            <w:r w:rsidRPr="00547CEC">
              <w:rPr>
                <w:sz w:val="18"/>
                <w:szCs w:val="18"/>
              </w:rPr>
              <w:t>Guarantee Association should operate in the case of insolvency, how insurers will be assessed for the insolvency fund and how much of the claim amounts policyholders will be able to recover.</w:t>
            </w:r>
          </w:p>
        </w:tc>
        <w:tc>
          <w:tcPr>
            <w:tcW w:w="1276" w:type="dxa"/>
            <w:tcBorders>
              <w:left w:val="nil"/>
              <w:right w:val="nil"/>
            </w:tcBorders>
          </w:tcPr>
          <w:p w:rsidR="006E0D76" w:rsidRDefault="003B10B3" w:rsidP="00556493">
            <w:pPr>
              <w:ind w:right="-18"/>
              <w:jc w:val="center"/>
              <w:rPr>
                <w:color w:val="000000"/>
                <w:sz w:val="20"/>
                <w:szCs w:val="20"/>
              </w:rPr>
            </w:pPr>
            <w:r>
              <w:rPr>
                <w:color w:val="000000"/>
                <w:sz w:val="20"/>
                <w:szCs w:val="20"/>
              </w:rPr>
              <w:t>CBA, MTPL Bureau</w:t>
            </w:r>
          </w:p>
        </w:tc>
        <w:tc>
          <w:tcPr>
            <w:tcW w:w="992" w:type="dxa"/>
            <w:tcBorders>
              <w:left w:val="nil"/>
              <w:right w:val="nil"/>
            </w:tcBorders>
          </w:tcPr>
          <w:p w:rsidR="006E0D76" w:rsidRPr="00040B4C" w:rsidRDefault="003B10B3" w:rsidP="00556493">
            <w:pPr>
              <w:jc w:val="center"/>
              <w:rPr>
                <w:color w:val="000000"/>
                <w:sz w:val="20"/>
                <w:szCs w:val="20"/>
              </w:rPr>
            </w:pPr>
            <w:r>
              <w:rPr>
                <w:color w:val="000000"/>
                <w:sz w:val="20"/>
                <w:szCs w:val="20"/>
              </w:rPr>
              <w:t>Medium</w:t>
            </w:r>
          </w:p>
        </w:tc>
        <w:tc>
          <w:tcPr>
            <w:tcW w:w="1307" w:type="dxa"/>
            <w:tcBorders>
              <w:left w:val="nil"/>
              <w:right w:val="nil"/>
            </w:tcBorders>
          </w:tcPr>
          <w:p w:rsidR="006E0D76" w:rsidRDefault="003B10B3" w:rsidP="00556493">
            <w:pPr>
              <w:jc w:val="center"/>
              <w:rPr>
                <w:color w:val="000000"/>
                <w:sz w:val="20"/>
                <w:szCs w:val="20"/>
              </w:rPr>
            </w:pPr>
            <w:r>
              <w:rPr>
                <w:color w:val="000000"/>
                <w:sz w:val="20"/>
                <w:szCs w:val="20"/>
              </w:rPr>
              <w:t>MTPL Law update</w:t>
            </w:r>
          </w:p>
        </w:tc>
      </w:tr>
      <w:tr w:rsidR="006E0D76" w:rsidRPr="00040B4C" w:rsidTr="00F00C93">
        <w:tc>
          <w:tcPr>
            <w:tcW w:w="5245" w:type="dxa"/>
            <w:tcBorders>
              <w:left w:val="nil"/>
              <w:right w:val="nil"/>
            </w:tcBorders>
          </w:tcPr>
          <w:p w:rsidR="006E0D76" w:rsidRPr="008B09E8" w:rsidRDefault="006E0D76" w:rsidP="004C2DF5">
            <w:pPr>
              <w:ind w:left="72"/>
              <w:rPr>
                <w:sz w:val="18"/>
                <w:szCs w:val="18"/>
              </w:rPr>
            </w:pPr>
            <w:r>
              <w:rPr>
                <w:sz w:val="18"/>
                <w:szCs w:val="18"/>
              </w:rPr>
              <w:t xml:space="preserve">Pawnshops should be required to provide data to the credit registry and the credit bureau.  </w:t>
            </w:r>
          </w:p>
        </w:tc>
        <w:tc>
          <w:tcPr>
            <w:tcW w:w="1276" w:type="dxa"/>
            <w:tcBorders>
              <w:left w:val="nil"/>
              <w:right w:val="nil"/>
            </w:tcBorders>
          </w:tcPr>
          <w:p w:rsidR="006E0D76" w:rsidRDefault="003B10B3" w:rsidP="00556493">
            <w:pPr>
              <w:ind w:right="-18"/>
              <w:jc w:val="center"/>
              <w:rPr>
                <w:color w:val="000000"/>
                <w:sz w:val="20"/>
                <w:szCs w:val="20"/>
              </w:rPr>
            </w:pPr>
            <w:r>
              <w:rPr>
                <w:color w:val="000000"/>
                <w:sz w:val="20"/>
                <w:szCs w:val="20"/>
              </w:rPr>
              <w:t>CBA</w:t>
            </w:r>
          </w:p>
        </w:tc>
        <w:tc>
          <w:tcPr>
            <w:tcW w:w="992" w:type="dxa"/>
            <w:tcBorders>
              <w:left w:val="nil"/>
              <w:right w:val="nil"/>
            </w:tcBorders>
          </w:tcPr>
          <w:p w:rsidR="006E0D76" w:rsidRPr="00040B4C" w:rsidRDefault="003B10B3" w:rsidP="00556493">
            <w:pPr>
              <w:jc w:val="center"/>
              <w:rPr>
                <w:color w:val="000000"/>
                <w:sz w:val="20"/>
                <w:szCs w:val="20"/>
              </w:rPr>
            </w:pPr>
            <w:r>
              <w:rPr>
                <w:color w:val="000000"/>
                <w:sz w:val="20"/>
                <w:szCs w:val="20"/>
              </w:rPr>
              <w:t>Medium</w:t>
            </w:r>
          </w:p>
        </w:tc>
        <w:tc>
          <w:tcPr>
            <w:tcW w:w="1307" w:type="dxa"/>
            <w:tcBorders>
              <w:left w:val="nil"/>
              <w:right w:val="nil"/>
            </w:tcBorders>
          </w:tcPr>
          <w:p w:rsidR="006E0D76" w:rsidRDefault="003B10B3" w:rsidP="00556493">
            <w:pPr>
              <w:jc w:val="center"/>
              <w:rPr>
                <w:color w:val="000000"/>
                <w:sz w:val="20"/>
                <w:szCs w:val="20"/>
              </w:rPr>
            </w:pPr>
            <w:r>
              <w:rPr>
                <w:color w:val="000000"/>
                <w:sz w:val="20"/>
                <w:szCs w:val="20"/>
              </w:rPr>
              <w:t>Law update</w:t>
            </w:r>
          </w:p>
        </w:tc>
      </w:tr>
      <w:tr w:rsidR="006E0D76" w:rsidRPr="00040B4C" w:rsidTr="00F00C93">
        <w:tc>
          <w:tcPr>
            <w:tcW w:w="5245" w:type="dxa"/>
            <w:tcBorders>
              <w:left w:val="nil"/>
              <w:right w:val="nil"/>
            </w:tcBorders>
          </w:tcPr>
          <w:p w:rsidR="006E0D76" w:rsidRPr="008B09E8" w:rsidRDefault="006E0D76" w:rsidP="00556493">
            <w:pPr>
              <w:ind w:left="72"/>
              <w:rPr>
                <w:sz w:val="18"/>
                <w:szCs w:val="18"/>
              </w:rPr>
            </w:pPr>
          </w:p>
        </w:tc>
        <w:tc>
          <w:tcPr>
            <w:tcW w:w="1276" w:type="dxa"/>
            <w:tcBorders>
              <w:left w:val="nil"/>
              <w:right w:val="nil"/>
            </w:tcBorders>
          </w:tcPr>
          <w:p w:rsidR="006E0D76" w:rsidRDefault="006E0D76" w:rsidP="00556493">
            <w:pPr>
              <w:ind w:right="-18"/>
              <w:jc w:val="center"/>
              <w:rPr>
                <w:color w:val="000000"/>
                <w:sz w:val="20"/>
                <w:szCs w:val="20"/>
              </w:rPr>
            </w:pPr>
          </w:p>
        </w:tc>
        <w:tc>
          <w:tcPr>
            <w:tcW w:w="992" w:type="dxa"/>
            <w:tcBorders>
              <w:left w:val="nil"/>
              <w:right w:val="nil"/>
            </w:tcBorders>
          </w:tcPr>
          <w:p w:rsidR="006E0D76" w:rsidRPr="00040B4C" w:rsidRDefault="006E0D76" w:rsidP="00556493">
            <w:pPr>
              <w:jc w:val="center"/>
              <w:rPr>
                <w:color w:val="000000"/>
                <w:sz w:val="20"/>
                <w:szCs w:val="20"/>
              </w:rPr>
            </w:pPr>
          </w:p>
        </w:tc>
        <w:tc>
          <w:tcPr>
            <w:tcW w:w="1307" w:type="dxa"/>
            <w:tcBorders>
              <w:left w:val="nil"/>
              <w:right w:val="nil"/>
            </w:tcBorders>
          </w:tcPr>
          <w:p w:rsidR="006E0D76" w:rsidRDefault="006E0D76" w:rsidP="00556493">
            <w:pPr>
              <w:jc w:val="center"/>
              <w:rPr>
                <w:color w:val="000000"/>
                <w:sz w:val="20"/>
                <w:szCs w:val="20"/>
              </w:rPr>
            </w:pPr>
          </w:p>
        </w:tc>
      </w:tr>
      <w:tr w:rsidR="006E0D76" w:rsidRPr="00B3720D" w:rsidTr="00F00C93">
        <w:tc>
          <w:tcPr>
            <w:tcW w:w="5245" w:type="dxa"/>
            <w:tcBorders>
              <w:top w:val="single" w:sz="12" w:space="0" w:color="auto"/>
              <w:left w:val="nil"/>
              <w:bottom w:val="single" w:sz="12" w:space="0" w:color="auto"/>
              <w:right w:val="nil"/>
            </w:tcBorders>
          </w:tcPr>
          <w:p w:rsidR="006E0D76" w:rsidRPr="00B3720D" w:rsidRDefault="006E0D76" w:rsidP="00040B4C">
            <w:pPr>
              <w:ind w:left="72"/>
              <w:rPr>
                <w:b/>
                <w:i/>
                <w:color w:val="000000"/>
                <w:sz w:val="20"/>
                <w:szCs w:val="20"/>
              </w:rPr>
            </w:pPr>
            <w:r w:rsidRPr="00B3720D">
              <w:rPr>
                <w:b/>
                <w:i/>
                <w:color w:val="000000"/>
                <w:sz w:val="20"/>
                <w:szCs w:val="20"/>
              </w:rPr>
              <w:t>Business Practices</w:t>
            </w:r>
          </w:p>
        </w:tc>
        <w:tc>
          <w:tcPr>
            <w:tcW w:w="1276" w:type="dxa"/>
            <w:tcBorders>
              <w:top w:val="single" w:sz="12" w:space="0" w:color="auto"/>
              <w:left w:val="nil"/>
              <w:bottom w:val="single" w:sz="12" w:space="0" w:color="auto"/>
              <w:right w:val="nil"/>
            </w:tcBorders>
          </w:tcPr>
          <w:p w:rsidR="006E0D76" w:rsidRPr="00B3720D" w:rsidRDefault="006E0D76" w:rsidP="00390775">
            <w:pPr>
              <w:jc w:val="center"/>
              <w:rPr>
                <w:i/>
                <w:color w:val="000000"/>
                <w:sz w:val="20"/>
                <w:szCs w:val="20"/>
              </w:rPr>
            </w:pPr>
          </w:p>
        </w:tc>
        <w:tc>
          <w:tcPr>
            <w:tcW w:w="992" w:type="dxa"/>
            <w:tcBorders>
              <w:top w:val="single" w:sz="12" w:space="0" w:color="auto"/>
              <w:left w:val="nil"/>
              <w:bottom w:val="single" w:sz="12" w:space="0" w:color="auto"/>
              <w:right w:val="nil"/>
            </w:tcBorders>
          </w:tcPr>
          <w:p w:rsidR="006E0D76" w:rsidRPr="00B3720D" w:rsidRDefault="006E0D76" w:rsidP="00040B4C">
            <w:pPr>
              <w:jc w:val="center"/>
              <w:rPr>
                <w:i/>
                <w:color w:val="000000"/>
                <w:sz w:val="20"/>
                <w:szCs w:val="20"/>
              </w:rPr>
            </w:pPr>
          </w:p>
        </w:tc>
        <w:tc>
          <w:tcPr>
            <w:tcW w:w="1307" w:type="dxa"/>
            <w:tcBorders>
              <w:top w:val="single" w:sz="12" w:space="0" w:color="auto"/>
              <w:left w:val="nil"/>
              <w:bottom w:val="single" w:sz="12" w:space="0" w:color="auto"/>
              <w:right w:val="nil"/>
            </w:tcBorders>
          </w:tcPr>
          <w:p w:rsidR="006E0D76" w:rsidRPr="00B3720D" w:rsidRDefault="006E0D76" w:rsidP="00040B4C">
            <w:pPr>
              <w:jc w:val="center"/>
              <w:rPr>
                <w:i/>
                <w:color w:val="000000"/>
                <w:sz w:val="20"/>
                <w:szCs w:val="20"/>
              </w:rPr>
            </w:pPr>
          </w:p>
        </w:tc>
      </w:tr>
      <w:tr w:rsidR="006E0D76" w:rsidRPr="00040B4C" w:rsidTr="00F00C93">
        <w:tc>
          <w:tcPr>
            <w:tcW w:w="5245" w:type="dxa"/>
            <w:tcBorders>
              <w:left w:val="nil"/>
              <w:right w:val="nil"/>
            </w:tcBorders>
          </w:tcPr>
          <w:p w:rsidR="006E0D76" w:rsidRPr="00040B4C" w:rsidRDefault="006E0D76" w:rsidP="00867FE2">
            <w:pPr>
              <w:ind w:left="72"/>
              <w:rPr>
                <w:sz w:val="20"/>
                <w:szCs w:val="20"/>
              </w:rPr>
            </w:pPr>
            <w:r w:rsidRPr="00AE2C04">
              <w:rPr>
                <w:sz w:val="20"/>
                <w:szCs w:val="20"/>
              </w:rPr>
              <w:t>The "Know Your Customer" policy should require the banks to collect enough data about customers, their financial goals, risk profiles and their financial portfolio to match offered products with their needs. The information collected (of which the customer should always receive a copy) should also be used in any complaint resolution or lawsuit to prove whether the product was sold properly and in line with the consumer's interest.</w:t>
            </w:r>
          </w:p>
        </w:tc>
        <w:tc>
          <w:tcPr>
            <w:tcW w:w="1276" w:type="dxa"/>
            <w:tcBorders>
              <w:left w:val="nil"/>
              <w:right w:val="nil"/>
            </w:tcBorders>
          </w:tcPr>
          <w:p w:rsidR="006E0D76" w:rsidRPr="00040B4C" w:rsidRDefault="00F00C93" w:rsidP="00867FE2">
            <w:pPr>
              <w:jc w:val="center"/>
              <w:rPr>
                <w:sz w:val="20"/>
                <w:szCs w:val="20"/>
              </w:rPr>
            </w:pPr>
            <w:r>
              <w:rPr>
                <w:sz w:val="20"/>
                <w:szCs w:val="20"/>
              </w:rPr>
              <w:t>CBA, industry associations</w:t>
            </w:r>
          </w:p>
        </w:tc>
        <w:tc>
          <w:tcPr>
            <w:tcW w:w="992" w:type="dxa"/>
            <w:tcBorders>
              <w:left w:val="nil"/>
              <w:right w:val="nil"/>
            </w:tcBorders>
          </w:tcPr>
          <w:p w:rsidR="006E0D76" w:rsidRPr="00040B4C" w:rsidRDefault="00F00C93" w:rsidP="00867FE2">
            <w:pPr>
              <w:jc w:val="center"/>
              <w:rPr>
                <w:sz w:val="20"/>
                <w:szCs w:val="20"/>
              </w:rPr>
            </w:pPr>
            <w:r>
              <w:rPr>
                <w:sz w:val="20"/>
                <w:szCs w:val="20"/>
              </w:rPr>
              <w:t>Medium</w:t>
            </w:r>
          </w:p>
        </w:tc>
        <w:tc>
          <w:tcPr>
            <w:tcW w:w="1307" w:type="dxa"/>
            <w:tcBorders>
              <w:left w:val="nil"/>
              <w:right w:val="nil"/>
            </w:tcBorders>
          </w:tcPr>
          <w:p w:rsidR="006E0D76" w:rsidRPr="00040B4C" w:rsidRDefault="00F00C93" w:rsidP="00867FE2">
            <w:pPr>
              <w:jc w:val="center"/>
              <w:rPr>
                <w:sz w:val="20"/>
                <w:szCs w:val="20"/>
              </w:rPr>
            </w:pPr>
            <w:r>
              <w:rPr>
                <w:sz w:val="20"/>
                <w:szCs w:val="20"/>
              </w:rPr>
              <w:t>CBA Regulation and updated supervision manuals, updated Codes of Conduct</w:t>
            </w:r>
          </w:p>
        </w:tc>
      </w:tr>
      <w:tr w:rsidR="00F00C93" w:rsidRPr="00040B4C" w:rsidTr="00F00C93">
        <w:tc>
          <w:tcPr>
            <w:tcW w:w="5245" w:type="dxa"/>
            <w:tcBorders>
              <w:left w:val="nil"/>
              <w:right w:val="nil"/>
            </w:tcBorders>
          </w:tcPr>
          <w:p w:rsidR="00F00C93" w:rsidRPr="00040B4C" w:rsidRDefault="00F00C93" w:rsidP="00867FE2">
            <w:pPr>
              <w:ind w:left="72"/>
              <w:rPr>
                <w:color w:val="000000"/>
                <w:sz w:val="20"/>
                <w:szCs w:val="20"/>
              </w:rPr>
            </w:pPr>
            <w:r>
              <w:rPr>
                <w:color w:val="000000"/>
                <w:sz w:val="20"/>
                <w:szCs w:val="20"/>
              </w:rPr>
              <w:t xml:space="preserve">Legally require financial institutions to offer only products that are suitable to consumer's needs (including rules for </w:t>
            </w:r>
            <w:r>
              <w:rPr>
                <w:color w:val="000000"/>
                <w:sz w:val="20"/>
                <w:szCs w:val="20"/>
              </w:rPr>
              <w:lastRenderedPageBreak/>
              <w:t xml:space="preserve">responsible lending), update supervisory manuals to verify this requirement during inspections. </w:t>
            </w:r>
          </w:p>
        </w:tc>
        <w:tc>
          <w:tcPr>
            <w:tcW w:w="1276" w:type="dxa"/>
            <w:tcBorders>
              <w:left w:val="nil"/>
              <w:right w:val="nil"/>
            </w:tcBorders>
          </w:tcPr>
          <w:p w:rsidR="00F00C93" w:rsidRPr="00040B4C" w:rsidRDefault="00F00C93" w:rsidP="00867FE2">
            <w:pPr>
              <w:jc w:val="center"/>
              <w:rPr>
                <w:sz w:val="20"/>
                <w:szCs w:val="20"/>
              </w:rPr>
            </w:pPr>
            <w:r>
              <w:rPr>
                <w:sz w:val="20"/>
                <w:szCs w:val="20"/>
              </w:rPr>
              <w:lastRenderedPageBreak/>
              <w:t xml:space="preserve">CBA, industry </w:t>
            </w:r>
            <w:r>
              <w:rPr>
                <w:sz w:val="20"/>
                <w:szCs w:val="20"/>
              </w:rPr>
              <w:lastRenderedPageBreak/>
              <w:t>associations</w:t>
            </w:r>
          </w:p>
        </w:tc>
        <w:tc>
          <w:tcPr>
            <w:tcW w:w="992" w:type="dxa"/>
            <w:tcBorders>
              <w:left w:val="nil"/>
              <w:right w:val="nil"/>
            </w:tcBorders>
          </w:tcPr>
          <w:p w:rsidR="00F00C93" w:rsidRPr="00040B4C" w:rsidRDefault="00F00C93" w:rsidP="00867FE2">
            <w:pPr>
              <w:jc w:val="center"/>
              <w:rPr>
                <w:sz w:val="20"/>
                <w:szCs w:val="20"/>
              </w:rPr>
            </w:pPr>
            <w:r>
              <w:rPr>
                <w:sz w:val="20"/>
                <w:szCs w:val="20"/>
              </w:rPr>
              <w:lastRenderedPageBreak/>
              <w:t>Medium</w:t>
            </w:r>
          </w:p>
        </w:tc>
        <w:tc>
          <w:tcPr>
            <w:tcW w:w="1307" w:type="dxa"/>
            <w:tcBorders>
              <w:left w:val="nil"/>
              <w:right w:val="nil"/>
            </w:tcBorders>
          </w:tcPr>
          <w:p w:rsidR="00F00C93" w:rsidRPr="00040B4C" w:rsidRDefault="00F00C93" w:rsidP="00867FE2">
            <w:pPr>
              <w:jc w:val="center"/>
              <w:rPr>
                <w:sz w:val="20"/>
                <w:szCs w:val="20"/>
              </w:rPr>
            </w:pPr>
            <w:r>
              <w:rPr>
                <w:sz w:val="20"/>
                <w:szCs w:val="20"/>
              </w:rPr>
              <w:t xml:space="preserve">CBA Regulation </w:t>
            </w:r>
            <w:r>
              <w:rPr>
                <w:sz w:val="20"/>
                <w:szCs w:val="20"/>
              </w:rPr>
              <w:lastRenderedPageBreak/>
              <w:t>and updated supervision manuals, updated Codes of Conduct</w:t>
            </w:r>
          </w:p>
        </w:tc>
      </w:tr>
      <w:tr w:rsidR="00F00C93" w:rsidRPr="00040B4C" w:rsidTr="00F00C93">
        <w:tc>
          <w:tcPr>
            <w:tcW w:w="5245" w:type="dxa"/>
            <w:tcBorders>
              <w:left w:val="nil"/>
              <w:right w:val="nil"/>
            </w:tcBorders>
          </w:tcPr>
          <w:p w:rsidR="00F00C93" w:rsidRPr="00040B4C" w:rsidRDefault="00F00C93" w:rsidP="00AE2C04">
            <w:pPr>
              <w:ind w:left="72"/>
              <w:rPr>
                <w:sz w:val="20"/>
                <w:szCs w:val="20"/>
              </w:rPr>
            </w:pPr>
            <w:r>
              <w:rPr>
                <w:sz w:val="20"/>
                <w:szCs w:val="20"/>
              </w:rPr>
              <w:lastRenderedPageBreak/>
              <w:t xml:space="preserve">Analyze the costs of tied and bundled products, verify fair pricing, allow clients to use their existing insurance policies with adequate cover and evaluate </w:t>
            </w:r>
            <w:r w:rsidRPr="00040B4C">
              <w:rPr>
                <w:sz w:val="20"/>
                <w:szCs w:val="20"/>
              </w:rPr>
              <w:t xml:space="preserve">specific circumstances in which </w:t>
            </w:r>
            <w:r>
              <w:rPr>
                <w:sz w:val="20"/>
                <w:szCs w:val="20"/>
              </w:rPr>
              <w:t>tying and bundling practices</w:t>
            </w:r>
            <w:r w:rsidRPr="00040B4C">
              <w:rPr>
                <w:sz w:val="20"/>
                <w:szCs w:val="20"/>
              </w:rPr>
              <w:t xml:space="preserve"> can be </w:t>
            </w:r>
            <w:r>
              <w:rPr>
                <w:sz w:val="20"/>
                <w:szCs w:val="20"/>
              </w:rPr>
              <w:t>permitted</w:t>
            </w:r>
            <w:r w:rsidRPr="00040B4C">
              <w:rPr>
                <w:sz w:val="20"/>
                <w:szCs w:val="20"/>
              </w:rPr>
              <w:t xml:space="preserve">. </w:t>
            </w:r>
          </w:p>
        </w:tc>
        <w:tc>
          <w:tcPr>
            <w:tcW w:w="1276" w:type="dxa"/>
            <w:tcBorders>
              <w:left w:val="nil"/>
              <w:right w:val="nil"/>
            </w:tcBorders>
          </w:tcPr>
          <w:p w:rsidR="00F00C93" w:rsidRPr="00040B4C" w:rsidRDefault="00F00C93" w:rsidP="00BF03E0">
            <w:pPr>
              <w:jc w:val="center"/>
              <w:rPr>
                <w:sz w:val="20"/>
                <w:szCs w:val="20"/>
              </w:rPr>
            </w:pPr>
            <w:r>
              <w:rPr>
                <w:sz w:val="20"/>
                <w:szCs w:val="20"/>
              </w:rPr>
              <w:t xml:space="preserve">CBA </w:t>
            </w:r>
          </w:p>
        </w:tc>
        <w:tc>
          <w:tcPr>
            <w:tcW w:w="992" w:type="dxa"/>
            <w:tcBorders>
              <w:left w:val="nil"/>
              <w:right w:val="nil"/>
            </w:tcBorders>
          </w:tcPr>
          <w:p w:rsidR="00F00C93" w:rsidRPr="00040B4C" w:rsidRDefault="00F00C93" w:rsidP="00802B34">
            <w:pPr>
              <w:jc w:val="center"/>
              <w:rPr>
                <w:sz w:val="20"/>
                <w:szCs w:val="20"/>
              </w:rPr>
            </w:pPr>
            <w:r w:rsidRPr="00040B4C">
              <w:rPr>
                <w:sz w:val="20"/>
                <w:szCs w:val="20"/>
              </w:rPr>
              <w:t xml:space="preserve">Medium </w:t>
            </w:r>
          </w:p>
        </w:tc>
        <w:tc>
          <w:tcPr>
            <w:tcW w:w="1307" w:type="dxa"/>
            <w:tcBorders>
              <w:left w:val="nil"/>
              <w:right w:val="nil"/>
            </w:tcBorders>
          </w:tcPr>
          <w:p w:rsidR="00F00C93" w:rsidRPr="00040B4C" w:rsidRDefault="00F00C93" w:rsidP="00F00C93">
            <w:pPr>
              <w:jc w:val="center"/>
              <w:rPr>
                <w:sz w:val="20"/>
                <w:szCs w:val="20"/>
              </w:rPr>
            </w:pPr>
            <w:r>
              <w:rPr>
                <w:sz w:val="20"/>
                <w:szCs w:val="20"/>
              </w:rPr>
              <w:t>Study, possible regulation</w:t>
            </w:r>
          </w:p>
        </w:tc>
      </w:tr>
      <w:tr w:rsidR="00F00C93" w:rsidRPr="00040B4C" w:rsidTr="00F00C93">
        <w:tc>
          <w:tcPr>
            <w:tcW w:w="5245" w:type="dxa"/>
            <w:tcBorders>
              <w:left w:val="nil"/>
              <w:right w:val="nil"/>
            </w:tcBorders>
          </w:tcPr>
          <w:p w:rsidR="00F00C93" w:rsidRPr="00040B4C" w:rsidRDefault="00F00C93" w:rsidP="00295D5F">
            <w:pPr>
              <w:ind w:left="72"/>
              <w:rPr>
                <w:color w:val="000000"/>
                <w:sz w:val="20"/>
                <w:szCs w:val="20"/>
              </w:rPr>
            </w:pPr>
            <w:r w:rsidRPr="00040B4C">
              <w:rPr>
                <w:color w:val="000000"/>
                <w:sz w:val="20"/>
                <w:szCs w:val="20"/>
              </w:rPr>
              <w:t>Allow for a cooling-off period during which new customers are allowed to revoke their contract without any penalty.</w:t>
            </w:r>
          </w:p>
        </w:tc>
        <w:tc>
          <w:tcPr>
            <w:tcW w:w="1276" w:type="dxa"/>
            <w:tcBorders>
              <w:left w:val="nil"/>
              <w:right w:val="nil"/>
            </w:tcBorders>
          </w:tcPr>
          <w:p w:rsidR="00F00C93" w:rsidRPr="00040B4C" w:rsidRDefault="00F00C93" w:rsidP="00390775">
            <w:pPr>
              <w:jc w:val="center"/>
              <w:rPr>
                <w:color w:val="000000"/>
                <w:sz w:val="20"/>
                <w:szCs w:val="20"/>
              </w:rPr>
            </w:pPr>
            <w:r>
              <w:rPr>
                <w:color w:val="000000"/>
                <w:sz w:val="20"/>
                <w:szCs w:val="20"/>
              </w:rPr>
              <w:t>CBA</w:t>
            </w:r>
          </w:p>
        </w:tc>
        <w:tc>
          <w:tcPr>
            <w:tcW w:w="992" w:type="dxa"/>
            <w:tcBorders>
              <w:left w:val="nil"/>
              <w:right w:val="nil"/>
            </w:tcBorders>
          </w:tcPr>
          <w:p w:rsidR="00F00C93" w:rsidRPr="00040B4C" w:rsidRDefault="00F00C93" w:rsidP="00295D5F">
            <w:pPr>
              <w:jc w:val="center"/>
              <w:rPr>
                <w:color w:val="000000"/>
                <w:sz w:val="20"/>
                <w:szCs w:val="20"/>
              </w:rPr>
            </w:pPr>
            <w:r w:rsidRPr="00040B4C">
              <w:rPr>
                <w:color w:val="000000"/>
                <w:sz w:val="20"/>
                <w:szCs w:val="20"/>
              </w:rPr>
              <w:t xml:space="preserve">Medium </w:t>
            </w:r>
          </w:p>
        </w:tc>
        <w:tc>
          <w:tcPr>
            <w:tcW w:w="1307" w:type="dxa"/>
            <w:tcBorders>
              <w:left w:val="nil"/>
              <w:right w:val="nil"/>
            </w:tcBorders>
          </w:tcPr>
          <w:p w:rsidR="00F00C93" w:rsidRPr="00040B4C" w:rsidRDefault="00F00C93" w:rsidP="00295D5F">
            <w:pPr>
              <w:jc w:val="center"/>
              <w:rPr>
                <w:color w:val="000000"/>
                <w:sz w:val="20"/>
                <w:szCs w:val="20"/>
              </w:rPr>
            </w:pPr>
            <w:r>
              <w:rPr>
                <w:sz w:val="20"/>
                <w:szCs w:val="20"/>
              </w:rPr>
              <w:t>Update of laws</w:t>
            </w:r>
          </w:p>
        </w:tc>
      </w:tr>
      <w:tr w:rsidR="00F00C93" w:rsidRPr="00040B4C" w:rsidTr="00F00C93">
        <w:tc>
          <w:tcPr>
            <w:tcW w:w="5245" w:type="dxa"/>
            <w:tcBorders>
              <w:left w:val="nil"/>
              <w:right w:val="nil"/>
            </w:tcBorders>
          </w:tcPr>
          <w:p w:rsidR="00F00C93" w:rsidRPr="00040B4C" w:rsidRDefault="00F00C93" w:rsidP="0017053D">
            <w:pPr>
              <w:ind w:left="72"/>
              <w:rPr>
                <w:color w:val="000000"/>
                <w:sz w:val="20"/>
                <w:szCs w:val="20"/>
              </w:rPr>
            </w:pPr>
            <w:r>
              <w:rPr>
                <w:color w:val="000000"/>
                <w:sz w:val="20"/>
                <w:szCs w:val="20"/>
              </w:rPr>
              <w:t>E</w:t>
            </w:r>
            <w:r w:rsidRPr="00040B4C">
              <w:rPr>
                <w:color w:val="000000"/>
                <w:sz w:val="20"/>
                <w:szCs w:val="20"/>
              </w:rPr>
              <w:t xml:space="preserve">stablish </w:t>
            </w:r>
            <w:r>
              <w:rPr>
                <w:color w:val="000000"/>
                <w:sz w:val="20"/>
                <w:szCs w:val="20"/>
              </w:rPr>
              <w:t xml:space="preserve">and verify </w:t>
            </w:r>
            <w:r w:rsidRPr="00040B4C">
              <w:rPr>
                <w:color w:val="000000"/>
                <w:sz w:val="20"/>
                <w:szCs w:val="20"/>
              </w:rPr>
              <w:t>minimum competency requirements for staff of financial institutions dealing with consumers.</w:t>
            </w:r>
          </w:p>
        </w:tc>
        <w:tc>
          <w:tcPr>
            <w:tcW w:w="1276" w:type="dxa"/>
            <w:tcBorders>
              <w:left w:val="nil"/>
              <w:right w:val="nil"/>
            </w:tcBorders>
          </w:tcPr>
          <w:p w:rsidR="00F00C93" w:rsidRPr="00040B4C" w:rsidRDefault="00F00C93" w:rsidP="00867FE2">
            <w:pPr>
              <w:jc w:val="center"/>
              <w:rPr>
                <w:sz w:val="20"/>
                <w:szCs w:val="20"/>
              </w:rPr>
            </w:pPr>
            <w:r>
              <w:rPr>
                <w:sz w:val="20"/>
                <w:szCs w:val="20"/>
              </w:rPr>
              <w:t>CBA, industry associations</w:t>
            </w:r>
          </w:p>
        </w:tc>
        <w:tc>
          <w:tcPr>
            <w:tcW w:w="992" w:type="dxa"/>
            <w:tcBorders>
              <w:left w:val="nil"/>
              <w:right w:val="nil"/>
            </w:tcBorders>
          </w:tcPr>
          <w:p w:rsidR="00F00C93" w:rsidRPr="00040B4C" w:rsidRDefault="00F00C93" w:rsidP="00867FE2">
            <w:pPr>
              <w:jc w:val="center"/>
              <w:rPr>
                <w:sz w:val="20"/>
                <w:szCs w:val="20"/>
              </w:rPr>
            </w:pPr>
            <w:r>
              <w:rPr>
                <w:sz w:val="20"/>
                <w:szCs w:val="20"/>
              </w:rPr>
              <w:t>Long</w:t>
            </w:r>
          </w:p>
        </w:tc>
        <w:tc>
          <w:tcPr>
            <w:tcW w:w="1307" w:type="dxa"/>
            <w:tcBorders>
              <w:left w:val="nil"/>
              <w:right w:val="nil"/>
            </w:tcBorders>
          </w:tcPr>
          <w:p w:rsidR="00F00C93" w:rsidRPr="00040B4C" w:rsidRDefault="00F00C93" w:rsidP="00F00C93">
            <w:pPr>
              <w:jc w:val="center"/>
              <w:rPr>
                <w:sz w:val="20"/>
                <w:szCs w:val="20"/>
              </w:rPr>
            </w:pPr>
            <w:r>
              <w:rPr>
                <w:sz w:val="20"/>
                <w:szCs w:val="20"/>
              </w:rPr>
              <w:t>CBA Regulation</w:t>
            </w:r>
          </w:p>
        </w:tc>
      </w:tr>
      <w:tr w:rsidR="00F00C93" w:rsidRPr="00040B4C" w:rsidTr="00F00C93">
        <w:tc>
          <w:tcPr>
            <w:tcW w:w="5245" w:type="dxa"/>
            <w:tcBorders>
              <w:left w:val="nil"/>
              <w:right w:val="nil"/>
            </w:tcBorders>
          </w:tcPr>
          <w:p w:rsidR="00F00C93" w:rsidRDefault="00F00C93" w:rsidP="00F8343E">
            <w:pPr>
              <w:ind w:left="72"/>
              <w:rPr>
                <w:color w:val="000000"/>
                <w:sz w:val="20"/>
                <w:szCs w:val="20"/>
              </w:rPr>
            </w:pPr>
            <w:r>
              <w:rPr>
                <w:color w:val="000000"/>
                <w:sz w:val="20"/>
                <w:szCs w:val="20"/>
              </w:rPr>
              <w:t xml:space="preserve">Customers should be notified in writing about changes in interest rate or other charges (except for variable interest rate products) at least two months in advance.  </w:t>
            </w:r>
          </w:p>
        </w:tc>
        <w:tc>
          <w:tcPr>
            <w:tcW w:w="1276" w:type="dxa"/>
            <w:tcBorders>
              <w:left w:val="nil"/>
              <w:right w:val="nil"/>
            </w:tcBorders>
          </w:tcPr>
          <w:p w:rsidR="00F00C93" w:rsidRPr="00040B4C" w:rsidRDefault="00F00C93" w:rsidP="001B1F8D">
            <w:pPr>
              <w:jc w:val="center"/>
              <w:rPr>
                <w:color w:val="000000"/>
                <w:sz w:val="20"/>
                <w:szCs w:val="20"/>
              </w:rPr>
            </w:pPr>
            <w:r>
              <w:rPr>
                <w:color w:val="000000"/>
                <w:sz w:val="20"/>
                <w:szCs w:val="20"/>
              </w:rPr>
              <w:t>CBA</w:t>
            </w:r>
          </w:p>
        </w:tc>
        <w:tc>
          <w:tcPr>
            <w:tcW w:w="992" w:type="dxa"/>
            <w:tcBorders>
              <w:left w:val="nil"/>
              <w:right w:val="nil"/>
            </w:tcBorders>
          </w:tcPr>
          <w:p w:rsidR="00F00C93" w:rsidRPr="00040B4C" w:rsidRDefault="00F00C93" w:rsidP="001B1F8D">
            <w:pPr>
              <w:jc w:val="center"/>
              <w:rPr>
                <w:color w:val="000000"/>
                <w:sz w:val="20"/>
                <w:szCs w:val="20"/>
              </w:rPr>
            </w:pPr>
            <w:r>
              <w:rPr>
                <w:color w:val="000000"/>
                <w:sz w:val="20"/>
                <w:szCs w:val="20"/>
              </w:rPr>
              <w:t>Medium</w:t>
            </w:r>
          </w:p>
        </w:tc>
        <w:tc>
          <w:tcPr>
            <w:tcW w:w="1307" w:type="dxa"/>
            <w:tcBorders>
              <w:left w:val="nil"/>
              <w:right w:val="nil"/>
            </w:tcBorders>
          </w:tcPr>
          <w:p w:rsidR="00F00C93" w:rsidRPr="00040B4C" w:rsidRDefault="00F00C93" w:rsidP="001B1F8D">
            <w:pPr>
              <w:jc w:val="center"/>
              <w:rPr>
                <w:color w:val="000000"/>
                <w:sz w:val="20"/>
                <w:szCs w:val="20"/>
              </w:rPr>
            </w:pPr>
            <w:r>
              <w:rPr>
                <w:sz w:val="20"/>
                <w:szCs w:val="20"/>
              </w:rPr>
              <w:t>CBA Regulation</w:t>
            </w:r>
          </w:p>
        </w:tc>
      </w:tr>
      <w:tr w:rsidR="00F00C93" w:rsidRPr="00040B4C" w:rsidTr="00F00C93">
        <w:tc>
          <w:tcPr>
            <w:tcW w:w="5245" w:type="dxa"/>
            <w:tcBorders>
              <w:left w:val="nil"/>
              <w:right w:val="nil"/>
            </w:tcBorders>
          </w:tcPr>
          <w:p w:rsidR="00F00C93" w:rsidRPr="00040B4C" w:rsidRDefault="00F00C93" w:rsidP="001B1F8D">
            <w:pPr>
              <w:ind w:left="72"/>
              <w:rPr>
                <w:color w:val="000000"/>
                <w:sz w:val="20"/>
                <w:szCs w:val="20"/>
              </w:rPr>
            </w:pPr>
            <w:r>
              <w:rPr>
                <w:color w:val="000000"/>
                <w:sz w:val="20"/>
                <w:szCs w:val="20"/>
              </w:rPr>
              <w:t xml:space="preserve">Provide consumers with the right to withdraw from a contract free of charge if interest rate or other charges are changed (except for variable interest rate products). </w:t>
            </w:r>
          </w:p>
        </w:tc>
        <w:tc>
          <w:tcPr>
            <w:tcW w:w="1276" w:type="dxa"/>
            <w:tcBorders>
              <w:left w:val="nil"/>
              <w:right w:val="nil"/>
            </w:tcBorders>
          </w:tcPr>
          <w:p w:rsidR="00F00C93" w:rsidRPr="00040B4C" w:rsidRDefault="00F00C93" w:rsidP="00867FE2">
            <w:pPr>
              <w:jc w:val="center"/>
              <w:rPr>
                <w:color w:val="000000"/>
                <w:sz w:val="20"/>
                <w:szCs w:val="20"/>
              </w:rPr>
            </w:pPr>
            <w:r>
              <w:rPr>
                <w:color w:val="000000"/>
                <w:sz w:val="20"/>
                <w:szCs w:val="20"/>
              </w:rPr>
              <w:t>CBA</w:t>
            </w:r>
          </w:p>
        </w:tc>
        <w:tc>
          <w:tcPr>
            <w:tcW w:w="992" w:type="dxa"/>
            <w:tcBorders>
              <w:left w:val="nil"/>
              <w:right w:val="nil"/>
            </w:tcBorders>
          </w:tcPr>
          <w:p w:rsidR="00F00C93" w:rsidRPr="00040B4C" w:rsidRDefault="00F00C93" w:rsidP="00867FE2">
            <w:pPr>
              <w:jc w:val="center"/>
              <w:rPr>
                <w:color w:val="000000"/>
                <w:sz w:val="20"/>
                <w:szCs w:val="20"/>
              </w:rPr>
            </w:pPr>
            <w:r>
              <w:rPr>
                <w:color w:val="000000"/>
                <w:sz w:val="20"/>
                <w:szCs w:val="20"/>
              </w:rPr>
              <w:t>Medium</w:t>
            </w:r>
          </w:p>
        </w:tc>
        <w:tc>
          <w:tcPr>
            <w:tcW w:w="1307" w:type="dxa"/>
            <w:tcBorders>
              <w:left w:val="nil"/>
              <w:right w:val="nil"/>
            </w:tcBorders>
          </w:tcPr>
          <w:p w:rsidR="00F00C93" w:rsidRPr="00040B4C" w:rsidRDefault="00F00C93" w:rsidP="00867FE2">
            <w:pPr>
              <w:jc w:val="center"/>
              <w:rPr>
                <w:color w:val="000000"/>
                <w:sz w:val="20"/>
                <w:szCs w:val="20"/>
              </w:rPr>
            </w:pPr>
            <w:r>
              <w:rPr>
                <w:sz w:val="20"/>
                <w:szCs w:val="20"/>
              </w:rPr>
              <w:t>Update of laws</w:t>
            </w:r>
          </w:p>
        </w:tc>
      </w:tr>
      <w:tr w:rsidR="00F00C93" w:rsidRPr="00040B4C" w:rsidTr="00F00C93">
        <w:tc>
          <w:tcPr>
            <w:tcW w:w="5245" w:type="dxa"/>
            <w:tcBorders>
              <w:left w:val="nil"/>
              <w:right w:val="nil"/>
            </w:tcBorders>
          </w:tcPr>
          <w:p w:rsidR="00F00C93" w:rsidRDefault="00F00C93" w:rsidP="001B1F8D">
            <w:pPr>
              <w:ind w:left="72"/>
              <w:rPr>
                <w:color w:val="000000"/>
                <w:sz w:val="20"/>
                <w:szCs w:val="20"/>
              </w:rPr>
            </w:pPr>
            <w:r>
              <w:rPr>
                <w:color w:val="000000"/>
                <w:sz w:val="20"/>
                <w:szCs w:val="20"/>
              </w:rPr>
              <w:t xml:space="preserve">Debt collection and foreclosure practices should be monitored and analyzed and in case of need regulated. </w:t>
            </w:r>
          </w:p>
        </w:tc>
        <w:tc>
          <w:tcPr>
            <w:tcW w:w="1276" w:type="dxa"/>
            <w:tcBorders>
              <w:left w:val="nil"/>
              <w:right w:val="nil"/>
            </w:tcBorders>
          </w:tcPr>
          <w:p w:rsidR="00F00C93" w:rsidRPr="00040B4C" w:rsidRDefault="00F00C93" w:rsidP="001B1F8D">
            <w:pPr>
              <w:jc w:val="center"/>
              <w:rPr>
                <w:color w:val="000000"/>
                <w:sz w:val="20"/>
                <w:szCs w:val="20"/>
              </w:rPr>
            </w:pPr>
            <w:r>
              <w:rPr>
                <w:color w:val="000000"/>
                <w:sz w:val="20"/>
                <w:szCs w:val="20"/>
              </w:rPr>
              <w:t>CBA, consumer NGOs</w:t>
            </w:r>
          </w:p>
        </w:tc>
        <w:tc>
          <w:tcPr>
            <w:tcW w:w="992" w:type="dxa"/>
            <w:tcBorders>
              <w:left w:val="nil"/>
              <w:right w:val="nil"/>
            </w:tcBorders>
          </w:tcPr>
          <w:p w:rsidR="00F00C93" w:rsidRPr="00040B4C" w:rsidRDefault="00F00C93" w:rsidP="001B1F8D">
            <w:pPr>
              <w:jc w:val="center"/>
              <w:rPr>
                <w:color w:val="000000"/>
                <w:sz w:val="20"/>
                <w:szCs w:val="20"/>
              </w:rPr>
            </w:pPr>
            <w:r>
              <w:rPr>
                <w:color w:val="000000"/>
                <w:sz w:val="20"/>
                <w:szCs w:val="20"/>
              </w:rPr>
              <w:t xml:space="preserve">Medium </w:t>
            </w:r>
          </w:p>
        </w:tc>
        <w:tc>
          <w:tcPr>
            <w:tcW w:w="1307" w:type="dxa"/>
            <w:tcBorders>
              <w:left w:val="nil"/>
              <w:right w:val="nil"/>
            </w:tcBorders>
          </w:tcPr>
          <w:p w:rsidR="00F00C93" w:rsidRPr="00040B4C" w:rsidRDefault="00F00C93" w:rsidP="001B1F8D">
            <w:pPr>
              <w:jc w:val="center"/>
              <w:rPr>
                <w:color w:val="000000"/>
                <w:sz w:val="20"/>
                <w:szCs w:val="20"/>
              </w:rPr>
            </w:pPr>
            <w:r>
              <w:rPr>
                <w:color w:val="000000"/>
                <w:sz w:val="20"/>
                <w:szCs w:val="20"/>
              </w:rPr>
              <w:t>Analysis, possibly new law</w:t>
            </w:r>
          </w:p>
        </w:tc>
      </w:tr>
      <w:tr w:rsidR="00F00C93" w:rsidRPr="00040B4C" w:rsidTr="00F00C93">
        <w:tc>
          <w:tcPr>
            <w:tcW w:w="5245" w:type="dxa"/>
            <w:tcBorders>
              <w:left w:val="nil"/>
              <w:right w:val="nil"/>
            </w:tcBorders>
          </w:tcPr>
          <w:p w:rsidR="00F00C93" w:rsidRDefault="00F00C93" w:rsidP="00C55E7A">
            <w:pPr>
              <w:ind w:left="72"/>
              <w:rPr>
                <w:color w:val="000000"/>
                <w:sz w:val="20"/>
                <w:szCs w:val="20"/>
              </w:rPr>
            </w:pPr>
            <w:r>
              <w:rPr>
                <w:color w:val="000000"/>
                <w:sz w:val="20"/>
                <w:szCs w:val="20"/>
              </w:rPr>
              <w:t>T</w:t>
            </w:r>
            <w:r w:rsidRPr="00C55E7A">
              <w:rPr>
                <w:color w:val="000000"/>
                <w:sz w:val="20"/>
                <w:szCs w:val="20"/>
              </w:rPr>
              <w:t>he sharing of information within a financial conglomerate and the consumer’s right to opt in or out</w:t>
            </w:r>
            <w:r>
              <w:rPr>
                <w:color w:val="000000"/>
                <w:sz w:val="20"/>
                <w:szCs w:val="20"/>
              </w:rPr>
              <w:t xml:space="preserve"> should be regulated</w:t>
            </w:r>
            <w:r w:rsidRPr="00C55E7A">
              <w:rPr>
                <w:color w:val="000000"/>
                <w:sz w:val="20"/>
                <w:szCs w:val="20"/>
              </w:rPr>
              <w:t>.</w:t>
            </w:r>
          </w:p>
        </w:tc>
        <w:tc>
          <w:tcPr>
            <w:tcW w:w="1276" w:type="dxa"/>
            <w:tcBorders>
              <w:left w:val="nil"/>
              <w:right w:val="nil"/>
            </w:tcBorders>
          </w:tcPr>
          <w:p w:rsidR="00F00C93" w:rsidRPr="00040B4C" w:rsidRDefault="00F00C93" w:rsidP="00867FE2">
            <w:pPr>
              <w:jc w:val="center"/>
              <w:rPr>
                <w:color w:val="000000"/>
                <w:sz w:val="20"/>
                <w:szCs w:val="20"/>
              </w:rPr>
            </w:pPr>
            <w:r>
              <w:rPr>
                <w:color w:val="000000"/>
                <w:sz w:val="20"/>
                <w:szCs w:val="20"/>
              </w:rPr>
              <w:t>CBA</w:t>
            </w:r>
          </w:p>
        </w:tc>
        <w:tc>
          <w:tcPr>
            <w:tcW w:w="992" w:type="dxa"/>
            <w:tcBorders>
              <w:left w:val="nil"/>
              <w:right w:val="nil"/>
            </w:tcBorders>
          </w:tcPr>
          <w:p w:rsidR="00F00C93" w:rsidRPr="00040B4C" w:rsidRDefault="00F00C93" w:rsidP="00867FE2">
            <w:pPr>
              <w:jc w:val="center"/>
              <w:rPr>
                <w:color w:val="000000"/>
                <w:sz w:val="20"/>
                <w:szCs w:val="20"/>
              </w:rPr>
            </w:pPr>
            <w:r>
              <w:rPr>
                <w:color w:val="000000"/>
                <w:sz w:val="20"/>
                <w:szCs w:val="20"/>
              </w:rPr>
              <w:t>Medium</w:t>
            </w:r>
          </w:p>
        </w:tc>
        <w:tc>
          <w:tcPr>
            <w:tcW w:w="1307" w:type="dxa"/>
            <w:tcBorders>
              <w:left w:val="nil"/>
              <w:right w:val="nil"/>
            </w:tcBorders>
          </w:tcPr>
          <w:p w:rsidR="00F00C93" w:rsidRPr="00040B4C" w:rsidRDefault="00F00C93" w:rsidP="00867FE2">
            <w:pPr>
              <w:jc w:val="center"/>
              <w:rPr>
                <w:color w:val="000000"/>
                <w:sz w:val="20"/>
                <w:szCs w:val="20"/>
              </w:rPr>
            </w:pPr>
            <w:r>
              <w:rPr>
                <w:sz w:val="20"/>
                <w:szCs w:val="20"/>
              </w:rPr>
              <w:t>Update of laws</w:t>
            </w:r>
          </w:p>
        </w:tc>
      </w:tr>
      <w:tr w:rsidR="00F00C93" w:rsidRPr="00040B4C" w:rsidTr="00F00C93">
        <w:tc>
          <w:tcPr>
            <w:tcW w:w="5245" w:type="dxa"/>
            <w:tcBorders>
              <w:left w:val="nil"/>
              <w:right w:val="nil"/>
            </w:tcBorders>
          </w:tcPr>
          <w:p w:rsidR="00F00C93" w:rsidRDefault="00F00C93" w:rsidP="001B1F8D">
            <w:pPr>
              <w:ind w:left="72"/>
              <w:rPr>
                <w:color w:val="000000"/>
                <w:sz w:val="20"/>
                <w:szCs w:val="20"/>
              </w:rPr>
            </w:pPr>
            <w:r>
              <w:rPr>
                <w:color w:val="000000"/>
                <w:sz w:val="20"/>
                <w:szCs w:val="20"/>
              </w:rPr>
              <w:t xml:space="preserve">Rules of the EU Directive on Distance Sales should be implemented to cover the sale of all financial products. </w:t>
            </w:r>
          </w:p>
        </w:tc>
        <w:tc>
          <w:tcPr>
            <w:tcW w:w="1276" w:type="dxa"/>
            <w:tcBorders>
              <w:left w:val="nil"/>
              <w:right w:val="nil"/>
            </w:tcBorders>
          </w:tcPr>
          <w:p w:rsidR="00F00C93" w:rsidRPr="00040B4C" w:rsidRDefault="00F00C93" w:rsidP="00867FE2">
            <w:pPr>
              <w:jc w:val="center"/>
              <w:rPr>
                <w:color w:val="000000"/>
                <w:sz w:val="20"/>
                <w:szCs w:val="20"/>
              </w:rPr>
            </w:pPr>
            <w:r>
              <w:rPr>
                <w:color w:val="000000"/>
                <w:sz w:val="20"/>
                <w:szCs w:val="20"/>
              </w:rPr>
              <w:t>CBA</w:t>
            </w:r>
          </w:p>
        </w:tc>
        <w:tc>
          <w:tcPr>
            <w:tcW w:w="992" w:type="dxa"/>
            <w:tcBorders>
              <w:left w:val="nil"/>
              <w:right w:val="nil"/>
            </w:tcBorders>
          </w:tcPr>
          <w:p w:rsidR="00F00C93" w:rsidRPr="00040B4C" w:rsidRDefault="00F00C93" w:rsidP="00867FE2">
            <w:pPr>
              <w:jc w:val="center"/>
              <w:rPr>
                <w:color w:val="000000"/>
                <w:sz w:val="20"/>
                <w:szCs w:val="20"/>
              </w:rPr>
            </w:pPr>
            <w:r>
              <w:rPr>
                <w:color w:val="000000"/>
                <w:sz w:val="20"/>
                <w:szCs w:val="20"/>
              </w:rPr>
              <w:t>Long</w:t>
            </w:r>
          </w:p>
        </w:tc>
        <w:tc>
          <w:tcPr>
            <w:tcW w:w="1307" w:type="dxa"/>
            <w:tcBorders>
              <w:left w:val="nil"/>
              <w:right w:val="nil"/>
            </w:tcBorders>
          </w:tcPr>
          <w:p w:rsidR="00F00C93" w:rsidRPr="00040B4C" w:rsidRDefault="00F00C93" w:rsidP="00867FE2">
            <w:pPr>
              <w:jc w:val="center"/>
              <w:rPr>
                <w:color w:val="000000"/>
                <w:sz w:val="20"/>
                <w:szCs w:val="20"/>
              </w:rPr>
            </w:pPr>
            <w:r>
              <w:rPr>
                <w:sz w:val="20"/>
                <w:szCs w:val="20"/>
              </w:rPr>
              <w:t>Update of laws</w:t>
            </w:r>
          </w:p>
        </w:tc>
      </w:tr>
      <w:tr w:rsidR="00F00C93" w:rsidRPr="00040B4C" w:rsidTr="00F00C93">
        <w:tc>
          <w:tcPr>
            <w:tcW w:w="5245" w:type="dxa"/>
            <w:tcBorders>
              <w:left w:val="nil"/>
              <w:right w:val="nil"/>
            </w:tcBorders>
          </w:tcPr>
          <w:p w:rsidR="00F00C93" w:rsidRPr="00040B4C" w:rsidRDefault="00F00C93" w:rsidP="00867FE2">
            <w:pPr>
              <w:rPr>
                <w:i/>
                <w:sz w:val="20"/>
                <w:szCs w:val="20"/>
              </w:rPr>
            </w:pPr>
            <w:r>
              <w:rPr>
                <w:i/>
                <w:sz w:val="20"/>
                <w:szCs w:val="20"/>
              </w:rPr>
              <w:t>Capital Markets</w:t>
            </w:r>
            <w:r w:rsidRPr="00040B4C">
              <w:rPr>
                <w:i/>
                <w:sz w:val="20"/>
                <w:szCs w:val="20"/>
              </w:rPr>
              <w:t xml:space="preserve"> Sector</w:t>
            </w:r>
          </w:p>
          <w:p w:rsidR="00F00C93" w:rsidRPr="007920EA" w:rsidRDefault="00F00C93" w:rsidP="00867FE2">
            <w:pPr>
              <w:numPr>
                <w:ilvl w:val="0"/>
                <w:numId w:val="35"/>
              </w:numPr>
              <w:tabs>
                <w:tab w:val="clear" w:pos="0"/>
              </w:tabs>
              <w:ind w:left="252" w:hanging="252"/>
              <w:rPr>
                <w:sz w:val="20"/>
                <w:szCs w:val="20"/>
              </w:rPr>
            </w:pPr>
            <w:r w:rsidRPr="008569E0">
              <w:rPr>
                <w:sz w:val="18"/>
                <w:szCs w:val="18"/>
              </w:rPr>
              <w:t xml:space="preserve">The civil liabilities section of the LSM needs to be broadened to include oral misrepresentations. </w:t>
            </w:r>
          </w:p>
          <w:p w:rsidR="00F00C93" w:rsidRPr="007920EA" w:rsidRDefault="00F00C93" w:rsidP="00867FE2">
            <w:pPr>
              <w:numPr>
                <w:ilvl w:val="0"/>
                <w:numId w:val="35"/>
              </w:numPr>
              <w:tabs>
                <w:tab w:val="clear" w:pos="0"/>
              </w:tabs>
              <w:ind w:left="252" w:hanging="252"/>
              <w:rPr>
                <w:sz w:val="20"/>
                <w:szCs w:val="20"/>
              </w:rPr>
            </w:pPr>
            <w:r>
              <w:rPr>
                <w:sz w:val="18"/>
                <w:szCs w:val="18"/>
              </w:rPr>
              <w:t>T</w:t>
            </w:r>
            <w:r w:rsidRPr="008569E0">
              <w:rPr>
                <w:sz w:val="18"/>
                <w:szCs w:val="18"/>
              </w:rPr>
              <w:t>he failure to provide to a customer the information required by the LSM and relevant regulations</w:t>
            </w:r>
            <w:r>
              <w:rPr>
                <w:sz w:val="18"/>
                <w:szCs w:val="18"/>
              </w:rPr>
              <w:t xml:space="preserve"> should form a liability under LSM</w:t>
            </w:r>
            <w:r w:rsidRPr="008569E0">
              <w:rPr>
                <w:sz w:val="18"/>
                <w:szCs w:val="18"/>
              </w:rPr>
              <w:t>.</w:t>
            </w:r>
          </w:p>
          <w:p w:rsidR="00F00C93" w:rsidRDefault="00F00C93" w:rsidP="00867FE2">
            <w:pPr>
              <w:numPr>
                <w:ilvl w:val="0"/>
                <w:numId w:val="35"/>
              </w:numPr>
              <w:tabs>
                <w:tab w:val="clear" w:pos="0"/>
              </w:tabs>
              <w:ind w:left="252" w:hanging="252"/>
              <w:rPr>
                <w:sz w:val="20"/>
                <w:szCs w:val="20"/>
              </w:rPr>
            </w:pPr>
            <w:r>
              <w:rPr>
                <w:sz w:val="20"/>
                <w:szCs w:val="20"/>
              </w:rPr>
              <w:t xml:space="preserve">Regulation 8/03 should apply also to CIUs. </w:t>
            </w:r>
          </w:p>
          <w:p w:rsidR="00F00C93" w:rsidRDefault="00F00C93" w:rsidP="00867FE2">
            <w:pPr>
              <w:numPr>
                <w:ilvl w:val="0"/>
                <w:numId w:val="35"/>
              </w:numPr>
              <w:tabs>
                <w:tab w:val="clear" w:pos="0"/>
              </w:tabs>
              <w:ind w:left="252" w:hanging="252"/>
              <w:rPr>
                <w:sz w:val="20"/>
                <w:szCs w:val="20"/>
              </w:rPr>
            </w:pPr>
            <w:r w:rsidRPr="007920EA">
              <w:rPr>
                <w:sz w:val="20"/>
                <w:szCs w:val="20"/>
              </w:rPr>
              <w:t xml:space="preserve">CIUs that sell directly to customers should engage in a KYC </w:t>
            </w:r>
            <w:r>
              <w:rPr>
                <w:sz w:val="20"/>
                <w:szCs w:val="20"/>
              </w:rPr>
              <w:t xml:space="preserve">and suitability </w:t>
            </w:r>
            <w:r w:rsidRPr="007920EA">
              <w:rPr>
                <w:sz w:val="20"/>
                <w:szCs w:val="20"/>
              </w:rPr>
              <w:t>evaluation of its customers.</w:t>
            </w:r>
          </w:p>
          <w:p w:rsidR="00F00C93" w:rsidRDefault="00F00C93" w:rsidP="007920EA">
            <w:pPr>
              <w:numPr>
                <w:ilvl w:val="0"/>
                <w:numId w:val="35"/>
              </w:numPr>
              <w:tabs>
                <w:tab w:val="clear" w:pos="0"/>
              </w:tabs>
              <w:ind w:left="252" w:hanging="252"/>
              <w:rPr>
                <w:sz w:val="20"/>
                <w:szCs w:val="20"/>
              </w:rPr>
            </w:pPr>
            <w:r>
              <w:rPr>
                <w:sz w:val="20"/>
                <w:szCs w:val="20"/>
              </w:rPr>
              <w:t xml:space="preserve">LSM and Regulation 8/03 </w:t>
            </w:r>
            <w:r w:rsidRPr="007920EA">
              <w:rPr>
                <w:sz w:val="20"/>
                <w:szCs w:val="20"/>
              </w:rPr>
              <w:t>should be modified to require disclosure by investment service providers and CIUs of all entities that can have an impact on an investor’s account and any specific conflicts of interest that exist and how they are being handled.</w:t>
            </w:r>
          </w:p>
          <w:p w:rsidR="00F00C93" w:rsidRDefault="00F00C93" w:rsidP="00045AF8">
            <w:pPr>
              <w:numPr>
                <w:ilvl w:val="0"/>
                <w:numId w:val="35"/>
              </w:numPr>
              <w:tabs>
                <w:tab w:val="clear" w:pos="0"/>
              </w:tabs>
              <w:ind w:left="252" w:hanging="252"/>
              <w:rPr>
                <w:sz w:val="20"/>
                <w:szCs w:val="20"/>
              </w:rPr>
            </w:pPr>
            <w:r w:rsidRPr="00045AF8">
              <w:rPr>
                <w:sz w:val="20"/>
                <w:szCs w:val="20"/>
              </w:rPr>
              <w:t xml:space="preserve">The books and records regulation should contain more specificity as to the records that are to be maintained, including the advice given to and communications with the clients. </w:t>
            </w:r>
            <w:r>
              <w:rPr>
                <w:sz w:val="20"/>
                <w:szCs w:val="20"/>
              </w:rPr>
              <w:t xml:space="preserve">It should also </w:t>
            </w:r>
            <w:r w:rsidRPr="00045AF8">
              <w:rPr>
                <w:sz w:val="20"/>
                <w:szCs w:val="20"/>
              </w:rPr>
              <w:t>include the books and records of an investment fund.</w:t>
            </w:r>
          </w:p>
          <w:p w:rsidR="00F00C93" w:rsidRPr="00040B4C" w:rsidRDefault="00F00C93" w:rsidP="00045AF8">
            <w:pPr>
              <w:numPr>
                <w:ilvl w:val="0"/>
                <w:numId w:val="35"/>
              </w:numPr>
              <w:tabs>
                <w:tab w:val="clear" w:pos="0"/>
              </w:tabs>
              <w:ind w:left="252" w:hanging="252"/>
              <w:rPr>
                <w:sz w:val="20"/>
                <w:szCs w:val="20"/>
              </w:rPr>
            </w:pPr>
            <w:r w:rsidRPr="008B09E8">
              <w:rPr>
                <w:sz w:val="20"/>
                <w:szCs w:val="20"/>
              </w:rPr>
              <w:t>The LSM should be amended to remove the technical and administrative insufficiencies exception in LSM Article 215 point 3. Civil liabilities for breach of the confidentiality provisions should be put into the LIF.</w:t>
            </w:r>
          </w:p>
        </w:tc>
        <w:tc>
          <w:tcPr>
            <w:tcW w:w="1276" w:type="dxa"/>
            <w:tcBorders>
              <w:left w:val="nil"/>
              <w:right w:val="nil"/>
            </w:tcBorders>
          </w:tcPr>
          <w:p w:rsidR="00F00C93" w:rsidRDefault="00F00C93" w:rsidP="00867FE2">
            <w:pPr>
              <w:jc w:val="center"/>
              <w:rPr>
                <w:sz w:val="20"/>
                <w:szCs w:val="20"/>
              </w:rPr>
            </w:pPr>
          </w:p>
          <w:p w:rsidR="00F00C93" w:rsidRDefault="00F00C93" w:rsidP="00867FE2">
            <w:pPr>
              <w:jc w:val="center"/>
              <w:rPr>
                <w:sz w:val="20"/>
                <w:szCs w:val="20"/>
              </w:rPr>
            </w:pPr>
            <w:r>
              <w:rPr>
                <w:sz w:val="20"/>
                <w:szCs w:val="20"/>
              </w:rPr>
              <w:t>CBA</w:t>
            </w:r>
          </w:p>
          <w:p w:rsidR="00F00C93" w:rsidRDefault="00F00C93" w:rsidP="00867FE2">
            <w:pPr>
              <w:jc w:val="center"/>
              <w:rPr>
                <w:sz w:val="20"/>
                <w:szCs w:val="20"/>
              </w:rPr>
            </w:pPr>
          </w:p>
          <w:p w:rsidR="00F00C93" w:rsidRDefault="00F00C93" w:rsidP="00867FE2">
            <w:pPr>
              <w:jc w:val="center"/>
              <w:rPr>
                <w:sz w:val="20"/>
                <w:szCs w:val="20"/>
              </w:rPr>
            </w:pPr>
            <w:r>
              <w:rPr>
                <w:sz w:val="20"/>
                <w:szCs w:val="20"/>
              </w:rPr>
              <w:t>CBA</w:t>
            </w:r>
          </w:p>
          <w:p w:rsidR="00F00C93" w:rsidRDefault="00F00C93" w:rsidP="00867FE2">
            <w:pPr>
              <w:jc w:val="center"/>
              <w:rPr>
                <w:sz w:val="20"/>
                <w:szCs w:val="20"/>
              </w:rPr>
            </w:pPr>
          </w:p>
          <w:p w:rsidR="00F00C93" w:rsidRDefault="00F00C93" w:rsidP="00867FE2">
            <w:pPr>
              <w:jc w:val="center"/>
              <w:rPr>
                <w:sz w:val="20"/>
                <w:szCs w:val="20"/>
              </w:rPr>
            </w:pPr>
          </w:p>
          <w:p w:rsidR="00F00C93" w:rsidRDefault="00F00C93" w:rsidP="00F00C93">
            <w:pPr>
              <w:jc w:val="center"/>
              <w:rPr>
                <w:sz w:val="20"/>
                <w:szCs w:val="20"/>
              </w:rPr>
            </w:pPr>
            <w:r>
              <w:rPr>
                <w:sz w:val="20"/>
                <w:szCs w:val="20"/>
              </w:rPr>
              <w:t>CBA</w:t>
            </w:r>
          </w:p>
          <w:p w:rsidR="00F00C93" w:rsidRDefault="00F00C93" w:rsidP="00867FE2">
            <w:pPr>
              <w:jc w:val="center"/>
              <w:rPr>
                <w:sz w:val="20"/>
                <w:szCs w:val="20"/>
              </w:rPr>
            </w:pPr>
          </w:p>
          <w:p w:rsidR="00F00C93" w:rsidRDefault="00F00C93" w:rsidP="00F00C93">
            <w:pPr>
              <w:jc w:val="center"/>
              <w:rPr>
                <w:sz w:val="20"/>
                <w:szCs w:val="20"/>
              </w:rPr>
            </w:pPr>
            <w:r>
              <w:rPr>
                <w:sz w:val="20"/>
                <w:szCs w:val="20"/>
              </w:rPr>
              <w:t>CBA</w:t>
            </w:r>
          </w:p>
          <w:p w:rsidR="00F00C93" w:rsidRDefault="00F00C93" w:rsidP="00867FE2">
            <w:pPr>
              <w:jc w:val="center"/>
              <w:rPr>
                <w:sz w:val="20"/>
                <w:szCs w:val="20"/>
              </w:rPr>
            </w:pPr>
          </w:p>
          <w:p w:rsidR="00F00C93" w:rsidRDefault="00F00C93" w:rsidP="00F00C93">
            <w:pPr>
              <w:jc w:val="center"/>
              <w:rPr>
                <w:sz w:val="20"/>
                <w:szCs w:val="20"/>
              </w:rPr>
            </w:pPr>
            <w:r>
              <w:rPr>
                <w:sz w:val="20"/>
                <w:szCs w:val="20"/>
              </w:rPr>
              <w:t>CBA</w:t>
            </w:r>
          </w:p>
          <w:p w:rsidR="00F00C93" w:rsidRDefault="00F00C93" w:rsidP="00867FE2">
            <w:pPr>
              <w:jc w:val="center"/>
              <w:rPr>
                <w:sz w:val="20"/>
                <w:szCs w:val="20"/>
              </w:rPr>
            </w:pPr>
          </w:p>
          <w:p w:rsidR="00F00C93" w:rsidRDefault="00F00C93" w:rsidP="00867FE2">
            <w:pPr>
              <w:jc w:val="center"/>
              <w:rPr>
                <w:sz w:val="20"/>
                <w:szCs w:val="20"/>
              </w:rPr>
            </w:pPr>
          </w:p>
          <w:p w:rsidR="00F00C93" w:rsidRDefault="00F00C93" w:rsidP="00867FE2">
            <w:pPr>
              <w:jc w:val="center"/>
              <w:rPr>
                <w:sz w:val="20"/>
                <w:szCs w:val="20"/>
              </w:rPr>
            </w:pPr>
          </w:p>
          <w:p w:rsidR="00F00C93" w:rsidRDefault="00F00C93" w:rsidP="00867FE2">
            <w:pPr>
              <w:jc w:val="center"/>
              <w:rPr>
                <w:sz w:val="20"/>
                <w:szCs w:val="20"/>
              </w:rPr>
            </w:pPr>
          </w:p>
          <w:p w:rsidR="00F00C93" w:rsidRDefault="00F00C93" w:rsidP="00F00C93">
            <w:pPr>
              <w:jc w:val="center"/>
              <w:rPr>
                <w:sz w:val="20"/>
                <w:szCs w:val="20"/>
              </w:rPr>
            </w:pPr>
            <w:r>
              <w:rPr>
                <w:sz w:val="20"/>
                <w:szCs w:val="20"/>
              </w:rPr>
              <w:t>CBA</w:t>
            </w:r>
          </w:p>
          <w:p w:rsidR="00F00C93" w:rsidRDefault="00F00C93" w:rsidP="00867FE2">
            <w:pPr>
              <w:jc w:val="center"/>
              <w:rPr>
                <w:sz w:val="20"/>
                <w:szCs w:val="20"/>
              </w:rPr>
            </w:pPr>
          </w:p>
          <w:p w:rsidR="00F00C93" w:rsidRDefault="00F00C93" w:rsidP="00867FE2">
            <w:pPr>
              <w:jc w:val="center"/>
              <w:rPr>
                <w:sz w:val="20"/>
                <w:szCs w:val="20"/>
              </w:rPr>
            </w:pPr>
          </w:p>
          <w:p w:rsidR="00F00C93" w:rsidRDefault="00F00C93" w:rsidP="00867FE2">
            <w:pPr>
              <w:jc w:val="center"/>
              <w:rPr>
                <w:sz w:val="20"/>
                <w:szCs w:val="20"/>
              </w:rPr>
            </w:pPr>
          </w:p>
          <w:p w:rsidR="00F00C93" w:rsidRDefault="00F00C93" w:rsidP="00867FE2">
            <w:pPr>
              <w:jc w:val="center"/>
              <w:rPr>
                <w:sz w:val="20"/>
                <w:szCs w:val="20"/>
              </w:rPr>
            </w:pPr>
          </w:p>
          <w:p w:rsidR="00F00C93" w:rsidRDefault="00F00C93" w:rsidP="00F00C93">
            <w:pPr>
              <w:jc w:val="center"/>
              <w:rPr>
                <w:sz w:val="20"/>
                <w:szCs w:val="20"/>
              </w:rPr>
            </w:pPr>
            <w:r>
              <w:rPr>
                <w:sz w:val="20"/>
                <w:szCs w:val="20"/>
              </w:rPr>
              <w:t>CBA</w:t>
            </w:r>
          </w:p>
          <w:p w:rsidR="00F00C93" w:rsidRPr="00040B4C" w:rsidRDefault="00F00C93" w:rsidP="00867FE2">
            <w:pPr>
              <w:jc w:val="center"/>
              <w:rPr>
                <w:sz w:val="20"/>
                <w:szCs w:val="20"/>
              </w:rPr>
            </w:pPr>
          </w:p>
        </w:tc>
        <w:tc>
          <w:tcPr>
            <w:tcW w:w="992" w:type="dxa"/>
            <w:tcBorders>
              <w:left w:val="nil"/>
              <w:right w:val="nil"/>
            </w:tcBorders>
          </w:tcPr>
          <w:p w:rsidR="00F00C93" w:rsidRDefault="00F00C93" w:rsidP="00867FE2">
            <w:pPr>
              <w:jc w:val="center"/>
              <w:rPr>
                <w:sz w:val="20"/>
                <w:szCs w:val="20"/>
              </w:rPr>
            </w:pPr>
          </w:p>
          <w:p w:rsidR="00F00C93" w:rsidRDefault="00F00C93" w:rsidP="00867FE2">
            <w:pPr>
              <w:jc w:val="center"/>
              <w:rPr>
                <w:sz w:val="20"/>
                <w:szCs w:val="20"/>
              </w:rPr>
            </w:pPr>
            <w:r>
              <w:rPr>
                <w:sz w:val="20"/>
                <w:szCs w:val="20"/>
              </w:rPr>
              <w:t>Short</w:t>
            </w:r>
          </w:p>
          <w:p w:rsidR="00E64A31" w:rsidRDefault="00E64A31" w:rsidP="00867FE2">
            <w:pPr>
              <w:jc w:val="center"/>
              <w:rPr>
                <w:sz w:val="20"/>
                <w:szCs w:val="20"/>
              </w:rPr>
            </w:pPr>
          </w:p>
          <w:p w:rsidR="00E64A31" w:rsidRDefault="00E64A31" w:rsidP="00867FE2">
            <w:pPr>
              <w:jc w:val="center"/>
              <w:rPr>
                <w:sz w:val="20"/>
                <w:szCs w:val="20"/>
              </w:rPr>
            </w:pPr>
            <w:r>
              <w:rPr>
                <w:sz w:val="20"/>
                <w:szCs w:val="20"/>
              </w:rPr>
              <w:t>Short</w:t>
            </w:r>
          </w:p>
          <w:p w:rsidR="00E64A31" w:rsidRDefault="00E64A31" w:rsidP="00867FE2">
            <w:pPr>
              <w:jc w:val="center"/>
              <w:rPr>
                <w:sz w:val="20"/>
                <w:szCs w:val="20"/>
              </w:rPr>
            </w:pPr>
          </w:p>
          <w:p w:rsidR="00E64A31" w:rsidRDefault="00E64A31" w:rsidP="00867FE2">
            <w:pPr>
              <w:jc w:val="center"/>
              <w:rPr>
                <w:sz w:val="20"/>
                <w:szCs w:val="20"/>
              </w:rPr>
            </w:pPr>
          </w:p>
          <w:p w:rsidR="00E64A31" w:rsidRDefault="00E64A31" w:rsidP="00867FE2">
            <w:pPr>
              <w:jc w:val="center"/>
              <w:rPr>
                <w:sz w:val="20"/>
                <w:szCs w:val="20"/>
              </w:rPr>
            </w:pPr>
            <w:r>
              <w:rPr>
                <w:sz w:val="20"/>
                <w:szCs w:val="20"/>
              </w:rPr>
              <w:t>Short</w:t>
            </w:r>
          </w:p>
          <w:p w:rsidR="00E64A31" w:rsidRDefault="00E64A31" w:rsidP="00867FE2">
            <w:pPr>
              <w:jc w:val="center"/>
              <w:rPr>
                <w:sz w:val="20"/>
                <w:szCs w:val="20"/>
              </w:rPr>
            </w:pPr>
          </w:p>
          <w:p w:rsidR="00E64A31" w:rsidRDefault="00E64A31" w:rsidP="00E64A31">
            <w:pPr>
              <w:rPr>
                <w:sz w:val="20"/>
                <w:szCs w:val="20"/>
              </w:rPr>
            </w:pPr>
            <w:r>
              <w:rPr>
                <w:sz w:val="20"/>
                <w:szCs w:val="20"/>
              </w:rPr>
              <w:t xml:space="preserve">Medium </w:t>
            </w:r>
          </w:p>
          <w:p w:rsidR="00E64A31" w:rsidRDefault="00E64A31" w:rsidP="00E64A31">
            <w:pPr>
              <w:rPr>
                <w:sz w:val="20"/>
                <w:szCs w:val="20"/>
              </w:rPr>
            </w:pPr>
          </w:p>
          <w:p w:rsidR="00E64A31" w:rsidRDefault="00E64A31" w:rsidP="00E64A31">
            <w:pPr>
              <w:rPr>
                <w:sz w:val="20"/>
                <w:szCs w:val="20"/>
              </w:rPr>
            </w:pPr>
            <w:r>
              <w:rPr>
                <w:sz w:val="20"/>
                <w:szCs w:val="20"/>
              </w:rPr>
              <w:t xml:space="preserve">Medium </w:t>
            </w:r>
          </w:p>
          <w:p w:rsidR="00E64A31" w:rsidRDefault="00E64A31" w:rsidP="00E64A31">
            <w:pPr>
              <w:rPr>
                <w:sz w:val="20"/>
                <w:szCs w:val="20"/>
              </w:rPr>
            </w:pPr>
          </w:p>
          <w:p w:rsidR="00E64A31" w:rsidRDefault="00E64A31" w:rsidP="00E64A31">
            <w:pPr>
              <w:rPr>
                <w:sz w:val="20"/>
                <w:szCs w:val="20"/>
              </w:rPr>
            </w:pPr>
          </w:p>
          <w:p w:rsidR="00E64A31" w:rsidRDefault="00E64A31" w:rsidP="00E64A31">
            <w:pPr>
              <w:rPr>
                <w:sz w:val="20"/>
                <w:szCs w:val="20"/>
              </w:rPr>
            </w:pPr>
          </w:p>
          <w:p w:rsidR="00E64A31" w:rsidRDefault="00E64A31" w:rsidP="00E64A31">
            <w:pPr>
              <w:rPr>
                <w:sz w:val="20"/>
                <w:szCs w:val="20"/>
              </w:rPr>
            </w:pPr>
          </w:p>
          <w:p w:rsidR="00E64A31" w:rsidRDefault="00E64A31" w:rsidP="00E64A31">
            <w:pPr>
              <w:rPr>
                <w:sz w:val="20"/>
                <w:szCs w:val="20"/>
              </w:rPr>
            </w:pPr>
            <w:r>
              <w:rPr>
                <w:sz w:val="20"/>
                <w:szCs w:val="20"/>
              </w:rPr>
              <w:t>Short</w:t>
            </w:r>
          </w:p>
          <w:p w:rsidR="00E64A31" w:rsidRDefault="00E64A31" w:rsidP="00E64A31">
            <w:pPr>
              <w:rPr>
                <w:sz w:val="20"/>
                <w:szCs w:val="20"/>
              </w:rPr>
            </w:pPr>
          </w:p>
          <w:p w:rsidR="00E64A31" w:rsidRDefault="00E64A31" w:rsidP="00E64A31">
            <w:pPr>
              <w:rPr>
                <w:sz w:val="20"/>
                <w:szCs w:val="20"/>
              </w:rPr>
            </w:pPr>
          </w:p>
          <w:p w:rsidR="00E64A31" w:rsidRDefault="00E64A31" w:rsidP="00E64A31">
            <w:pPr>
              <w:rPr>
                <w:sz w:val="20"/>
                <w:szCs w:val="20"/>
              </w:rPr>
            </w:pPr>
          </w:p>
          <w:p w:rsidR="00E64A31" w:rsidRDefault="00E64A31" w:rsidP="00E64A31">
            <w:pPr>
              <w:rPr>
                <w:sz w:val="20"/>
                <w:szCs w:val="20"/>
              </w:rPr>
            </w:pPr>
          </w:p>
          <w:p w:rsidR="00E64A31" w:rsidRPr="00040B4C" w:rsidRDefault="00E64A31" w:rsidP="00E64A31">
            <w:pPr>
              <w:rPr>
                <w:sz w:val="20"/>
                <w:szCs w:val="20"/>
              </w:rPr>
            </w:pPr>
            <w:r>
              <w:rPr>
                <w:sz w:val="20"/>
                <w:szCs w:val="20"/>
              </w:rPr>
              <w:t>Short</w:t>
            </w:r>
          </w:p>
        </w:tc>
        <w:tc>
          <w:tcPr>
            <w:tcW w:w="1307" w:type="dxa"/>
            <w:tcBorders>
              <w:left w:val="nil"/>
              <w:right w:val="nil"/>
            </w:tcBorders>
            <w:vAlign w:val="center"/>
          </w:tcPr>
          <w:p w:rsidR="00F00C93" w:rsidRPr="00040B4C" w:rsidRDefault="00F00C93" w:rsidP="00867FE2">
            <w:pPr>
              <w:jc w:val="center"/>
              <w:rPr>
                <w:sz w:val="20"/>
                <w:szCs w:val="20"/>
              </w:rPr>
            </w:pPr>
            <w:r>
              <w:rPr>
                <w:sz w:val="20"/>
                <w:szCs w:val="20"/>
              </w:rPr>
              <w:t xml:space="preserve">Revised laws or CBA regulations </w:t>
            </w:r>
          </w:p>
        </w:tc>
      </w:tr>
      <w:tr w:rsidR="00E64A31" w:rsidRPr="00040B4C" w:rsidTr="00F00C93">
        <w:tc>
          <w:tcPr>
            <w:tcW w:w="5245" w:type="dxa"/>
            <w:tcBorders>
              <w:left w:val="nil"/>
              <w:right w:val="nil"/>
            </w:tcBorders>
          </w:tcPr>
          <w:p w:rsidR="00E64A31" w:rsidRPr="00040B4C" w:rsidRDefault="00E64A31" w:rsidP="005A21D4">
            <w:pPr>
              <w:rPr>
                <w:i/>
                <w:sz w:val="20"/>
                <w:szCs w:val="20"/>
              </w:rPr>
            </w:pPr>
            <w:r w:rsidRPr="00040B4C">
              <w:rPr>
                <w:i/>
                <w:sz w:val="20"/>
                <w:szCs w:val="20"/>
              </w:rPr>
              <w:t>Insurance Sector</w:t>
            </w:r>
          </w:p>
          <w:p w:rsidR="00E64A31" w:rsidRDefault="00E64A31" w:rsidP="00A054C4">
            <w:pPr>
              <w:numPr>
                <w:ilvl w:val="0"/>
                <w:numId w:val="35"/>
              </w:numPr>
              <w:tabs>
                <w:tab w:val="clear" w:pos="0"/>
              </w:tabs>
              <w:ind w:left="252" w:hanging="252"/>
              <w:rPr>
                <w:sz w:val="20"/>
                <w:szCs w:val="20"/>
              </w:rPr>
            </w:pPr>
            <w:r w:rsidRPr="00171079">
              <w:rPr>
                <w:sz w:val="20"/>
                <w:szCs w:val="20"/>
              </w:rPr>
              <w:t xml:space="preserve">The CBA should update regulation on claims practices, requiring timely investigation and payment of claims and prohibiting misrepresentation of policy terms and </w:t>
            </w:r>
            <w:r w:rsidRPr="00171079">
              <w:rPr>
                <w:sz w:val="20"/>
                <w:szCs w:val="20"/>
              </w:rPr>
              <w:lastRenderedPageBreak/>
              <w:t>conditions in sales practices and advertising.</w:t>
            </w:r>
          </w:p>
          <w:p w:rsidR="00E64A31" w:rsidRDefault="000A5800" w:rsidP="00A054C4">
            <w:pPr>
              <w:numPr>
                <w:ilvl w:val="0"/>
                <w:numId w:val="35"/>
              </w:numPr>
              <w:tabs>
                <w:tab w:val="clear" w:pos="0"/>
              </w:tabs>
              <w:ind w:left="252" w:hanging="252"/>
              <w:rPr>
                <w:sz w:val="20"/>
                <w:szCs w:val="20"/>
              </w:rPr>
            </w:pPr>
            <w:r>
              <w:rPr>
                <w:sz w:val="20"/>
                <w:szCs w:val="20"/>
              </w:rPr>
              <w:t>CBA should verify that i</w:t>
            </w:r>
            <w:r w:rsidR="00E64A31" w:rsidRPr="009165DC">
              <w:rPr>
                <w:sz w:val="20"/>
                <w:szCs w:val="20"/>
              </w:rPr>
              <w:t xml:space="preserve">nsurance agents meet educational and product knowledge standards as well as personal suitability requirements and adhere to an industry code of conduct. </w:t>
            </w:r>
          </w:p>
          <w:p w:rsidR="00E64A31" w:rsidRDefault="00E64A31" w:rsidP="00A054C4">
            <w:pPr>
              <w:numPr>
                <w:ilvl w:val="0"/>
                <w:numId w:val="35"/>
              </w:numPr>
              <w:tabs>
                <w:tab w:val="clear" w:pos="0"/>
              </w:tabs>
              <w:ind w:left="252" w:hanging="252"/>
              <w:rPr>
                <w:sz w:val="20"/>
                <w:szCs w:val="20"/>
              </w:rPr>
            </w:pPr>
            <w:r>
              <w:rPr>
                <w:sz w:val="20"/>
                <w:szCs w:val="20"/>
              </w:rPr>
              <w:t xml:space="preserve">A </w:t>
            </w:r>
            <w:r w:rsidRPr="009165DC">
              <w:rPr>
                <w:sz w:val="20"/>
                <w:szCs w:val="20"/>
              </w:rPr>
              <w:t>stand-alone provision prohibiting misleading sales practices should be incorporated in the general LIIA.</w:t>
            </w:r>
          </w:p>
          <w:p w:rsidR="00E64A31" w:rsidRDefault="00E64A31" w:rsidP="00A054C4">
            <w:pPr>
              <w:numPr>
                <w:ilvl w:val="0"/>
                <w:numId w:val="35"/>
              </w:numPr>
              <w:tabs>
                <w:tab w:val="clear" w:pos="0"/>
              </w:tabs>
              <w:ind w:left="252" w:hanging="252"/>
              <w:rPr>
                <w:sz w:val="20"/>
                <w:szCs w:val="20"/>
              </w:rPr>
            </w:pPr>
            <w:r w:rsidRPr="009165DC">
              <w:rPr>
                <w:sz w:val="20"/>
                <w:szCs w:val="20"/>
              </w:rPr>
              <w:t>The CBA should increase the amount of consumer-friendly information they provide on the state of markets and concerning the financial position of individual insurers.</w:t>
            </w:r>
          </w:p>
          <w:p w:rsidR="00E64A31" w:rsidRPr="00040B4C" w:rsidRDefault="00E64A31" w:rsidP="009165DC">
            <w:pPr>
              <w:numPr>
                <w:ilvl w:val="0"/>
                <w:numId w:val="35"/>
              </w:numPr>
              <w:tabs>
                <w:tab w:val="clear" w:pos="0"/>
              </w:tabs>
              <w:ind w:left="252" w:hanging="252"/>
              <w:rPr>
                <w:sz w:val="20"/>
                <w:szCs w:val="20"/>
              </w:rPr>
            </w:pPr>
            <w:r>
              <w:rPr>
                <w:sz w:val="20"/>
                <w:szCs w:val="20"/>
              </w:rPr>
              <w:t>R</w:t>
            </w:r>
            <w:r w:rsidRPr="009165DC">
              <w:rPr>
                <w:sz w:val="20"/>
                <w:szCs w:val="20"/>
              </w:rPr>
              <w:t xml:space="preserve">egulations addressing the issue of renewal notices </w:t>
            </w:r>
            <w:r>
              <w:rPr>
                <w:sz w:val="20"/>
                <w:szCs w:val="20"/>
              </w:rPr>
              <w:t>should be adopted</w:t>
            </w:r>
            <w:r w:rsidRPr="009165DC">
              <w:rPr>
                <w:sz w:val="20"/>
                <w:szCs w:val="20"/>
              </w:rPr>
              <w:t>. A time frame should be contained in the renewal and easily understandable language about what the renewal involves.</w:t>
            </w:r>
          </w:p>
        </w:tc>
        <w:tc>
          <w:tcPr>
            <w:tcW w:w="1276" w:type="dxa"/>
            <w:tcBorders>
              <w:left w:val="nil"/>
              <w:right w:val="nil"/>
            </w:tcBorders>
          </w:tcPr>
          <w:p w:rsidR="00E64A31" w:rsidRDefault="00E64A31" w:rsidP="00390775">
            <w:pPr>
              <w:jc w:val="center"/>
              <w:rPr>
                <w:sz w:val="20"/>
                <w:szCs w:val="20"/>
              </w:rPr>
            </w:pPr>
          </w:p>
          <w:p w:rsidR="00E64A31" w:rsidRDefault="00E64A31" w:rsidP="00390775">
            <w:pPr>
              <w:jc w:val="center"/>
              <w:rPr>
                <w:sz w:val="20"/>
                <w:szCs w:val="20"/>
              </w:rPr>
            </w:pPr>
            <w:r>
              <w:rPr>
                <w:sz w:val="20"/>
                <w:szCs w:val="20"/>
              </w:rPr>
              <w:t>CBA, industry association</w:t>
            </w:r>
          </w:p>
          <w:p w:rsidR="00E64A31" w:rsidRDefault="00E64A31" w:rsidP="00390775">
            <w:pPr>
              <w:jc w:val="center"/>
              <w:rPr>
                <w:sz w:val="20"/>
                <w:szCs w:val="20"/>
              </w:rPr>
            </w:pPr>
          </w:p>
          <w:p w:rsidR="00E64A31" w:rsidRDefault="00E64A31" w:rsidP="00390775">
            <w:pPr>
              <w:jc w:val="center"/>
              <w:rPr>
                <w:sz w:val="20"/>
                <w:szCs w:val="20"/>
              </w:rPr>
            </w:pPr>
            <w:r>
              <w:rPr>
                <w:sz w:val="20"/>
                <w:szCs w:val="20"/>
              </w:rPr>
              <w:t xml:space="preserve">CBA </w:t>
            </w:r>
          </w:p>
          <w:p w:rsidR="00E64A31" w:rsidRDefault="00E64A31" w:rsidP="00390775">
            <w:pPr>
              <w:jc w:val="center"/>
              <w:rPr>
                <w:sz w:val="20"/>
                <w:szCs w:val="20"/>
              </w:rPr>
            </w:pPr>
          </w:p>
          <w:p w:rsidR="00E64A31" w:rsidRDefault="00E64A31" w:rsidP="00390775">
            <w:pPr>
              <w:jc w:val="center"/>
              <w:rPr>
                <w:sz w:val="20"/>
                <w:szCs w:val="20"/>
              </w:rPr>
            </w:pPr>
          </w:p>
          <w:p w:rsidR="00E64A31" w:rsidRDefault="00E64A31" w:rsidP="00390775">
            <w:pPr>
              <w:jc w:val="center"/>
              <w:rPr>
                <w:sz w:val="20"/>
                <w:szCs w:val="20"/>
              </w:rPr>
            </w:pPr>
          </w:p>
          <w:p w:rsidR="00E64A31" w:rsidRDefault="00E64A31" w:rsidP="00390775">
            <w:pPr>
              <w:jc w:val="center"/>
              <w:rPr>
                <w:sz w:val="20"/>
                <w:szCs w:val="20"/>
              </w:rPr>
            </w:pPr>
            <w:r>
              <w:rPr>
                <w:sz w:val="20"/>
                <w:szCs w:val="20"/>
              </w:rPr>
              <w:t>CBA</w:t>
            </w:r>
          </w:p>
          <w:p w:rsidR="00E64A31" w:rsidRDefault="00E64A31" w:rsidP="00390775">
            <w:pPr>
              <w:jc w:val="center"/>
              <w:rPr>
                <w:sz w:val="20"/>
                <w:szCs w:val="20"/>
              </w:rPr>
            </w:pPr>
          </w:p>
          <w:p w:rsidR="00E64A31" w:rsidRDefault="00E64A31" w:rsidP="00390775">
            <w:pPr>
              <w:jc w:val="center"/>
              <w:rPr>
                <w:sz w:val="20"/>
                <w:szCs w:val="20"/>
              </w:rPr>
            </w:pPr>
            <w:r>
              <w:rPr>
                <w:sz w:val="20"/>
                <w:szCs w:val="20"/>
              </w:rPr>
              <w:t xml:space="preserve">CBA </w:t>
            </w:r>
          </w:p>
          <w:p w:rsidR="00E64A31" w:rsidRDefault="00E64A31" w:rsidP="00390775">
            <w:pPr>
              <w:jc w:val="center"/>
              <w:rPr>
                <w:sz w:val="20"/>
                <w:szCs w:val="20"/>
              </w:rPr>
            </w:pPr>
          </w:p>
          <w:p w:rsidR="00E64A31" w:rsidRDefault="00E64A31" w:rsidP="00390775">
            <w:pPr>
              <w:jc w:val="center"/>
              <w:rPr>
                <w:sz w:val="20"/>
                <w:szCs w:val="20"/>
              </w:rPr>
            </w:pPr>
          </w:p>
          <w:p w:rsidR="00E64A31" w:rsidRPr="00040B4C" w:rsidRDefault="00E64A31" w:rsidP="00390775">
            <w:pPr>
              <w:jc w:val="center"/>
              <w:rPr>
                <w:sz w:val="20"/>
                <w:szCs w:val="20"/>
              </w:rPr>
            </w:pPr>
            <w:r>
              <w:rPr>
                <w:sz w:val="20"/>
                <w:szCs w:val="20"/>
              </w:rPr>
              <w:t>CBA</w:t>
            </w:r>
          </w:p>
        </w:tc>
        <w:tc>
          <w:tcPr>
            <w:tcW w:w="992" w:type="dxa"/>
            <w:tcBorders>
              <w:left w:val="nil"/>
              <w:right w:val="nil"/>
            </w:tcBorders>
          </w:tcPr>
          <w:p w:rsidR="00E64A31" w:rsidRDefault="00E64A31" w:rsidP="00802B34">
            <w:pPr>
              <w:jc w:val="center"/>
              <w:rPr>
                <w:sz w:val="20"/>
                <w:szCs w:val="20"/>
              </w:rPr>
            </w:pPr>
          </w:p>
          <w:p w:rsidR="00E64A31" w:rsidRDefault="00E64A31" w:rsidP="00802B34">
            <w:pPr>
              <w:jc w:val="center"/>
              <w:rPr>
                <w:sz w:val="20"/>
                <w:szCs w:val="20"/>
              </w:rPr>
            </w:pPr>
            <w:r>
              <w:rPr>
                <w:sz w:val="20"/>
                <w:szCs w:val="20"/>
              </w:rPr>
              <w:t>Short</w:t>
            </w:r>
          </w:p>
          <w:p w:rsidR="00E64A31" w:rsidRDefault="00E64A31" w:rsidP="00802B34">
            <w:pPr>
              <w:jc w:val="center"/>
              <w:rPr>
                <w:sz w:val="20"/>
                <w:szCs w:val="20"/>
              </w:rPr>
            </w:pPr>
          </w:p>
          <w:p w:rsidR="00E64A31" w:rsidRDefault="00E64A31" w:rsidP="00802B34">
            <w:pPr>
              <w:jc w:val="center"/>
              <w:rPr>
                <w:sz w:val="20"/>
                <w:szCs w:val="20"/>
              </w:rPr>
            </w:pPr>
          </w:p>
          <w:p w:rsidR="00E64A31" w:rsidRDefault="00E64A31" w:rsidP="00802B34">
            <w:pPr>
              <w:jc w:val="center"/>
              <w:rPr>
                <w:sz w:val="20"/>
                <w:szCs w:val="20"/>
              </w:rPr>
            </w:pPr>
          </w:p>
          <w:p w:rsidR="00E64A31" w:rsidRDefault="00E64A31" w:rsidP="00802B34">
            <w:pPr>
              <w:jc w:val="center"/>
              <w:rPr>
                <w:sz w:val="20"/>
                <w:szCs w:val="20"/>
              </w:rPr>
            </w:pPr>
            <w:r>
              <w:rPr>
                <w:sz w:val="20"/>
                <w:szCs w:val="20"/>
              </w:rPr>
              <w:t>Long</w:t>
            </w:r>
          </w:p>
          <w:p w:rsidR="00E64A31" w:rsidRDefault="00E64A31" w:rsidP="00802B34">
            <w:pPr>
              <w:jc w:val="center"/>
              <w:rPr>
                <w:sz w:val="20"/>
                <w:szCs w:val="20"/>
              </w:rPr>
            </w:pPr>
          </w:p>
          <w:p w:rsidR="00E64A31" w:rsidRDefault="00E64A31" w:rsidP="00802B34">
            <w:pPr>
              <w:jc w:val="center"/>
              <w:rPr>
                <w:sz w:val="20"/>
                <w:szCs w:val="20"/>
              </w:rPr>
            </w:pPr>
          </w:p>
          <w:p w:rsidR="00E64A31" w:rsidRDefault="00E64A31" w:rsidP="00802B34">
            <w:pPr>
              <w:jc w:val="center"/>
              <w:rPr>
                <w:sz w:val="20"/>
                <w:szCs w:val="20"/>
              </w:rPr>
            </w:pPr>
          </w:p>
          <w:p w:rsidR="00E64A31" w:rsidRDefault="00E64A31" w:rsidP="00802B34">
            <w:pPr>
              <w:jc w:val="center"/>
              <w:rPr>
                <w:sz w:val="20"/>
                <w:szCs w:val="20"/>
              </w:rPr>
            </w:pPr>
            <w:r>
              <w:rPr>
                <w:sz w:val="20"/>
                <w:szCs w:val="20"/>
              </w:rPr>
              <w:t xml:space="preserve">Short </w:t>
            </w:r>
          </w:p>
          <w:p w:rsidR="00E64A31" w:rsidRDefault="00E64A31" w:rsidP="00802B34">
            <w:pPr>
              <w:jc w:val="center"/>
              <w:rPr>
                <w:sz w:val="20"/>
                <w:szCs w:val="20"/>
              </w:rPr>
            </w:pPr>
          </w:p>
          <w:p w:rsidR="00E64A31" w:rsidRDefault="00E64A31" w:rsidP="00802B34">
            <w:pPr>
              <w:jc w:val="center"/>
              <w:rPr>
                <w:sz w:val="20"/>
                <w:szCs w:val="20"/>
              </w:rPr>
            </w:pPr>
            <w:r>
              <w:rPr>
                <w:sz w:val="20"/>
                <w:szCs w:val="20"/>
              </w:rPr>
              <w:t xml:space="preserve">Medium </w:t>
            </w:r>
          </w:p>
          <w:p w:rsidR="00E64A31" w:rsidRDefault="00E64A31" w:rsidP="00802B34">
            <w:pPr>
              <w:jc w:val="center"/>
              <w:rPr>
                <w:sz w:val="20"/>
                <w:szCs w:val="20"/>
              </w:rPr>
            </w:pPr>
          </w:p>
          <w:p w:rsidR="00E64A31" w:rsidRDefault="00E64A31" w:rsidP="00802B34">
            <w:pPr>
              <w:jc w:val="center"/>
              <w:rPr>
                <w:sz w:val="20"/>
                <w:szCs w:val="20"/>
              </w:rPr>
            </w:pPr>
          </w:p>
          <w:p w:rsidR="00E64A31" w:rsidRPr="00040B4C" w:rsidRDefault="00E64A31" w:rsidP="00802B34">
            <w:pPr>
              <w:jc w:val="center"/>
              <w:rPr>
                <w:sz w:val="20"/>
                <w:szCs w:val="20"/>
              </w:rPr>
            </w:pPr>
            <w:r>
              <w:rPr>
                <w:sz w:val="20"/>
                <w:szCs w:val="20"/>
              </w:rPr>
              <w:t>Long</w:t>
            </w:r>
          </w:p>
        </w:tc>
        <w:tc>
          <w:tcPr>
            <w:tcW w:w="1307" w:type="dxa"/>
            <w:tcBorders>
              <w:left w:val="nil"/>
              <w:right w:val="nil"/>
            </w:tcBorders>
            <w:vAlign w:val="center"/>
          </w:tcPr>
          <w:p w:rsidR="00E64A31" w:rsidRDefault="00E64A31" w:rsidP="00867FE2">
            <w:pPr>
              <w:jc w:val="center"/>
              <w:rPr>
                <w:sz w:val="20"/>
                <w:szCs w:val="20"/>
              </w:rPr>
            </w:pPr>
          </w:p>
          <w:p w:rsidR="00E64A31" w:rsidRDefault="00E64A31" w:rsidP="00867FE2">
            <w:pPr>
              <w:jc w:val="center"/>
              <w:rPr>
                <w:sz w:val="20"/>
                <w:szCs w:val="20"/>
              </w:rPr>
            </w:pPr>
          </w:p>
          <w:p w:rsidR="00E64A31" w:rsidRDefault="00E64A31" w:rsidP="00867FE2">
            <w:pPr>
              <w:jc w:val="center"/>
              <w:rPr>
                <w:sz w:val="20"/>
                <w:szCs w:val="20"/>
              </w:rPr>
            </w:pPr>
          </w:p>
          <w:p w:rsidR="00E64A31" w:rsidRDefault="00E64A31" w:rsidP="00867FE2">
            <w:pPr>
              <w:jc w:val="center"/>
              <w:rPr>
                <w:sz w:val="20"/>
                <w:szCs w:val="20"/>
              </w:rPr>
            </w:pPr>
          </w:p>
          <w:p w:rsidR="00E64A31" w:rsidRDefault="00E64A31" w:rsidP="00867FE2">
            <w:pPr>
              <w:jc w:val="center"/>
              <w:rPr>
                <w:sz w:val="20"/>
                <w:szCs w:val="20"/>
              </w:rPr>
            </w:pPr>
          </w:p>
          <w:p w:rsidR="00E64A31" w:rsidRDefault="00E64A31" w:rsidP="00867FE2">
            <w:pPr>
              <w:jc w:val="center"/>
              <w:rPr>
                <w:sz w:val="20"/>
                <w:szCs w:val="20"/>
              </w:rPr>
            </w:pPr>
          </w:p>
          <w:p w:rsidR="00E64A31" w:rsidRDefault="00E64A31" w:rsidP="00867FE2">
            <w:pPr>
              <w:jc w:val="center"/>
              <w:rPr>
                <w:sz w:val="20"/>
                <w:szCs w:val="20"/>
              </w:rPr>
            </w:pPr>
          </w:p>
          <w:p w:rsidR="00E64A31" w:rsidRDefault="00E64A31" w:rsidP="00867FE2">
            <w:pPr>
              <w:jc w:val="center"/>
              <w:rPr>
                <w:sz w:val="20"/>
                <w:szCs w:val="20"/>
              </w:rPr>
            </w:pPr>
          </w:p>
          <w:p w:rsidR="00E64A31" w:rsidRPr="00040B4C" w:rsidRDefault="00E64A31" w:rsidP="00867FE2">
            <w:pPr>
              <w:jc w:val="center"/>
              <w:rPr>
                <w:sz w:val="20"/>
                <w:szCs w:val="20"/>
              </w:rPr>
            </w:pPr>
            <w:r>
              <w:rPr>
                <w:sz w:val="20"/>
                <w:szCs w:val="20"/>
              </w:rPr>
              <w:t xml:space="preserve">Revised laws or CBA regulations </w:t>
            </w:r>
          </w:p>
        </w:tc>
      </w:tr>
      <w:tr w:rsidR="00E64A31" w:rsidRPr="00040B4C" w:rsidTr="00F00C93">
        <w:tc>
          <w:tcPr>
            <w:tcW w:w="5245" w:type="dxa"/>
            <w:tcBorders>
              <w:left w:val="nil"/>
              <w:right w:val="nil"/>
            </w:tcBorders>
          </w:tcPr>
          <w:p w:rsidR="00E64A31" w:rsidRPr="00040B4C" w:rsidRDefault="00E64A31" w:rsidP="005A21D4">
            <w:pPr>
              <w:rPr>
                <w:i/>
                <w:sz w:val="20"/>
                <w:szCs w:val="20"/>
              </w:rPr>
            </w:pPr>
          </w:p>
        </w:tc>
        <w:tc>
          <w:tcPr>
            <w:tcW w:w="1276" w:type="dxa"/>
            <w:tcBorders>
              <w:left w:val="nil"/>
              <w:right w:val="nil"/>
            </w:tcBorders>
          </w:tcPr>
          <w:p w:rsidR="00E64A31" w:rsidRPr="00040B4C" w:rsidRDefault="00E64A31" w:rsidP="00390775">
            <w:pPr>
              <w:jc w:val="center"/>
              <w:rPr>
                <w:sz w:val="20"/>
                <w:szCs w:val="20"/>
              </w:rPr>
            </w:pPr>
          </w:p>
        </w:tc>
        <w:tc>
          <w:tcPr>
            <w:tcW w:w="992" w:type="dxa"/>
            <w:tcBorders>
              <w:left w:val="nil"/>
              <w:right w:val="nil"/>
            </w:tcBorders>
          </w:tcPr>
          <w:p w:rsidR="00E64A31" w:rsidRPr="00040B4C" w:rsidRDefault="00E64A31" w:rsidP="005A21D4">
            <w:pPr>
              <w:jc w:val="center"/>
              <w:rPr>
                <w:sz w:val="20"/>
                <w:szCs w:val="20"/>
              </w:rPr>
            </w:pPr>
          </w:p>
        </w:tc>
        <w:tc>
          <w:tcPr>
            <w:tcW w:w="1307" w:type="dxa"/>
            <w:tcBorders>
              <w:left w:val="nil"/>
              <w:right w:val="nil"/>
            </w:tcBorders>
            <w:vAlign w:val="center"/>
          </w:tcPr>
          <w:p w:rsidR="00E64A31" w:rsidRDefault="00E64A31" w:rsidP="006863C5">
            <w:pPr>
              <w:jc w:val="center"/>
              <w:rPr>
                <w:sz w:val="20"/>
                <w:szCs w:val="20"/>
              </w:rPr>
            </w:pPr>
          </w:p>
        </w:tc>
      </w:tr>
      <w:tr w:rsidR="00E64A31" w:rsidRPr="00A16FD4" w:rsidTr="00F00C93">
        <w:tc>
          <w:tcPr>
            <w:tcW w:w="5245" w:type="dxa"/>
            <w:tcBorders>
              <w:top w:val="single" w:sz="12" w:space="0" w:color="auto"/>
              <w:left w:val="nil"/>
              <w:bottom w:val="single" w:sz="12" w:space="0" w:color="auto"/>
              <w:right w:val="nil"/>
            </w:tcBorders>
          </w:tcPr>
          <w:p w:rsidR="00E64A31" w:rsidRPr="00A16FD4" w:rsidRDefault="00E64A31" w:rsidP="00DE5CEA">
            <w:pPr>
              <w:ind w:left="72"/>
              <w:rPr>
                <w:b/>
                <w:i/>
                <w:sz w:val="20"/>
                <w:szCs w:val="20"/>
              </w:rPr>
            </w:pPr>
            <w:r w:rsidRPr="00A16FD4">
              <w:rPr>
                <w:b/>
                <w:i/>
                <w:sz w:val="20"/>
                <w:szCs w:val="20"/>
              </w:rPr>
              <w:t>Dispute Resolution</w:t>
            </w:r>
          </w:p>
        </w:tc>
        <w:tc>
          <w:tcPr>
            <w:tcW w:w="1276" w:type="dxa"/>
            <w:tcBorders>
              <w:top w:val="single" w:sz="12" w:space="0" w:color="auto"/>
              <w:left w:val="nil"/>
              <w:bottom w:val="single" w:sz="12" w:space="0" w:color="auto"/>
              <w:right w:val="nil"/>
            </w:tcBorders>
          </w:tcPr>
          <w:p w:rsidR="00E64A31" w:rsidRPr="00A16FD4" w:rsidRDefault="00E64A31" w:rsidP="00390775">
            <w:pPr>
              <w:jc w:val="center"/>
              <w:rPr>
                <w:i/>
                <w:sz w:val="20"/>
                <w:szCs w:val="20"/>
              </w:rPr>
            </w:pPr>
          </w:p>
        </w:tc>
        <w:tc>
          <w:tcPr>
            <w:tcW w:w="992" w:type="dxa"/>
            <w:tcBorders>
              <w:top w:val="single" w:sz="12" w:space="0" w:color="auto"/>
              <w:left w:val="nil"/>
              <w:bottom w:val="single" w:sz="12" w:space="0" w:color="auto"/>
              <w:right w:val="nil"/>
            </w:tcBorders>
          </w:tcPr>
          <w:p w:rsidR="00E64A31" w:rsidRPr="00A16FD4" w:rsidRDefault="00E64A31" w:rsidP="00DE5CEA">
            <w:pPr>
              <w:jc w:val="center"/>
              <w:rPr>
                <w:i/>
                <w:sz w:val="20"/>
                <w:szCs w:val="20"/>
              </w:rPr>
            </w:pPr>
          </w:p>
        </w:tc>
        <w:tc>
          <w:tcPr>
            <w:tcW w:w="1307" w:type="dxa"/>
            <w:tcBorders>
              <w:top w:val="single" w:sz="12" w:space="0" w:color="auto"/>
              <w:left w:val="nil"/>
              <w:bottom w:val="single" w:sz="12" w:space="0" w:color="auto"/>
              <w:right w:val="nil"/>
            </w:tcBorders>
          </w:tcPr>
          <w:p w:rsidR="00E64A31" w:rsidRPr="00A16FD4" w:rsidRDefault="00E64A31" w:rsidP="00DE5CEA">
            <w:pPr>
              <w:jc w:val="center"/>
              <w:rPr>
                <w:i/>
                <w:sz w:val="20"/>
                <w:szCs w:val="20"/>
              </w:rPr>
            </w:pPr>
          </w:p>
        </w:tc>
      </w:tr>
      <w:tr w:rsidR="00E64A31" w:rsidRPr="00040B4C" w:rsidTr="00F00C93">
        <w:tc>
          <w:tcPr>
            <w:tcW w:w="5245" w:type="dxa"/>
            <w:tcBorders>
              <w:top w:val="single" w:sz="12" w:space="0" w:color="auto"/>
              <w:left w:val="nil"/>
              <w:bottom w:val="single" w:sz="4" w:space="0" w:color="auto"/>
              <w:right w:val="nil"/>
            </w:tcBorders>
          </w:tcPr>
          <w:p w:rsidR="00E64A31" w:rsidRPr="00040B4C" w:rsidRDefault="00E64A31" w:rsidP="009B548C">
            <w:pPr>
              <w:ind w:left="72"/>
              <w:rPr>
                <w:sz w:val="20"/>
                <w:szCs w:val="20"/>
              </w:rPr>
            </w:pPr>
            <w:r w:rsidRPr="00040B4C">
              <w:rPr>
                <w:sz w:val="20"/>
                <w:szCs w:val="20"/>
              </w:rPr>
              <w:t xml:space="preserve">Require financial institutions to collect </w:t>
            </w:r>
            <w:r>
              <w:rPr>
                <w:sz w:val="20"/>
                <w:szCs w:val="20"/>
              </w:rPr>
              <w:t xml:space="preserve">and analyze </w:t>
            </w:r>
            <w:r w:rsidRPr="00040B4C">
              <w:rPr>
                <w:sz w:val="20"/>
                <w:szCs w:val="20"/>
              </w:rPr>
              <w:t xml:space="preserve">data on consumer complaints, disputes and inquiries, which should be available for inspection by </w:t>
            </w:r>
            <w:r>
              <w:rPr>
                <w:sz w:val="20"/>
                <w:szCs w:val="20"/>
              </w:rPr>
              <w:t>CBA</w:t>
            </w:r>
            <w:r w:rsidRPr="00040B4C">
              <w:rPr>
                <w:sz w:val="20"/>
                <w:szCs w:val="20"/>
              </w:rPr>
              <w:t>.</w:t>
            </w:r>
          </w:p>
        </w:tc>
        <w:tc>
          <w:tcPr>
            <w:tcW w:w="1276" w:type="dxa"/>
            <w:tcBorders>
              <w:top w:val="single" w:sz="12" w:space="0" w:color="auto"/>
              <w:left w:val="nil"/>
              <w:bottom w:val="single" w:sz="4" w:space="0" w:color="auto"/>
              <w:right w:val="nil"/>
            </w:tcBorders>
          </w:tcPr>
          <w:p w:rsidR="00E64A31" w:rsidRPr="00040B4C" w:rsidRDefault="00855620" w:rsidP="00855620">
            <w:pPr>
              <w:jc w:val="center"/>
              <w:rPr>
                <w:sz w:val="20"/>
                <w:szCs w:val="20"/>
              </w:rPr>
            </w:pPr>
            <w:r>
              <w:rPr>
                <w:sz w:val="20"/>
                <w:szCs w:val="20"/>
              </w:rPr>
              <w:t>CBA</w:t>
            </w:r>
          </w:p>
        </w:tc>
        <w:tc>
          <w:tcPr>
            <w:tcW w:w="992" w:type="dxa"/>
            <w:tcBorders>
              <w:top w:val="single" w:sz="12" w:space="0" w:color="auto"/>
              <w:left w:val="nil"/>
              <w:bottom w:val="single" w:sz="4" w:space="0" w:color="auto"/>
              <w:right w:val="nil"/>
            </w:tcBorders>
          </w:tcPr>
          <w:p w:rsidR="00E64A31" w:rsidRDefault="00855620" w:rsidP="00855620">
            <w:pPr>
              <w:jc w:val="center"/>
              <w:rPr>
                <w:sz w:val="20"/>
                <w:szCs w:val="20"/>
              </w:rPr>
            </w:pPr>
            <w:r>
              <w:rPr>
                <w:sz w:val="20"/>
                <w:szCs w:val="20"/>
              </w:rPr>
              <w:t>Medium</w:t>
            </w:r>
          </w:p>
          <w:p w:rsidR="00855620" w:rsidRPr="00040B4C" w:rsidRDefault="00855620" w:rsidP="00855620">
            <w:pPr>
              <w:jc w:val="center"/>
              <w:rPr>
                <w:sz w:val="20"/>
                <w:szCs w:val="20"/>
              </w:rPr>
            </w:pPr>
          </w:p>
        </w:tc>
        <w:tc>
          <w:tcPr>
            <w:tcW w:w="1307" w:type="dxa"/>
            <w:tcBorders>
              <w:top w:val="single" w:sz="12" w:space="0" w:color="auto"/>
              <w:left w:val="nil"/>
              <w:bottom w:val="single" w:sz="4" w:space="0" w:color="auto"/>
              <w:right w:val="nil"/>
            </w:tcBorders>
          </w:tcPr>
          <w:p w:rsidR="00E64A31" w:rsidRPr="00040B4C" w:rsidRDefault="00855620" w:rsidP="00855620">
            <w:pPr>
              <w:jc w:val="center"/>
              <w:rPr>
                <w:sz w:val="20"/>
                <w:szCs w:val="20"/>
              </w:rPr>
            </w:pPr>
            <w:r>
              <w:rPr>
                <w:sz w:val="20"/>
                <w:szCs w:val="20"/>
              </w:rPr>
              <w:t>CBA Regulation</w:t>
            </w:r>
          </w:p>
        </w:tc>
      </w:tr>
      <w:tr w:rsidR="00E64A31" w:rsidRPr="009B548C" w:rsidTr="00F00C93">
        <w:tc>
          <w:tcPr>
            <w:tcW w:w="5245" w:type="dxa"/>
            <w:tcBorders>
              <w:left w:val="nil"/>
              <w:bottom w:val="single" w:sz="4" w:space="0" w:color="auto"/>
              <w:right w:val="nil"/>
            </w:tcBorders>
          </w:tcPr>
          <w:p w:rsidR="00E64A31" w:rsidRPr="00040B4C" w:rsidRDefault="00E64A31" w:rsidP="001B1F8D">
            <w:pPr>
              <w:ind w:left="72"/>
              <w:rPr>
                <w:sz w:val="20"/>
                <w:szCs w:val="20"/>
              </w:rPr>
            </w:pPr>
            <w:r>
              <w:rPr>
                <w:sz w:val="20"/>
                <w:szCs w:val="20"/>
              </w:rPr>
              <w:t>The institutional capacity of the Financial System Mediator should be supported to deal with cases from all areas of financial services.</w:t>
            </w:r>
          </w:p>
        </w:tc>
        <w:tc>
          <w:tcPr>
            <w:tcW w:w="1276" w:type="dxa"/>
            <w:tcBorders>
              <w:left w:val="nil"/>
              <w:bottom w:val="single" w:sz="4" w:space="0" w:color="auto"/>
              <w:right w:val="nil"/>
            </w:tcBorders>
          </w:tcPr>
          <w:p w:rsidR="00E64A31" w:rsidRPr="009B548C" w:rsidRDefault="00855620" w:rsidP="00855620">
            <w:pPr>
              <w:ind w:left="72"/>
              <w:jc w:val="center"/>
              <w:rPr>
                <w:sz w:val="20"/>
                <w:szCs w:val="20"/>
              </w:rPr>
            </w:pPr>
            <w:r>
              <w:rPr>
                <w:sz w:val="20"/>
                <w:szCs w:val="20"/>
              </w:rPr>
              <w:t>FSM</w:t>
            </w:r>
          </w:p>
        </w:tc>
        <w:tc>
          <w:tcPr>
            <w:tcW w:w="992" w:type="dxa"/>
            <w:tcBorders>
              <w:left w:val="nil"/>
              <w:bottom w:val="single" w:sz="4" w:space="0" w:color="auto"/>
              <w:right w:val="nil"/>
            </w:tcBorders>
          </w:tcPr>
          <w:p w:rsidR="00E64A31" w:rsidRPr="009B548C" w:rsidRDefault="00855620" w:rsidP="00855620">
            <w:pPr>
              <w:ind w:left="72"/>
              <w:jc w:val="center"/>
              <w:rPr>
                <w:sz w:val="20"/>
                <w:szCs w:val="20"/>
              </w:rPr>
            </w:pPr>
            <w:r>
              <w:rPr>
                <w:sz w:val="20"/>
                <w:szCs w:val="20"/>
              </w:rPr>
              <w:t>Short</w:t>
            </w:r>
          </w:p>
        </w:tc>
        <w:tc>
          <w:tcPr>
            <w:tcW w:w="1307" w:type="dxa"/>
            <w:tcBorders>
              <w:left w:val="nil"/>
              <w:bottom w:val="single" w:sz="4" w:space="0" w:color="auto"/>
              <w:right w:val="nil"/>
            </w:tcBorders>
          </w:tcPr>
          <w:p w:rsidR="00E64A31" w:rsidRPr="009B548C" w:rsidRDefault="00855620" w:rsidP="00855620">
            <w:pPr>
              <w:ind w:left="72"/>
              <w:jc w:val="center"/>
              <w:rPr>
                <w:sz w:val="20"/>
                <w:szCs w:val="20"/>
              </w:rPr>
            </w:pPr>
            <w:r>
              <w:rPr>
                <w:sz w:val="20"/>
                <w:szCs w:val="20"/>
              </w:rPr>
              <w:t>Analysis, capability building</w:t>
            </w:r>
          </w:p>
        </w:tc>
      </w:tr>
      <w:tr w:rsidR="00E64A31" w:rsidRPr="009B548C" w:rsidTr="00F00C93">
        <w:tc>
          <w:tcPr>
            <w:tcW w:w="5245" w:type="dxa"/>
            <w:tcBorders>
              <w:left w:val="nil"/>
              <w:bottom w:val="single" w:sz="4" w:space="0" w:color="auto"/>
              <w:right w:val="nil"/>
            </w:tcBorders>
          </w:tcPr>
          <w:p w:rsidR="00E64A31" w:rsidRDefault="00E64A31" w:rsidP="00547CEC">
            <w:pPr>
              <w:ind w:left="72"/>
              <w:rPr>
                <w:sz w:val="20"/>
                <w:szCs w:val="20"/>
              </w:rPr>
            </w:pPr>
            <w:r>
              <w:rPr>
                <w:sz w:val="20"/>
                <w:szCs w:val="20"/>
              </w:rPr>
              <w:t xml:space="preserve">The outreach activities of the Financial System Mediator should be extended and the Mediator should analyze how effective is the compulsory disclosure about the service by financial institutions and how well it reaches various segments of the population. </w:t>
            </w:r>
          </w:p>
        </w:tc>
        <w:tc>
          <w:tcPr>
            <w:tcW w:w="1276" w:type="dxa"/>
            <w:tcBorders>
              <w:left w:val="nil"/>
              <w:bottom w:val="single" w:sz="4" w:space="0" w:color="auto"/>
              <w:right w:val="nil"/>
            </w:tcBorders>
          </w:tcPr>
          <w:p w:rsidR="00E64A31" w:rsidRPr="009B548C" w:rsidRDefault="00855620" w:rsidP="00855620">
            <w:pPr>
              <w:ind w:left="72"/>
              <w:jc w:val="center"/>
              <w:rPr>
                <w:sz w:val="20"/>
                <w:szCs w:val="20"/>
              </w:rPr>
            </w:pPr>
            <w:r>
              <w:rPr>
                <w:sz w:val="20"/>
                <w:szCs w:val="20"/>
              </w:rPr>
              <w:t>FSM</w:t>
            </w:r>
          </w:p>
        </w:tc>
        <w:tc>
          <w:tcPr>
            <w:tcW w:w="992" w:type="dxa"/>
            <w:tcBorders>
              <w:left w:val="nil"/>
              <w:bottom w:val="single" w:sz="4" w:space="0" w:color="auto"/>
              <w:right w:val="nil"/>
            </w:tcBorders>
          </w:tcPr>
          <w:p w:rsidR="00E64A31" w:rsidRPr="009B548C" w:rsidRDefault="00855620" w:rsidP="00855620">
            <w:pPr>
              <w:ind w:left="72"/>
              <w:jc w:val="center"/>
              <w:rPr>
                <w:sz w:val="20"/>
                <w:szCs w:val="20"/>
              </w:rPr>
            </w:pPr>
            <w:r>
              <w:rPr>
                <w:sz w:val="20"/>
                <w:szCs w:val="20"/>
              </w:rPr>
              <w:t>Medium</w:t>
            </w:r>
          </w:p>
        </w:tc>
        <w:tc>
          <w:tcPr>
            <w:tcW w:w="1307" w:type="dxa"/>
            <w:tcBorders>
              <w:left w:val="nil"/>
              <w:bottom w:val="single" w:sz="4" w:space="0" w:color="auto"/>
              <w:right w:val="nil"/>
            </w:tcBorders>
          </w:tcPr>
          <w:p w:rsidR="00E64A31" w:rsidRPr="009B548C" w:rsidRDefault="00855620" w:rsidP="00855620">
            <w:pPr>
              <w:ind w:left="72"/>
              <w:jc w:val="center"/>
              <w:rPr>
                <w:sz w:val="20"/>
                <w:szCs w:val="20"/>
              </w:rPr>
            </w:pPr>
            <w:r>
              <w:rPr>
                <w:sz w:val="20"/>
                <w:szCs w:val="20"/>
              </w:rPr>
              <w:t xml:space="preserve">Awareness building programs </w:t>
            </w:r>
          </w:p>
        </w:tc>
      </w:tr>
      <w:tr w:rsidR="00E64A31" w:rsidRPr="009B548C" w:rsidTr="00F00C93">
        <w:tc>
          <w:tcPr>
            <w:tcW w:w="5245" w:type="dxa"/>
            <w:tcBorders>
              <w:left w:val="nil"/>
              <w:bottom w:val="single" w:sz="4" w:space="0" w:color="auto"/>
              <w:right w:val="nil"/>
            </w:tcBorders>
          </w:tcPr>
          <w:p w:rsidR="00E64A31" w:rsidRDefault="00E64A31" w:rsidP="001B1F8D">
            <w:pPr>
              <w:ind w:left="72"/>
              <w:rPr>
                <w:sz w:val="20"/>
                <w:szCs w:val="20"/>
              </w:rPr>
            </w:pPr>
            <w:r>
              <w:rPr>
                <w:sz w:val="20"/>
                <w:szCs w:val="20"/>
              </w:rPr>
              <w:t>C</w:t>
            </w:r>
            <w:r w:rsidRPr="001B1F8D">
              <w:rPr>
                <w:sz w:val="20"/>
                <w:szCs w:val="20"/>
              </w:rPr>
              <w:t>omplaints from sole entrepreneurs, micro- and small-size businesses (as defined by the Armenian legislation) should be eligible for consideration by the Financial System Mediator</w:t>
            </w:r>
            <w:r>
              <w:rPr>
                <w:sz w:val="20"/>
                <w:szCs w:val="20"/>
              </w:rPr>
              <w:t xml:space="preserve">. </w:t>
            </w:r>
          </w:p>
        </w:tc>
        <w:tc>
          <w:tcPr>
            <w:tcW w:w="1276" w:type="dxa"/>
            <w:tcBorders>
              <w:left w:val="nil"/>
              <w:bottom w:val="single" w:sz="4" w:space="0" w:color="auto"/>
              <w:right w:val="nil"/>
            </w:tcBorders>
          </w:tcPr>
          <w:p w:rsidR="00E64A31" w:rsidRPr="009B548C" w:rsidRDefault="00855620" w:rsidP="00855620">
            <w:pPr>
              <w:ind w:left="72"/>
              <w:jc w:val="center"/>
              <w:rPr>
                <w:sz w:val="20"/>
                <w:szCs w:val="20"/>
              </w:rPr>
            </w:pPr>
            <w:r>
              <w:rPr>
                <w:sz w:val="20"/>
                <w:szCs w:val="20"/>
              </w:rPr>
              <w:t xml:space="preserve">FSM, CBA </w:t>
            </w:r>
          </w:p>
        </w:tc>
        <w:tc>
          <w:tcPr>
            <w:tcW w:w="992" w:type="dxa"/>
            <w:tcBorders>
              <w:left w:val="nil"/>
              <w:bottom w:val="single" w:sz="4" w:space="0" w:color="auto"/>
              <w:right w:val="nil"/>
            </w:tcBorders>
          </w:tcPr>
          <w:p w:rsidR="00E64A31" w:rsidRPr="009B548C" w:rsidRDefault="00855620" w:rsidP="00855620">
            <w:pPr>
              <w:ind w:left="72"/>
              <w:jc w:val="center"/>
              <w:rPr>
                <w:sz w:val="20"/>
                <w:szCs w:val="20"/>
              </w:rPr>
            </w:pPr>
            <w:r>
              <w:rPr>
                <w:sz w:val="20"/>
                <w:szCs w:val="20"/>
              </w:rPr>
              <w:t>Short</w:t>
            </w:r>
          </w:p>
        </w:tc>
        <w:tc>
          <w:tcPr>
            <w:tcW w:w="1307" w:type="dxa"/>
            <w:tcBorders>
              <w:left w:val="nil"/>
              <w:bottom w:val="single" w:sz="4" w:space="0" w:color="auto"/>
              <w:right w:val="nil"/>
            </w:tcBorders>
          </w:tcPr>
          <w:p w:rsidR="00E64A31" w:rsidRPr="009B548C" w:rsidRDefault="00855620" w:rsidP="00855620">
            <w:pPr>
              <w:ind w:left="72"/>
              <w:jc w:val="center"/>
              <w:rPr>
                <w:sz w:val="20"/>
                <w:szCs w:val="20"/>
              </w:rPr>
            </w:pPr>
            <w:r>
              <w:rPr>
                <w:sz w:val="20"/>
                <w:szCs w:val="20"/>
              </w:rPr>
              <w:t>Update of the FSM Law</w:t>
            </w:r>
          </w:p>
        </w:tc>
      </w:tr>
      <w:tr w:rsidR="00E64A31" w:rsidRPr="009B548C" w:rsidTr="00F00C93">
        <w:tc>
          <w:tcPr>
            <w:tcW w:w="5245" w:type="dxa"/>
            <w:tcBorders>
              <w:left w:val="nil"/>
              <w:bottom w:val="single" w:sz="4" w:space="0" w:color="auto"/>
              <w:right w:val="nil"/>
            </w:tcBorders>
          </w:tcPr>
          <w:p w:rsidR="00E64A31" w:rsidRDefault="00E64A31" w:rsidP="001B1F8D">
            <w:pPr>
              <w:ind w:left="72"/>
              <w:rPr>
                <w:sz w:val="20"/>
                <w:szCs w:val="20"/>
              </w:rPr>
            </w:pPr>
            <w:r w:rsidRPr="001B1F8D">
              <w:rPr>
                <w:sz w:val="20"/>
                <w:szCs w:val="20"/>
              </w:rPr>
              <w:t>When a case is under review by the Financial System Mediator, court review should be delayed until the ombudsman has completed its review of the case. If the case is settled in the mediation phase or a decision is issued by the Mediator, the merits of the case should not be eligible for court review.</w:t>
            </w:r>
          </w:p>
        </w:tc>
        <w:tc>
          <w:tcPr>
            <w:tcW w:w="1276" w:type="dxa"/>
            <w:tcBorders>
              <w:left w:val="nil"/>
              <w:bottom w:val="single" w:sz="4" w:space="0" w:color="auto"/>
              <w:right w:val="nil"/>
            </w:tcBorders>
          </w:tcPr>
          <w:p w:rsidR="00E64A31" w:rsidRPr="009B548C" w:rsidRDefault="00855620" w:rsidP="00855620">
            <w:pPr>
              <w:ind w:left="72"/>
              <w:jc w:val="center"/>
              <w:rPr>
                <w:sz w:val="20"/>
                <w:szCs w:val="20"/>
              </w:rPr>
            </w:pPr>
            <w:r>
              <w:rPr>
                <w:sz w:val="20"/>
                <w:szCs w:val="20"/>
              </w:rPr>
              <w:t>Ministry of Justice, CBA</w:t>
            </w:r>
          </w:p>
        </w:tc>
        <w:tc>
          <w:tcPr>
            <w:tcW w:w="992" w:type="dxa"/>
            <w:tcBorders>
              <w:left w:val="nil"/>
              <w:bottom w:val="single" w:sz="4" w:space="0" w:color="auto"/>
              <w:right w:val="nil"/>
            </w:tcBorders>
          </w:tcPr>
          <w:p w:rsidR="00E64A31" w:rsidRPr="009B548C" w:rsidRDefault="00855620" w:rsidP="00855620">
            <w:pPr>
              <w:ind w:left="72"/>
              <w:jc w:val="center"/>
              <w:rPr>
                <w:sz w:val="20"/>
                <w:szCs w:val="20"/>
              </w:rPr>
            </w:pPr>
            <w:r>
              <w:rPr>
                <w:sz w:val="20"/>
                <w:szCs w:val="20"/>
              </w:rPr>
              <w:t>Medium</w:t>
            </w:r>
          </w:p>
        </w:tc>
        <w:tc>
          <w:tcPr>
            <w:tcW w:w="1307" w:type="dxa"/>
            <w:tcBorders>
              <w:left w:val="nil"/>
              <w:bottom w:val="single" w:sz="4" w:space="0" w:color="auto"/>
              <w:right w:val="nil"/>
            </w:tcBorders>
          </w:tcPr>
          <w:p w:rsidR="00E64A31" w:rsidRPr="009B548C" w:rsidRDefault="00855620" w:rsidP="00855620">
            <w:pPr>
              <w:ind w:left="72"/>
              <w:jc w:val="center"/>
              <w:rPr>
                <w:sz w:val="20"/>
                <w:szCs w:val="20"/>
              </w:rPr>
            </w:pPr>
            <w:r>
              <w:rPr>
                <w:sz w:val="20"/>
                <w:szCs w:val="20"/>
              </w:rPr>
              <w:t xml:space="preserve">Update of laws </w:t>
            </w:r>
          </w:p>
        </w:tc>
      </w:tr>
      <w:tr w:rsidR="00E64A31" w:rsidRPr="009B548C" w:rsidTr="00F00C93">
        <w:tc>
          <w:tcPr>
            <w:tcW w:w="5245" w:type="dxa"/>
            <w:tcBorders>
              <w:left w:val="nil"/>
              <w:bottom w:val="single" w:sz="4" w:space="0" w:color="auto"/>
              <w:right w:val="nil"/>
            </w:tcBorders>
          </w:tcPr>
          <w:p w:rsidR="00E64A31" w:rsidRPr="001B1F8D" w:rsidRDefault="00E64A31" w:rsidP="00E92B89">
            <w:pPr>
              <w:ind w:left="72"/>
              <w:rPr>
                <w:sz w:val="20"/>
                <w:szCs w:val="20"/>
              </w:rPr>
            </w:pPr>
            <w:r w:rsidRPr="00E92B89">
              <w:rPr>
                <w:sz w:val="20"/>
                <w:szCs w:val="20"/>
              </w:rPr>
              <w:t>Consideration could be given to evaluate the current scheme of fees</w:t>
            </w:r>
            <w:r>
              <w:rPr>
                <w:sz w:val="20"/>
                <w:szCs w:val="20"/>
              </w:rPr>
              <w:t xml:space="preserve"> for the Mediator</w:t>
            </w:r>
            <w:r w:rsidRPr="00E92B89">
              <w:rPr>
                <w:sz w:val="20"/>
                <w:szCs w:val="20"/>
              </w:rPr>
              <w:t xml:space="preserve"> that depends only on the assets of the financial institution </w:t>
            </w:r>
            <w:r>
              <w:rPr>
                <w:sz w:val="20"/>
                <w:szCs w:val="20"/>
              </w:rPr>
              <w:t>to</w:t>
            </w:r>
            <w:r w:rsidRPr="00E92B89">
              <w:rPr>
                <w:sz w:val="20"/>
                <w:szCs w:val="20"/>
              </w:rPr>
              <w:t xml:space="preserve"> incorporate a component that increases the contribution of financial institutions that receive higher </w:t>
            </w:r>
            <w:r>
              <w:rPr>
                <w:sz w:val="20"/>
                <w:szCs w:val="20"/>
              </w:rPr>
              <w:t>share</w:t>
            </w:r>
            <w:r w:rsidRPr="00E92B89">
              <w:rPr>
                <w:sz w:val="20"/>
                <w:szCs w:val="20"/>
              </w:rPr>
              <w:t xml:space="preserve"> of complaints</w:t>
            </w:r>
            <w:r>
              <w:rPr>
                <w:sz w:val="20"/>
                <w:szCs w:val="20"/>
              </w:rPr>
              <w:t xml:space="preserve"> then their market share</w:t>
            </w:r>
            <w:r w:rsidRPr="00E92B89">
              <w:rPr>
                <w:sz w:val="20"/>
                <w:szCs w:val="20"/>
              </w:rPr>
              <w:t>.</w:t>
            </w:r>
          </w:p>
        </w:tc>
        <w:tc>
          <w:tcPr>
            <w:tcW w:w="1276" w:type="dxa"/>
            <w:tcBorders>
              <w:left w:val="nil"/>
              <w:bottom w:val="single" w:sz="4" w:space="0" w:color="auto"/>
              <w:right w:val="nil"/>
            </w:tcBorders>
          </w:tcPr>
          <w:p w:rsidR="00E64A31" w:rsidRPr="009B548C" w:rsidRDefault="00855620" w:rsidP="00855620">
            <w:pPr>
              <w:ind w:left="72"/>
              <w:jc w:val="center"/>
              <w:rPr>
                <w:sz w:val="20"/>
                <w:szCs w:val="20"/>
              </w:rPr>
            </w:pPr>
            <w:r>
              <w:rPr>
                <w:sz w:val="20"/>
                <w:szCs w:val="20"/>
              </w:rPr>
              <w:t>FSM, CBA</w:t>
            </w:r>
          </w:p>
        </w:tc>
        <w:tc>
          <w:tcPr>
            <w:tcW w:w="992" w:type="dxa"/>
            <w:tcBorders>
              <w:left w:val="nil"/>
              <w:bottom w:val="single" w:sz="4" w:space="0" w:color="auto"/>
              <w:right w:val="nil"/>
            </w:tcBorders>
          </w:tcPr>
          <w:p w:rsidR="00E64A31" w:rsidRPr="009B548C" w:rsidRDefault="00855620" w:rsidP="00855620">
            <w:pPr>
              <w:ind w:left="72"/>
              <w:jc w:val="center"/>
              <w:rPr>
                <w:sz w:val="20"/>
                <w:szCs w:val="20"/>
              </w:rPr>
            </w:pPr>
            <w:r>
              <w:rPr>
                <w:sz w:val="20"/>
                <w:szCs w:val="20"/>
              </w:rPr>
              <w:t>Long</w:t>
            </w:r>
          </w:p>
        </w:tc>
        <w:tc>
          <w:tcPr>
            <w:tcW w:w="1307" w:type="dxa"/>
            <w:tcBorders>
              <w:left w:val="nil"/>
              <w:bottom w:val="single" w:sz="4" w:space="0" w:color="auto"/>
              <w:right w:val="nil"/>
            </w:tcBorders>
          </w:tcPr>
          <w:p w:rsidR="00E64A31" w:rsidRPr="009B548C" w:rsidRDefault="00855620" w:rsidP="00855620">
            <w:pPr>
              <w:ind w:left="72"/>
              <w:jc w:val="center"/>
              <w:rPr>
                <w:sz w:val="20"/>
                <w:szCs w:val="20"/>
              </w:rPr>
            </w:pPr>
            <w:r>
              <w:rPr>
                <w:sz w:val="20"/>
                <w:szCs w:val="20"/>
              </w:rPr>
              <w:t>Analysis, possible fee structure change</w:t>
            </w:r>
          </w:p>
        </w:tc>
      </w:tr>
      <w:tr w:rsidR="00E64A31" w:rsidRPr="00040B4C" w:rsidTr="00F00C93">
        <w:tc>
          <w:tcPr>
            <w:tcW w:w="5245" w:type="dxa"/>
            <w:tcBorders>
              <w:top w:val="single" w:sz="4" w:space="0" w:color="auto"/>
              <w:left w:val="nil"/>
              <w:bottom w:val="single" w:sz="12" w:space="0" w:color="auto"/>
              <w:right w:val="nil"/>
            </w:tcBorders>
          </w:tcPr>
          <w:p w:rsidR="00E64A31" w:rsidRPr="00040B4C" w:rsidRDefault="00E64A31" w:rsidP="00DE5CEA">
            <w:pPr>
              <w:ind w:left="72"/>
              <w:rPr>
                <w:color w:val="000000"/>
                <w:sz w:val="20"/>
                <w:szCs w:val="20"/>
              </w:rPr>
            </w:pPr>
          </w:p>
        </w:tc>
        <w:tc>
          <w:tcPr>
            <w:tcW w:w="1276" w:type="dxa"/>
            <w:tcBorders>
              <w:top w:val="single" w:sz="4" w:space="0" w:color="auto"/>
              <w:left w:val="nil"/>
              <w:bottom w:val="single" w:sz="12" w:space="0" w:color="auto"/>
              <w:right w:val="nil"/>
            </w:tcBorders>
          </w:tcPr>
          <w:p w:rsidR="00E64A31" w:rsidRPr="00040B4C" w:rsidRDefault="00E64A31" w:rsidP="00855620">
            <w:pPr>
              <w:jc w:val="center"/>
              <w:rPr>
                <w:color w:val="000000"/>
                <w:sz w:val="20"/>
                <w:szCs w:val="20"/>
              </w:rPr>
            </w:pPr>
          </w:p>
        </w:tc>
        <w:tc>
          <w:tcPr>
            <w:tcW w:w="992" w:type="dxa"/>
            <w:tcBorders>
              <w:top w:val="single" w:sz="4" w:space="0" w:color="auto"/>
              <w:left w:val="nil"/>
              <w:bottom w:val="single" w:sz="12" w:space="0" w:color="auto"/>
              <w:right w:val="nil"/>
            </w:tcBorders>
          </w:tcPr>
          <w:p w:rsidR="00E64A31" w:rsidRPr="00040B4C" w:rsidRDefault="00E64A31" w:rsidP="00855620">
            <w:pPr>
              <w:jc w:val="center"/>
              <w:rPr>
                <w:color w:val="000000"/>
                <w:sz w:val="20"/>
                <w:szCs w:val="20"/>
              </w:rPr>
            </w:pPr>
          </w:p>
        </w:tc>
        <w:tc>
          <w:tcPr>
            <w:tcW w:w="1307" w:type="dxa"/>
            <w:tcBorders>
              <w:top w:val="single" w:sz="4" w:space="0" w:color="auto"/>
              <w:left w:val="nil"/>
              <w:bottom w:val="single" w:sz="12" w:space="0" w:color="auto"/>
              <w:right w:val="nil"/>
            </w:tcBorders>
          </w:tcPr>
          <w:p w:rsidR="00E64A31" w:rsidRPr="00040B4C" w:rsidRDefault="00E64A31" w:rsidP="00855620">
            <w:pPr>
              <w:jc w:val="center"/>
              <w:rPr>
                <w:color w:val="000000"/>
                <w:sz w:val="20"/>
                <w:szCs w:val="20"/>
              </w:rPr>
            </w:pPr>
          </w:p>
        </w:tc>
      </w:tr>
      <w:tr w:rsidR="00E64A31" w:rsidRPr="00735833" w:rsidTr="00855620">
        <w:tc>
          <w:tcPr>
            <w:tcW w:w="5245" w:type="dxa"/>
            <w:tcBorders>
              <w:top w:val="single" w:sz="12" w:space="0" w:color="auto"/>
              <w:left w:val="nil"/>
              <w:bottom w:val="single" w:sz="12" w:space="0" w:color="auto"/>
              <w:right w:val="nil"/>
            </w:tcBorders>
          </w:tcPr>
          <w:p w:rsidR="00E64A31" w:rsidRPr="00735833" w:rsidRDefault="00E64A31" w:rsidP="00061881">
            <w:pPr>
              <w:ind w:left="72"/>
              <w:rPr>
                <w:b/>
                <w:i/>
                <w:color w:val="000000"/>
                <w:sz w:val="20"/>
                <w:szCs w:val="20"/>
              </w:rPr>
            </w:pPr>
            <w:r w:rsidRPr="00735833">
              <w:rPr>
                <w:b/>
                <w:i/>
                <w:color w:val="000000"/>
                <w:sz w:val="20"/>
                <w:szCs w:val="20"/>
              </w:rPr>
              <w:t>Financial Literacy</w:t>
            </w:r>
          </w:p>
        </w:tc>
        <w:tc>
          <w:tcPr>
            <w:tcW w:w="1276" w:type="dxa"/>
            <w:tcBorders>
              <w:top w:val="single" w:sz="12" w:space="0" w:color="auto"/>
              <w:left w:val="nil"/>
              <w:bottom w:val="single" w:sz="12" w:space="0" w:color="auto"/>
              <w:right w:val="nil"/>
            </w:tcBorders>
          </w:tcPr>
          <w:p w:rsidR="00E64A31" w:rsidRPr="00735833" w:rsidRDefault="00E64A31" w:rsidP="00855620">
            <w:pPr>
              <w:ind w:left="-18" w:right="-18"/>
              <w:jc w:val="center"/>
              <w:rPr>
                <w:b/>
                <w:i/>
                <w:color w:val="000000"/>
                <w:sz w:val="20"/>
                <w:szCs w:val="20"/>
              </w:rPr>
            </w:pPr>
          </w:p>
        </w:tc>
        <w:tc>
          <w:tcPr>
            <w:tcW w:w="992" w:type="dxa"/>
            <w:tcBorders>
              <w:top w:val="single" w:sz="12" w:space="0" w:color="auto"/>
              <w:left w:val="nil"/>
              <w:bottom w:val="single" w:sz="12" w:space="0" w:color="auto"/>
              <w:right w:val="nil"/>
            </w:tcBorders>
          </w:tcPr>
          <w:p w:rsidR="00E64A31" w:rsidRPr="00735833" w:rsidRDefault="00E64A31" w:rsidP="00855620">
            <w:pPr>
              <w:jc w:val="center"/>
              <w:rPr>
                <w:b/>
                <w:i/>
                <w:color w:val="000000"/>
                <w:sz w:val="20"/>
                <w:szCs w:val="20"/>
              </w:rPr>
            </w:pPr>
          </w:p>
        </w:tc>
        <w:tc>
          <w:tcPr>
            <w:tcW w:w="1307" w:type="dxa"/>
            <w:tcBorders>
              <w:top w:val="single" w:sz="12" w:space="0" w:color="auto"/>
              <w:left w:val="nil"/>
              <w:bottom w:val="single" w:sz="12" w:space="0" w:color="auto"/>
              <w:right w:val="nil"/>
            </w:tcBorders>
          </w:tcPr>
          <w:p w:rsidR="00E64A31" w:rsidRPr="00735833" w:rsidRDefault="00E64A31" w:rsidP="00855620">
            <w:pPr>
              <w:jc w:val="center"/>
              <w:rPr>
                <w:b/>
                <w:i/>
                <w:color w:val="000000"/>
                <w:sz w:val="20"/>
                <w:szCs w:val="20"/>
              </w:rPr>
            </w:pPr>
          </w:p>
        </w:tc>
      </w:tr>
      <w:tr w:rsidR="00E64A31" w:rsidRPr="00040B4C" w:rsidTr="00855620">
        <w:tc>
          <w:tcPr>
            <w:tcW w:w="5245" w:type="dxa"/>
            <w:tcBorders>
              <w:top w:val="single" w:sz="12" w:space="0" w:color="auto"/>
              <w:left w:val="nil"/>
              <w:bottom w:val="single" w:sz="4" w:space="0" w:color="auto"/>
              <w:right w:val="nil"/>
            </w:tcBorders>
          </w:tcPr>
          <w:p w:rsidR="00E64A31" w:rsidRPr="00040B4C" w:rsidRDefault="00E64A31" w:rsidP="00855620">
            <w:pPr>
              <w:ind w:left="72"/>
              <w:rPr>
                <w:color w:val="000000"/>
                <w:sz w:val="20"/>
                <w:szCs w:val="20"/>
              </w:rPr>
            </w:pPr>
            <w:r>
              <w:rPr>
                <w:color w:val="000000"/>
                <w:sz w:val="20"/>
                <w:szCs w:val="20"/>
              </w:rPr>
              <w:t>Develop</w:t>
            </w:r>
            <w:r w:rsidR="00855620">
              <w:rPr>
                <w:color w:val="000000"/>
                <w:sz w:val="20"/>
                <w:szCs w:val="20"/>
              </w:rPr>
              <w:t xml:space="preserve"> and</w:t>
            </w:r>
            <w:r>
              <w:rPr>
                <w:color w:val="000000"/>
                <w:sz w:val="20"/>
                <w:szCs w:val="20"/>
              </w:rPr>
              <w:t xml:space="preserve"> implement the National Strategy for Financial Education (NSFE). </w:t>
            </w:r>
          </w:p>
        </w:tc>
        <w:tc>
          <w:tcPr>
            <w:tcW w:w="1276" w:type="dxa"/>
            <w:tcBorders>
              <w:top w:val="single" w:sz="12" w:space="0" w:color="auto"/>
              <w:left w:val="nil"/>
              <w:bottom w:val="single" w:sz="4" w:space="0" w:color="auto"/>
              <w:right w:val="nil"/>
            </w:tcBorders>
          </w:tcPr>
          <w:p w:rsidR="00E64A31" w:rsidRPr="00040B4C" w:rsidRDefault="00E64A31" w:rsidP="00855620">
            <w:pPr>
              <w:jc w:val="center"/>
              <w:rPr>
                <w:color w:val="000000"/>
                <w:sz w:val="20"/>
                <w:szCs w:val="20"/>
              </w:rPr>
            </w:pPr>
            <w:r>
              <w:rPr>
                <w:color w:val="000000"/>
                <w:sz w:val="20"/>
                <w:szCs w:val="20"/>
              </w:rPr>
              <w:t>Members of the Steering Committee for the NSFE</w:t>
            </w:r>
          </w:p>
        </w:tc>
        <w:tc>
          <w:tcPr>
            <w:tcW w:w="992" w:type="dxa"/>
            <w:tcBorders>
              <w:top w:val="single" w:sz="12" w:space="0" w:color="auto"/>
              <w:left w:val="nil"/>
              <w:bottom w:val="single" w:sz="4" w:space="0" w:color="auto"/>
              <w:right w:val="nil"/>
            </w:tcBorders>
          </w:tcPr>
          <w:p w:rsidR="00E64A31" w:rsidRPr="00040B4C" w:rsidRDefault="00E64A31" w:rsidP="00855620">
            <w:pPr>
              <w:jc w:val="center"/>
              <w:rPr>
                <w:color w:val="000000"/>
                <w:sz w:val="20"/>
                <w:szCs w:val="20"/>
              </w:rPr>
            </w:pPr>
            <w:r>
              <w:rPr>
                <w:color w:val="000000"/>
                <w:sz w:val="20"/>
                <w:szCs w:val="20"/>
              </w:rPr>
              <w:t>Short</w:t>
            </w:r>
          </w:p>
        </w:tc>
        <w:tc>
          <w:tcPr>
            <w:tcW w:w="1307" w:type="dxa"/>
            <w:tcBorders>
              <w:top w:val="single" w:sz="12" w:space="0" w:color="auto"/>
              <w:left w:val="nil"/>
              <w:bottom w:val="single" w:sz="4" w:space="0" w:color="auto"/>
              <w:right w:val="nil"/>
            </w:tcBorders>
          </w:tcPr>
          <w:p w:rsidR="00E64A31" w:rsidRPr="00040B4C" w:rsidRDefault="00C36E22" w:rsidP="00855620">
            <w:pPr>
              <w:jc w:val="center"/>
              <w:rPr>
                <w:color w:val="000000"/>
                <w:sz w:val="20"/>
                <w:szCs w:val="20"/>
              </w:rPr>
            </w:pPr>
            <w:r>
              <w:rPr>
                <w:color w:val="000000"/>
                <w:sz w:val="20"/>
                <w:szCs w:val="20"/>
              </w:rPr>
              <w:t>National strategy</w:t>
            </w:r>
          </w:p>
        </w:tc>
      </w:tr>
      <w:tr w:rsidR="00D220A1" w:rsidRPr="00040B4C" w:rsidTr="00855620">
        <w:tc>
          <w:tcPr>
            <w:tcW w:w="5245" w:type="dxa"/>
            <w:tcBorders>
              <w:top w:val="single" w:sz="4" w:space="0" w:color="auto"/>
              <w:left w:val="nil"/>
              <w:right w:val="nil"/>
            </w:tcBorders>
          </w:tcPr>
          <w:p w:rsidR="00D220A1" w:rsidRDefault="002675A8" w:rsidP="005842AF">
            <w:pPr>
              <w:ind w:left="72"/>
              <w:rPr>
                <w:color w:val="000000"/>
                <w:sz w:val="20"/>
                <w:szCs w:val="20"/>
              </w:rPr>
            </w:pPr>
            <w:r>
              <w:rPr>
                <w:color w:val="000000"/>
                <w:sz w:val="20"/>
                <w:szCs w:val="20"/>
              </w:rPr>
              <w:t>Analyze the results of</w:t>
            </w:r>
            <w:r w:rsidR="00D220A1">
              <w:rPr>
                <w:color w:val="000000"/>
                <w:sz w:val="20"/>
                <w:szCs w:val="20"/>
              </w:rPr>
              <w:t xml:space="preserve"> the 2012 World Bank Financial Literacy survey</w:t>
            </w:r>
            <w:r>
              <w:rPr>
                <w:color w:val="000000"/>
                <w:sz w:val="20"/>
                <w:szCs w:val="20"/>
              </w:rPr>
              <w:t xml:space="preserve"> and use it</w:t>
            </w:r>
            <w:r w:rsidR="00D220A1">
              <w:rPr>
                <w:color w:val="000000"/>
                <w:sz w:val="20"/>
                <w:szCs w:val="20"/>
              </w:rPr>
              <w:t xml:space="preserve"> to </w:t>
            </w:r>
            <w:r>
              <w:rPr>
                <w:color w:val="000000"/>
                <w:sz w:val="20"/>
                <w:szCs w:val="20"/>
              </w:rPr>
              <w:t xml:space="preserve">inform the work of the Steering Group. </w:t>
            </w:r>
          </w:p>
        </w:tc>
        <w:tc>
          <w:tcPr>
            <w:tcW w:w="1276" w:type="dxa"/>
            <w:tcBorders>
              <w:top w:val="single" w:sz="4" w:space="0" w:color="auto"/>
              <w:left w:val="nil"/>
              <w:right w:val="nil"/>
            </w:tcBorders>
          </w:tcPr>
          <w:p w:rsidR="00D220A1" w:rsidRDefault="002675A8" w:rsidP="00855620">
            <w:pPr>
              <w:jc w:val="center"/>
              <w:rPr>
                <w:color w:val="000000"/>
                <w:sz w:val="20"/>
                <w:szCs w:val="20"/>
              </w:rPr>
            </w:pPr>
            <w:r>
              <w:rPr>
                <w:color w:val="000000"/>
                <w:sz w:val="20"/>
                <w:szCs w:val="20"/>
              </w:rPr>
              <w:t>Members of the Steering Committee</w:t>
            </w:r>
          </w:p>
        </w:tc>
        <w:tc>
          <w:tcPr>
            <w:tcW w:w="992" w:type="dxa"/>
            <w:tcBorders>
              <w:top w:val="single" w:sz="4" w:space="0" w:color="auto"/>
              <w:left w:val="nil"/>
              <w:right w:val="nil"/>
            </w:tcBorders>
          </w:tcPr>
          <w:p w:rsidR="00D220A1" w:rsidRDefault="002675A8" w:rsidP="00855620">
            <w:pPr>
              <w:jc w:val="center"/>
              <w:rPr>
                <w:color w:val="000000"/>
                <w:sz w:val="20"/>
                <w:szCs w:val="20"/>
              </w:rPr>
            </w:pPr>
            <w:r>
              <w:rPr>
                <w:color w:val="000000"/>
                <w:sz w:val="20"/>
                <w:szCs w:val="20"/>
              </w:rPr>
              <w:t xml:space="preserve">Short </w:t>
            </w:r>
          </w:p>
        </w:tc>
        <w:tc>
          <w:tcPr>
            <w:tcW w:w="1307" w:type="dxa"/>
            <w:tcBorders>
              <w:top w:val="single" w:sz="4" w:space="0" w:color="auto"/>
              <w:left w:val="nil"/>
              <w:right w:val="nil"/>
            </w:tcBorders>
          </w:tcPr>
          <w:p w:rsidR="00D220A1" w:rsidRDefault="002675A8" w:rsidP="00855620">
            <w:pPr>
              <w:jc w:val="center"/>
              <w:rPr>
                <w:color w:val="000000"/>
                <w:sz w:val="20"/>
                <w:szCs w:val="20"/>
              </w:rPr>
            </w:pPr>
            <w:r>
              <w:rPr>
                <w:color w:val="000000"/>
                <w:sz w:val="20"/>
                <w:szCs w:val="20"/>
              </w:rPr>
              <w:t xml:space="preserve">Analysis of results, recommendation for topics and targets. </w:t>
            </w:r>
          </w:p>
        </w:tc>
      </w:tr>
      <w:tr w:rsidR="00855620" w:rsidRPr="00040B4C" w:rsidTr="00855620">
        <w:tc>
          <w:tcPr>
            <w:tcW w:w="5245" w:type="dxa"/>
            <w:tcBorders>
              <w:top w:val="single" w:sz="4" w:space="0" w:color="auto"/>
              <w:left w:val="nil"/>
              <w:right w:val="nil"/>
            </w:tcBorders>
          </w:tcPr>
          <w:p w:rsidR="00855620" w:rsidRDefault="00855620" w:rsidP="005842AF">
            <w:pPr>
              <w:ind w:left="72"/>
              <w:rPr>
                <w:color w:val="000000"/>
                <w:sz w:val="20"/>
                <w:szCs w:val="20"/>
              </w:rPr>
            </w:pPr>
            <w:r>
              <w:rPr>
                <w:color w:val="000000"/>
                <w:sz w:val="20"/>
                <w:szCs w:val="20"/>
              </w:rPr>
              <w:t xml:space="preserve">Establish evaluation mechanisms </w:t>
            </w:r>
            <w:r w:rsidR="005842AF">
              <w:rPr>
                <w:color w:val="000000"/>
                <w:sz w:val="20"/>
                <w:szCs w:val="20"/>
              </w:rPr>
              <w:t xml:space="preserve">both for existing and new </w:t>
            </w:r>
            <w:r>
              <w:rPr>
                <w:color w:val="000000"/>
                <w:sz w:val="20"/>
                <w:szCs w:val="20"/>
              </w:rPr>
              <w:t xml:space="preserve">programs under the NSFE and conduct regular evaluations, </w:t>
            </w:r>
            <w:r>
              <w:rPr>
                <w:color w:val="000000"/>
                <w:sz w:val="20"/>
                <w:szCs w:val="20"/>
              </w:rPr>
              <w:lastRenderedPageBreak/>
              <w:t xml:space="preserve">publish results and case studies. </w:t>
            </w:r>
          </w:p>
        </w:tc>
        <w:tc>
          <w:tcPr>
            <w:tcW w:w="1276" w:type="dxa"/>
            <w:tcBorders>
              <w:top w:val="single" w:sz="4" w:space="0" w:color="auto"/>
              <w:left w:val="nil"/>
              <w:right w:val="nil"/>
            </w:tcBorders>
          </w:tcPr>
          <w:p w:rsidR="00855620" w:rsidRDefault="00855620" w:rsidP="00855620">
            <w:pPr>
              <w:jc w:val="center"/>
              <w:rPr>
                <w:color w:val="000000"/>
                <w:sz w:val="20"/>
                <w:szCs w:val="20"/>
              </w:rPr>
            </w:pPr>
            <w:r>
              <w:rPr>
                <w:color w:val="000000"/>
                <w:sz w:val="20"/>
                <w:szCs w:val="20"/>
              </w:rPr>
              <w:lastRenderedPageBreak/>
              <w:t xml:space="preserve">Members of the Steering </w:t>
            </w:r>
            <w:r>
              <w:rPr>
                <w:color w:val="000000"/>
                <w:sz w:val="20"/>
                <w:szCs w:val="20"/>
              </w:rPr>
              <w:lastRenderedPageBreak/>
              <w:t xml:space="preserve">Committee </w:t>
            </w:r>
          </w:p>
        </w:tc>
        <w:tc>
          <w:tcPr>
            <w:tcW w:w="992" w:type="dxa"/>
            <w:tcBorders>
              <w:top w:val="single" w:sz="4" w:space="0" w:color="auto"/>
              <w:left w:val="nil"/>
              <w:right w:val="nil"/>
            </w:tcBorders>
          </w:tcPr>
          <w:p w:rsidR="00855620" w:rsidRDefault="00855620" w:rsidP="00855620">
            <w:pPr>
              <w:jc w:val="center"/>
              <w:rPr>
                <w:color w:val="000000"/>
                <w:sz w:val="20"/>
                <w:szCs w:val="20"/>
              </w:rPr>
            </w:pPr>
            <w:r>
              <w:rPr>
                <w:color w:val="000000"/>
                <w:sz w:val="20"/>
                <w:szCs w:val="20"/>
              </w:rPr>
              <w:lastRenderedPageBreak/>
              <w:t xml:space="preserve">Medium </w:t>
            </w:r>
          </w:p>
        </w:tc>
        <w:tc>
          <w:tcPr>
            <w:tcW w:w="1307" w:type="dxa"/>
            <w:tcBorders>
              <w:top w:val="single" w:sz="4" w:space="0" w:color="auto"/>
              <w:left w:val="nil"/>
              <w:right w:val="nil"/>
            </w:tcBorders>
          </w:tcPr>
          <w:p w:rsidR="00855620" w:rsidRPr="00040B4C" w:rsidRDefault="00855620" w:rsidP="00855620">
            <w:pPr>
              <w:jc w:val="center"/>
              <w:rPr>
                <w:color w:val="000000"/>
                <w:sz w:val="20"/>
                <w:szCs w:val="20"/>
              </w:rPr>
            </w:pPr>
            <w:r>
              <w:rPr>
                <w:color w:val="000000"/>
                <w:sz w:val="20"/>
                <w:szCs w:val="20"/>
              </w:rPr>
              <w:t xml:space="preserve">Evaluation mechanisms, </w:t>
            </w:r>
            <w:r>
              <w:rPr>
                <w:color w:val="000000"/>
                <w:sz w:val="20"/>
                <w:szCs w:val="20"/>
              </w:rPr>
              <w:lastRenderedPageBreak/>
              <w:t>published results</w:t>
            </w:r>
          </w:p>
        </w:tc>
      </w:tr>
      <w:tr w:rsidR="00361E0A" w:rsidRPr="00040B4C" w:rsidTr="00867FE2">
        <w:tc>
          <w:tcPr>
            <w:tcW w:w="5245" w:type="dxa"/>
            <w:tcBorders>
              <w:left w:val="nil"/>
              <w:right w:val="nil"/>
            </w:tcBorders>
          </w:tcPr>
          <w:p w:rsidR="00361E0A" w:rsidRPr="00040B4C" w:rsidRDefault="00361E0A" w:rsidP="00867FE2">
            <w:pPr>
              <w:ind w:left="72"/>
              <w:rPr>
                <w:color w:val="000000"/>
                <w:sz w:val="20"/>
                <w:szCs w:val="20"/>
              </w:rPr>
            </w:pPr>
            <w:r>
              <w:rPr>
                <w:color w:val="000000"/>
                <w:sz w:val="20"/>
                <w:szCs w:val="20"/>
              </w:rPr>
              <w:lastRenderedPageBreak/>
              <w:t xml:space="preserve">Provide financial education and information to consumers through the media, encourage civil society and industry associations to expand their financial education activities and share their materials. </w:t>
            </w:r>
          </w:p>
        </w:tc>
        <w:tc>
          <w:tcPr>
            <w:tcW w:w="1276" w:type="dxa"/>
            <w:tcBorders>
              <w:left w:val="nil"/>
              <w:right w:val="nil"/>
            </w:tcBorders>
          </w:tcPr>
          <w:p w:rsidR="00361E0A" w:rsidRPr="0000341E" w:rsidRDefault="00361E0A" w:rsidP="00867FE2">
            <w:pPr>
              <w:ind w:left="-108" w:right="-108"/>
              <w:jc w:val="center"/>
              <w:rPr>
                <w:color w:val="000000"/>
                <w:sz w:val="19"/>
                <w:szCs w:val="19"/>
              </w:rPr>
            </w:pPr>
            <w:r>
              <w:rPr>
                <w:color w:val="000000"/>
                <w:sz w:val="20"/>
                <w:szCs w:val="20"/>
              </w:rPr>
              <w:t>Members of the Steering Committee</w:t>
            </w:r>
          </w:p>
        </w:tc>
        <w:tc>
          <w:tcPr>
            <w:tcW w:w="992" w:type="dxa"/>
            <w:tcBorders>
              <w:left w:val="nil"/>
              <w:right w:val="nil"/>
            </w:tcBorders>
          </w:tcPr>
          <w:p w:rsidR="00361E0A" w:rsidRDefault="00361E0A" w:rsidP="00867FE2">
            <w:pPr>
              <w:jc w:val="center"/>
              <w:rPr>
                <w:color w:val="000000"/>
                <w:sz w:val="20"/>
                <w:szCs w:val="20"/>
              </w:rPr>
            </w:pPr>
            <w:r>
              <w:rPr>
                <w:color w:val="000000"/>
                <w:sz w:val="20"/>
                <w:szCs w:val="20"/>
              </w:rPr>
              <w:t>Medium</w:t>
            </w:r>
          </w:p>
        </w:tc>
        <w:tc>
          <w:tcPr>
            <w:tcW w:w="1307" w:type="dxa"/>
            <w:tcBorders>
              <w:left w:val="nil"/>
              <w:right w:val="nil"/>
            </w:tcBorders>
          </w:tcPr>
          <w:p w:rsidR="00361E0A" w:rsidRPr="00805C89" w:rsidRDefault="00361E0A" w:rsidP="00867FE2">
            <w:pPr>
              <w:ind w:left="-108" w:right="-108"/>
              <w:jc w:val="center"/>
              <w:rPr>
                <w:color w:val="000000"/>
                <w:sz w:val="19"/>
                <w:szCs w:val="19"/>
              </w:rPr>
            </w:pPr>
            <w:r>
              <w:rPr>
                <w:color w:val="000000"/>
                <w:sz w:val="19"/>
                <w:szCs w:val="19"/>
              </w:rPr>
              <w:t xml:space="preserve">Financial education programs and </w:t>
            </w:r>
            <w:r w:rsidRPr="00805C89">
              <w:rPr>
                <w:color w:val="000000"/>
                <w:sz w:val="19"/>
                <w:szCs w:val="19"/>
              </w:rPr>
              <w:t xml:space="preserve"> materials</w:t>
            </w:r>
          </w:p>
        </w:tc>
      </w:tr>
      <w:tr w:rsidR="00E64A31" w:rsidRPr="00040B4C" w:rsidTr="00F00C93">
        <w:tc>
          <w:tcPr>
            <w:tcW w:w="5245" w:type="dxa"/>
            <w:tcBorders>
              <w:left w:val="nil"/>
              <w:right w:val="nil"/>
            </w:tcBorders>
          </w:tcPr>
          <w:p w:rsidR="00E64A31" w:rsidRPr="00040B4C" w:rsidRDefault="00E64A31" w:rsidP="00805C89">
            <w:pPr>
              <w:ind w:left="72"/>
              <w:rPr>
                <w:color w:val="000000"/>
                <w:sz w:val="20"/>
                <w:szCs w:val="20"/>
              </w:rPr>
            </w:pPr>
            <w:r>
              <w:rPr>
                <w:color w:val="000000"/>
                <w:sz w:val="20"/>
                <w:szCs w:val="20"/>
              </w:rPr>
              <w:t xml:space="preserve">Consider establishing an Armenian Financial Awareness Foundation to finance key financial education initiatives. </w:t>
            </w:r>
          </w:p>
        </w:tc>
        <w:tc>
          <w:tcPr>
            <w:tcW w:w="1276" w:type="dxa"/>
            <w:tcBorders>
              <w:left w:val="nil"/>
              <w:right w:val="nil"/>
            </w:tcBorders>
          </w:tcPr>
          <w:p w:rsidR="00E64A31" w:rsidRPr="00040B4C" w:rsidRDefault="00855620" w:rsidP="00855620">
            <w:pPr>
              <w:jc w:val="center"/>
              <w:rPr>
                <w:color w:val="000000"/>
                <w:sz w:val="20"/>
                <w:szCs w:val="20"/>
              </w:rPr>
            </w:pPr>
            <w:r>
              <w:rPr>
                <w:color w:val="000000"/>
                <w:sz w:val="20"/>
                <w:szCs w:val="20"/>
              </w:rPr>
              <w:t>Members of the Steering Committee</w:t>
            </w:r>
          </w:p>
        </w:tc>
        <w:tc>
          <w:tcPr>
            <w:tcW w:w="992" w:type="dxa"/>
            <w:tcBorders>
              <w:left w:val="nil"/>
              <w:right w:val="nil"/>
            </w:tcBorders>
          </w:tcPr>
          <w:p w:rsidR="00E64A31" w:rsidRPr="00040B4C" w:rsidRDefault="00855620" w:rsidP="00855620">
            <w:pPr>
              <w:jc w:val="center"/>
              <w:rPr>
                <w:color w:val="000000"/>
                <w:sz w:val="20"/>
                <w:szCs w:val="20"/>
              </w:rPr>
            </w:pPr>
            <w:r>
              <w:rPr>
                <w:color w:val="000000"/>
                <w:sz w:val="20"/>
                <w:szCs w:val="20"/>
              </w:rPr>
              <w:t>Long</w:t>
            </w:r>
          </w:p>
        </w:tc>
        <w:tc>
          <w:tcPr>
            <w:tcW w:w="1307" w:type="dxa"/>
            <w:tcBorders>
              <w:left w:val="nil"/>
              <w:right w:val="nil"/>
            </w:tcBorders>
          </w:tcPr>
          <w:p w:rsidR="00E64A31" w:rsidRPr="00040B4C" w:rsidRDefault="00855620" w:rsidP="00855620">
            <w:pPr>
              <w:jc w:val="center"/>
              <w:rPr>
                <w:color w:val="000000"/>
                <w:sz w:val="20"/>
                <w:szCs w:val="20"/>
              </w:rPr>
            </w:pPr>
            <w:r>
              <w:rPr>
                <w:color w:val="000000"/>
                <w:sz w:val="20"/>
                <w:szCs w:val="20"/>
              </w:rPr>
              <w:t>Analysis</w:t>
            </w:r>
          </w:p>
        </w:tc>
      </w:tr>
      <w:tr w:rsidR="00E64A31" w:rsidRPr="00040B4C" w:rsidTr="00F00C93">
        <w:tc>
          <w:tcPr>
            <w:tcW w:w="5245" w:type="dxa"/>
            <w:tcBorders>
              <w:left w:val="nil"/>
              <w:right w:val="nil"/>
            </w:tcBorders>
          </w:tcPr>
          <w:p w:rsidR="00E64A31" w:rsidRDefault="00E64A31" w:rsidP="00460909">
            <w:pPr>
              <w:ind w:left="72"/>
              <w:rPr>
                <w:color w:val="000000"/>
                <w:sz w:val="20"/>
                <w:szCs w:val="20"/>
              </w:rPr>
            </w:pPr>
            <w:r>
              <w:rPr>
                <w:color w:val="000000"/>
                <w:sz w:val="20"/>
                <w:szCs w:val="20"/>
              </w:rPr>
              <w:t xml:space="preserve">Evaluate and update school curricula. </w:t>
            </w:r>
          </w:p>
        </w:tc>
        <w:tc>
          <w:tcPr>
            <w:tcW w:w="1276" w:type="dxa"/>
            <w:tcBorders>
              <w:left w:val="nil"/>
              <w:right w:val="nil"/>
            </w:tcBorders>
          </w:tcPr>
          <w:p w:rsidR="00E64A31" w:rsidRPr="0000341E" w:rsidRDefault="00855620" w:rsidP="00855620">
            <w:pPr>
              <w:ind w:left="-108" w:right="-108"/>
              <w:jc w:val="center"/>
              <w:rPr>
                <w:color w:val="000000"/>
                <w:sz w:val="19"/>
                <w:szCs w:val="19"/>
              </w:rPr>
            </w:pPr>
            <w:r>
              <w:rPr>
                <w:color w:val="000000"/>
                <w:sz w:val="19"/>
                <w:szCs w:val="19"/>
              </w:rPr>
              <w:t>MoES, CBA</w:t>
            </w:r>
          </w:p>
        </w:tc>
        <w:tc>
          <w:tcPr>
            <w:tcW w:w="992" w:type="dxa"/>
            <w:tcBorders>
              <w:left w:val="nil"/>
              <w:right w:val="nil"/>
            </w:tcBorders>
          </w:tcPr>
          <w:p w:rsidR="00E64A31" w:rsidRDefault="00855620" w:rsidP="00855620">
            <w:pPr>
              <w:jc w:val="center"/>
              <w:rPr>
                <w:color w:val="000000"/>
                <w:sz w:val="20"/>
                <w:szCs w:val="20"/>
              </w:rPr>
            </w:pPr>
            <w:r>
              <w:rPr>
                <w:color w:val="000000"/>
                <w:sz w:val="20"/>
                <w:szCs w:val="20"/>
              </w:rPr>
              <w:t>Short</w:t>
            </w:r>
          </w:p>
        </w:tc>
        <w:tc>
          <w:tcPr>
            <w:tcW w:w="1307" w:type="dxa"/>
            <w:tcBorders>
              <w:left w:val="nil"/>
              <w:right w:val="nil"/>
            </w:tcBorders>
          </w:tcPr>
          <w:p w:rsidR="00E64A31" w:rsidRPr="00805C89" w:rsidRDefault="00855620" w:rsidP="00855620">
            <w:pPr>
              <w:ind w:left="-108" w:right="-108"/>
              <w:jc w:val="center"/>
              <w:rPr>
                <w:color w:val="000000"/>
                <w:sz w:val="19"/>
                <w:szCs w:val="19"/>
              </w:rPr>
            </w:pPr>
            <w:r>
              <w:rPr>
                <w:color w:val="000000"/>
                <w:sz w:val="19"/>
                <w:szCs w:val="19"/>
              </w:rPr>
              <w:t>Updated curriculum</w:t>
            </w:r>
          </w:p>
        </w:tc>
      </w:tr>
      <w:tr w:rsidR="00E64A31" w:rsidRPr="00040B4C" w:rsidTr="00F00C93">
        <w:tc>
          <w:tcPr>
            <w:tcW w:w="5245" w:type="dxa"/>
            <w:tcBorders>
              <w:left w:val="nil"/>
              <w:right w:val="nil"/>
            </w:tcBorders>
          </w:tcPr>
          <w:p w:rsidR="00E64A31" w:rsidRDefault="00E64A31" w:rsidP="00460909">
            <w:pPr>
              <w:ind w:left="72"/>
              <w:rPr>
                <w:color w:val="000000"/>
                <w:sz w:val="20"/>
                <w:szCs w:val="20"/>
              </w:rPr>
            </w:pPr>
            <w:r>
              <w:rPr>
                <w:color w:val="000000"/>
                <w:sz w:val="20"/>
                <w:szCs w:val="20"/>
              </w:rPr>
              <w:t xml:space="preserve">Develop and improve teaching materials and tools and train teachers in financial issues. </w:t>
            </w:r>
          </w:p>
        </w:tc>
        <w:tc>
          <w:tcPr>
            <w:tcW w:w="1276" w:type="dxa"/>
            <w:tcBorders>
              <w:left w:val="nil"/>
              <w:right w:val="nil"/>
            </w:tcBorders>
          </w:tcPr>
          <w:p w:rsidR="00E64A31" w:rsidRPr="0000341E" w:rsidRDefault="00855620" w:rsidP="00855620">
            <w:pPr>
              <w:ind w:left="-108" w:right="-108"/>
              <w:jc w:val="center"/>
              <w:rPr>
                <w:color w:val="000000"/>
                <w:sz w:val="19"/>
                <w:szCs w:val="19"/>
              </w:rPr>
            </w:pPr>
            <w:r>
              <w:rPr>
                <w:color w:val="000000"/>
                <w:sz w:val="19"/>
                <w:szCs w:val="19"/>
              </w:rPr>
              <w:t>MoES, CBA, industry associations</w:t>
            </w:r>
          </w:p>
        </w:tc>
        <w:tc>
          <w:tcPr>
            <w:tcW w:w="992" w:type="dxa"/>
            <w:tcBorders>
              <w:left w:val="nil"/>
              <w:right w:val="nil"/>
            </w:tcBorders>
          </w:tcPr>
          <w:p w:rsidR="00E64A31" w:rsidRDefault="00855620" w:rsidP="00855620">
            <w:pPr>
              <w:jc w:val="center"/>
              <w:rPr>
                <w:color w:val="000000"/>
                <w:sz w:val="20"/>
                <w:szCs w:val="20"/>
              </w:rPr>
            </w:pPr>
            <w:r>
              <w:rPr>
                <w:color w:val="000000"/>
                <w:sz w:val="20"/>
                <w:szCs w:val="20"/>
              </w:rPr>
              <w:t>Medium</w:t>
            </w:r>
          </w:p>
        </w:tc>
        <w:tc>
          <w:tcPr>
            <w:tcW w:w="1307" w:type="dxa"/>
            <w:tcBorders>
              <w:left w:val="nil"/>
              <w:right w:val="nil"/>
            </w:tcBorders>
          </w:tcPr>
          <w:p w:rsidR="00E64A31" w:rsidRPr="00805C89" w:rsidRDefault="00855620" w:rsidP="00361E0A">
            <w:pPr>
              <w:ind w:left="-108" w:right="-108"/>
              <w:jc w:val="center"/>
              <w:rPr>
                <w:color w:val="000000"/>
                <w:sz w:val="19"/>
                <w:szCs w:val="19"/>
              </w:rPr>
            </w:pPr>
            <w:r>
              <w:rPr>
                <w:color w:val="000000"/>
                <w:sz w:val="19"/>
                <w:szCs w:val="19"/>
              </w:rPr>
              <w:t xml:space="preserve">Teaching tools and teacher training </w:t>
            </w:r>
          </w:p>
        </w:tc>
      </w:tr>
      <w:tr w:rsidR="00E64A31" w:rsidRPr="00040B4C" w:rsidTr="00F00C93">
        <w:tc>
          <w:tcPr>
            <w:tcW w:w="5245" w:type="dxa"/>
            <w:tcBorders>
              <w:left w:val="nil"/>
              <w:right w:val="nil"/>
            </w:tcBorders>
          </w:tcPr>
          <w:p w:rsidR="00E64A31" w:rsidRDefault="00E64A31" w:rsidP="00F658C4">
            <w:pPr>
              <w:ind w:left="72"/>
              <w:rPr>
                <w:color w:val="000000"/>
                <w:sz w:val="20"/>
                <w:szCs w:val="20"/>
              </w:rPr>
            </w:pPr>
            <w:r w:rsidRPr="008D3E3F">
              <w:rPr>
                <w:color w:val="000000"/>
                <w:sz w:val="20"/>
                <w:szCs w:val="20"/>
              </w:rPr>
              <w:t xml:space="preserve">The CBA should strengthen its relationship with the media, </w:t>
            </w:r>
            <w:r>
              <w:rPr>
                <w:color w:val="000000"/>
                <w:sz w:val="20"/>
                <w:szCs w:val="20"/>
              </w:rPr>
              <w:t>including by providing</w:t>
            </w:r>
            <w:r w:rsidRPr="008D3E3F">
              <w:rPr>
                <w:color w:val="000000"/>
                <w:sz w:val="20"/>
                <w:szCs w:val="20"/>
              </w:rPr>
              <w:t xml:space="preserve"> financial education to journalists. </w:t>
            </w:r>
            <w:r w:rsidR="00F658C4">
              <w:rPr>
                <w:color w:val="000000"/>
                <w:sz w:val="20"/>
                <w:szCs w:val="20"/>
              </w:rPr>
              <w:t>T</w:t>
            </w:r>
            <w:r w:rsidRPr="008D3E3F">
              <w:rPr>
                <w:color w:val="000000"/>
                <w:sz w:val="20"/>
                <w:szCs w:val="20"/>
              </w:rPr>
              <w:t>he CBA should prepare press statements and articles that summarize findings of reports that relate to consumer finance, summarize and explain in simple terms draft regulations that are related to consumer protection issues.</w:t>
            </w:r>
          </w:p>
        </w:tc>
        <w:tc>
          <w:tcPr>
            <w:tcW w:w="1276" w:type="dxa"/>
            <w:tcBorders>
              <w:left w:val="nil"/>
              <w:right w:val="nil"/>
            </w:tcBorders>
          </w:tcPr>
          <w:p w:rsidR="00E64A31" w:rsidRPr="0000341E" w:rsidRDefault="00F658C4" w:rsidP="00855620">
            <w:pPr>
              <w:ind w:left="-108" w:right="-108"/>
              <w:jc w:val="center"/>
              <w:rPr>
                <w:color w:val="000000"/>
                <w:sz w:val="19"/>
                <w:szCs w:val="19"/>
              </w:rPr>
            </w:pPr>
            <w:r>
              <w:rPr>
                <w:color w:val="000000"/>
                <w:sz w:val="19"/>
                <w:szCs w:val="19"/>
              </w:rPr>
              <w:t xml:space="preserve">CBA </w:t>
            </w:r>
          </w:p>
        </w:tc>
        <w:tc>
          <w:tcPr>
            <w:tcW w:w="992" w:type="dxa"/>
            <w:tcBorders>
              <w:left w:val="nil"/>
              <w:right w:val="nil"/>
            </w:tcBorders>
          </w:tcPr>
          <w:p w:rsidR="00E64A31" w:rsidRDefault="00F658C4" w:rsidP="00855620">
            <w:pPr>
              <w:jc w:val="center"/>
              <w:rPr>
                <w:color w:val="000000"/>
                <w:sz w:val="20"/>
                <w:szCs w:val="20"/>
              </w:rPr>
            </w:pPr>
            <w:r>
              <w:rPr>
                <w:color w:val="000000"/>
                <w:sz w:val="20"/>
                <w:szCs w:val="20"/>
              </w:rPr>
              <w:t>Medium</w:t>
            </w:r>
          </w:p>
        </w:tc>
        <w:tc>
          <w:tcPr>
            <w:tcW w:w="1307" w:type="dxa"/>
            <w:tcBorders>
              <w:left w:val="nil"/>
              <w:right w:val="nil"/>
            </w:tcBorders>
          </w:tcPr>
          <w:p w:rsidR="00E64A31" w:rsidRPr="00805C89" w:rsidRDefault="00F658C4" w:rsidP="00855620">
            <w:pPr>
              <w:ind w:left="-108" w:right="-108"/>
              <w:jc w:val="center"/>
              <w:rPr>
                <w:color w:val="000000"/>
                <w:sz w:val="19"/>
                <w:szCs w:val="19"/>
              </w:rPr>
            </w:pPr>
            <w:r>
              <w:rPr>
                <w:color w:val="000000"/>
                <w:sz w:val="19"/>
                <w:szCs w:val="19"/>
              </w:rPr>
              <w:t>Improved media coverage of consumer protection issues</w:t>
            </w:r>
          </w:p>
        </w:tc>
      </w:tr>
      <w:tr w:rsidR="00E64A31" w:rsidRPr="00040B4C" w:rsidTr="00F00C93">
        <w:tc>
          <w:tcPr>
            <w:tcW w:w="5245" w:type="dxa"/>
            <w:tcBorders>
              <w:left w:val="nil"/>
              <w:bottom w:val="single" w:sz="4" w:space="0" w:color="auto"/>
              <w:right w:val="nil"/>
            </w:tcBorders>
          </w:tcPr>
          <w:p w:rsidR="00E64A31" w:rsidRPr="00040B4C" w:rsidRDefault="00E64A31" w:rsidP="00061881">
            <w:pPr>
              <w:ind w:left="72"/>
              <w:rPr>
                <w:color w:val="000000"/>
                <w:sz w:val="20"/>
                <w:szCs w:val="20"/>
              </w:rPr>
            </w:pPr>
            <w:r w:rsidRPr="00040B4C">
              <w:rPr>
                <w:color w:val="000000"/>
                <w:sz w:val="20"/>
                <w:szCs w:val="20"/>
              </w:rPr>
              <w:t>Provide reliable and objective information on financial sector issues to consumers (e.g. glossary of terms, brochures)</w:t>
            </w:r>
            <w:r>
              <w:rPr>
                <w:color w:val="000000"/>
                <w:sz w:val="20"/>
                <w:szCs w:val="20"/>
              </w:rPr>
              <w:t>.</w:t>
            </w:r>
          </w:p>
        </w:tc>
        <w:tc>
          <w:tcPr>
            <w:tcW w:w="1276" w:type="dxa"/>
            <w:tcBorders>
              <w:left w:val="nil"/>
              <w:bottom w:val="single" w:sz="4" w:space="0" w:color="auto"/>
              <w:right w:val="nil"/>
            </w:tcBorders>
          </w:tcPr>
          <w:p w:rsidR="00E64A31" w:rsidRPr="00040B4C" w:rsidRDefault="00F658C4" w:rsidP="00855620">
            <w:pPr>
              <w:jc w:val="center"/>
              <w:rPr>
                <w:color w:val="000000"/>
                <w:sz w:val="20"/>
                <w:szCs w:val="20"/>
              </w:rPr>
            </w:pPr>
            <w:r>
              <w:rPr>
                <w:color w:val="000000"/>
                <w:sz w:val="20"/>
                <w:szCs w:val="20"/>
              </w:rPr>
              <w:t>CBA</w:t>
            </w:r>
          </w:p>
        </w:tc>
        <w:tc>
          <w:tcPr>
            <w:tcW w:w="992" w:type="dxa"/>
            <w:tcBorders>
              <w:left w:val="nil"/>
              <w:bottom w:val="single" w:sz="4" w:space="0" w:color="auto"/>
              <w:right w:val="nil"/>
            </w:tcBorders>
          </w:tcPr>
          <w:p w:rsidR="00E64A31" w:rsidRPr="00040B4C" w:rsidRDefault="00E64A31" w:rsidP="00855620">
            <w:pPr>
              <w:jc w:val="center"/>
              <w:rPr>
                <w:color w:val="000000"/>
                <w:sz w:val="20"/>
                <w:szCs w:val="20"/>
              </w:rPr>
            </w:pPr>
            <w:r>
              <w:rPr>
                <w:color w:val="000000"/>
                <w:sz w:val="20"/>
                <w:szCs w:val="20"/>
              </w:rPr>
              <w:t>Medium</w:t>
            </w:r>
          </w:p>
        </w:tc>
        <w:tc>
          <w:tcPr>
            <w:tcW w:w="1307" w:type="dxa"/>
            <w:tcBorders>
              <w:left w:val="nil"/>
              <w:bottom w:val="single" w:sz="4" w:space="0" w:color="auto"/>
              <w:right w:val="nil"/>
            </w:tcBorders>
          </w:tcPr>
          <w:p w:rsidR="00E64A31" w:rsidRPr="00390775" w:rsidRDefault="00E64A31" w:rsidP="00855620">
            <w:pPr>
              <w:ind w:left="-108" w:right="-108"/>
              <w:jc w:val="center"/>
              <w:rPr>
                <w:color w:val="000000"/>
                <w:sz w:val="19"/>
                <w:szCs w:val="19"/>
              </w:rPr>
            </w:pPr>
            <w:r w:rsidRPr="00390775">
              <w:rPr>
                <w:color w:val="000000"/>
                <w:sz w:val="19"/>
                <w:szCs w:val="19"/>
              </w:rPr>
              <w:t>Informational materials</w:t>
            </w:r>
          </w:p>
        </w:tc>
      </w:tr>
      <w:tr w:rsidR="00E64A31" w:rsidRPr="00040B4C" w:rsidTr="00F00C93">
        <w:tc>
          <w:tcPr>
            <w:tcW w:w="5245" w:type="dxa"/>
            <w:tcBorders>
              <w:left w:val="nil"/>
              <w:right w:val="nil"/>
            </w:tcBorders>
          </w:tcPr>
          <w:p w:rsidR="00E64A31" w:rsidRPr="00040B4C" w:rsidRDefault="00E64A31" w:rsidP="00460909">
            <w:pPr>
              <w:ind w:left="72"/>
              <w:rPr>
                <w:sz w:val="20"/>
                <w:szCs w:val="20"/>
              </w:rPr>
            </w:pPr>
            <w:r w:rsidRPr="00040B4C">
              <w:rPr>
                <w:sz w:val="20"/>
                <w:szCs w:val="20"/>
              </w:rPr>
              <w:t>Implement regular surveys and evaluations to assess the impact of financial capability initiatives</w:t>
            </w:r>
            <w:r>
              <w:rPr>
                <w:sz w:val="20"/>
                <w:szCs w:val="20"/>
              </w:rPr>
              <w:t>.</w:t>
            </w:r>
            <w:r w:rsidR="00D220A1">
              <w:rPr>
                <w:sz w:val="20"/>
                <w:szCs w:val="20"/>
              </w:rPr>
              <w:t xml:space="preserve"> </w:t>
            </w:r>
          </w:p>
        </w:tc>
        <w:tc>
          <w:tcPr>
            <w:tcW w:w="1276" w:type="dxa"/>
            <w:tcBorders>
              <w:left w:val="nil"/>
              <w:right w:val="nil"/>
            </w:tcBorders>
          </w:tcPr>
          <w:p w:rsidR="00E64A31" w:rsidRPr="00040B4C" w:rsidRDefault="00F658C4" w:rsidP="00855620">
            <w:pPr>
              <w:jc w:val="center"/>
              <w:rPr>
                <w:sz w:val="20"/>
                <w:szCs w:val="20"/>
              </w:rPr>
            </w:pPr>
            <w:r>
              <w:rPr>
                <w:sz w:val="20"/>
                <w:szCs w:val="20"/>
              </w:rPr>
              <w:t>CBA</w:t>
            </w:r>
          </w:p>
        </w:tc>
        <w:tc>
          <w:tcPr>
            <w:tcW w:w="992" w:type="dxa"/>
            <w:tcBorders>
              <w:left w:val="nil"/>
              <w:right w:val="nil"/>
            </w:tcBorders>
          </w:tcPr>
          <w:p w:rsidR="00E64A31" w:rsidRPr="00040B4C" w:rsidRDefault="00E64A31" w:rsidP="00855620">
            <w:pPr>
              <w:jc w:val="center"/>
              <w:rPr>
                <w:sz w:val="20"/>
                <w:szCs w:val="20"/>
              </w:rPr>
            </w:pPr>
            <w:r>
              <w:rPr>
                <w:sz w:val="20"/>
                <w:szCs w:val="20"/>
              </w:rPr>
              <w:t>Long</w:t>
            </w:r>
          </w:p>
        </w:tc>
        <w:tc>
          <w:tcPr>
            <w:tcW w:w="1307" w:type="dxa"/>
            <w:tcBorders>
              <w:left w:val="nil"/>
              <w:right w:val="nil"/>
            </w:tcBorders>
          </w:tcPr>
          <w:p w:rsidR="00E64A31" w:rsidRPr="00040B4C" w:rsidRDefault="00E64A31" w:rsidP="00855620">
            <w:pPr>
              <w:jc w:val="center"/>
              <w:rPr>
                <w:sz w:val="20"/>
                <w:szCs w:val="20"/>
              </w:rPr>
            </w:pPr>
            <w:r w:rsidRPr="00040B4C">
              <w:rPr>
                <w:sz w:val="20"/>
                <w:szCs w:val="20"/>
              </w:rPr>
              <w:t>Surveys and studies</w:t>
            </w:r>
          </w:p>
        </w:tc>
      </w:tr>
      <w:tr w:rsidR="00E64A31" w:rsidRPr="00040B4C" w:rsidTr="00F00C93">
        <w:tc>
          <w:tcPr>
            <w:tcW w:w="5245" w:type="dxa"/>
            <w:tcBorders>
              <w:left w:val="nil"/>
              <w:bottom w:val="single" w:sz="12" w:space="0" w:color="auto"/>
              <w:right w:val="nil"/>
            </w:tcBorders>
          </w:tcPr>
          <w:p w:rsidR="00E64A31" w:rsidRPr="00040B4C" w:rsidRDefault="00E64A31" w:rsidP="00061881">
            <w:pPr>
              <w:ind w:left="72"/>
              <w:rPr>
                <w:sz w:val="20"/>
                <w:szCs w:val="20"/>
              </w:rPr>
            </w:pPr>
            <w:r>
              <w:rPr>
                <w:sz w:val="20"/>
                <w:szCs w:val="20"/>
              </w:rPr>
              <w:t xml:space="preserve">Establish a virtual (internet/Facebook) financial advisor to answer questions from the public. </w:t>
            </w:r>
          </w:p>
        </w:tc>
        <w:tc>
          <w:tcPr>
            <w:tcW w:w="1276" w:type="dxa"/>
            <w:tcBorders>
              <w:left w:val="nil"/>
              <w:bottom w:val="single" w:sz="12" w:space="0" w:color="auto"/>
              <w:right w:val="nil"/>
            </w:tcBorders>
          </w:tcPr>
          <w:p w:rsidR="00E64A31" w:rsidRPr="00040B4C" w:rsidRDefault="00F658C4" w:rsidP="00855620">
            <w:pPr>
              <w:jc w:val="center"/>
              <w:rPr>
                <w:sz w:val="20"/>
                <w:szCs w:val="20"/>
              </w:rPr>
            </w:pPr>
            <w:r>
              <w:rPr>
                <w:sz w:val="20"/>
                <w:szCs w:val="20"/>
              </w:rPr>
              <w:t>CBA</w:t>
            </w:r>
          </w:p>
        </w:tc>
        <w:tc>
          <w:tcPr>
            <w:tcW w:w="992" w:type="dxa"/>
            <w:tcBorders>
              <w:left w:val="nil"/>
              <w:bottom w:val="single" w:sz="12" w:space="0" w:color="auto"/>
              <w:right w:val="nil"/>
            </w:tcBorders>
          </w:tcPr>
          <w:p w:rsidR="00E64A31" w:rsidRDefault="00F658C4" w:rsidP="00855620">
            <w:pPr>
              <w:jc w:val="center"/>
              <w:rPr>
                <w:sz w:val="20"/>
                <w:szCs w:val="20"/>
              </w:rPr>
            </w:pPr>
            <w:r>
              <w:rPr>
                <w:sz w:val="20"/>
                <w:szCs w:val="20"/>
              </w:rPr>
              <w:t>Medium</w:t>
            </w:r>
          </w:p>
        </w:tc>
        <w:tc>
          <w:tcPr>
            <w:tcW w:w="1307" w:type="dxa"/>
            <w:tcBorders>
              <w:left w:val="nil"/>
              <w:bottom w:val="single" w:sz="12" w:space="0" w:color="auto"/>
              <w:right w:val="nil"/>
            </w:tcBorders>
          </w:tcPr>
          <w:p w:rsidR="00E64A31" w:rsidRPr="00040B4C" w:rsidRDefault="00F658C4" w:rsidP="00855620">
            <w:pPr>
              <w:jc w:val="center"/>
              <w:rPr>
                <w:sz w:val="20"/>
                <w:szCs w:val="20"/>
              </w:rPr>
            </w:pPr>
            <w:r>
              <w:rPr>
                <w:sz w:val="20"/>
                <w:szCs w:val="20"/>
              </w:rPr>
              <w:t>Opening a modern communica-tion channel</w:t>
            </w:r>
          </w:p>
        </w:tc>
      </w:tr>
    </w:tbl>
    <w:p w:rsidR="00643797" w:rsidRDefault="00061881">
      <w:pPr>
        <w:rPr>
          <w:rFonts w:ascii="Arial" w:hAnsi="Arial" w:cs="Arial"/>
          <w:kern w:val="32"/>
          <w:sz w:val="22"/>
          <w:szCs w:val="22"/>
        </w:rPr>
      </w:pPr>
      <w:bookmarkStart w:id="53" w:name="_Toc171737673"/>
      <w:bookmarkStart w:id="54" w:name="_Ref195586656"/>
      <w:bookmarkStart w:id="55" w:name="_Ref198535541"/>
      <w:r w:rsidRPr="00E06713">
        <w:rPr>
          <w:b/>
          <w:bCs/>
          <w:sz w:val="22"/>
          <w:szCs w:val="22"/>
        </w:rPr>
        <w:t xml:space="preserve"> </w:t>
      </w:r>
      <w:bookmarkEnd w:id="53"/>
      <w:bookmarkEnd w:id="54"/>
      <w:bookmarkEnd w:id="55"/>
      <w:r w:rsidR="00643797">
        <w:rPr>
          <w:b/>
          <w:bCs/>
          <w:sz w:val="22"/>
          <w:szCs w:val="22"/>
        </w:rPr>
        <w:br w:type="page"/>
      </w:r>
    </w:p>
    <w:p w:rsidR="00057AAD" w:rsidRPr="00643797" w:rsidRDefault="00643797" w:rsidP="00643797">
      <w:pPr>
        <w:pStyle w:val="Heading1"/>
        <w:numPr>
          <w:ilvl w:val="0"/>
          <w:numId w:val="41"/>
        </w:numPr>
        <w:ind w:left="0" w:firstLine="0"/>
        <w:jc w:val="center"/>
        <w:rPr>
          <w:rFonts w:ascii="Times New Roman" w:hAnsi="Times New Roman" w:cs="Times New Roman"/>
          <w:sz w:val="28"/>
          <w:szCs w:val="28"/>
          <w:lang w:eastAsia="cs-CZ"/>
        </w:rPr>
      </w:pPr>
      <w:bookmarkStart w:id="56" w:name="_Toc331409069"/>
      <w:r w:rsidRPr="00643797">
        <w:rPr>
          <w:rFonts w:ascii="Times New Roman" w:hAnsi="Times New Roman" w:cs="Times New Roman"/>
          <w:sz w:val="28"/>
          <w:szCs w:val="28"/>
          <w:lang w:eastAsia="cs-CZ"/>
        </w:rPr>
        <w:lastRenderedPageBreak/>
        <w:t>The World Bank 2012 Financial Literacy survey preliminary results</w:t>
      </w:r>
      <w:bookmarkEnd w:id="56"/>
    </w:p>
    <w:p w:rsidR="007C523F" w:rsidRDefault="007C523F" w:rsidP="007C523F">
      <w:pPr>
        <w:pStyle w:val="BodyText"/>
        <w:tabs>
          <w:tab w:val="left" w:pos="360"/>
          <w:tab w:val="left" w:pos="630"/>
        </w:tabs>
        <w:suppressAutoHyphens/>
        <w:spacing w:before="0" w:after="0" w:line="240" w:lineRule="auto"/>
        <w:rPr>
          <w:bCs/>
          <w:sz w:val="22"/>
          <w:szCs w:val="22"/>
        </w:rPr>
      </w:pPr>
    </w:p>
    <w:p w:rsidR="00643797" w:rsidRDefault="007C523F" w:rsidP="007C523F">
      <w:pPr>
        <w:pStyle w:val="BodyText"/>
        <w:tabs>
          <w:tab w:val="left" w:pos="360"/>
          <w:tab w:val="left" w:pos="630"/>
        </w:tabs>
        <w:suppressAutoHyphens/>
        <w:spacing w:before="0" w:after="0" w:line="240" w:lineRule="auto"/>
        <w:rPr>
          <w:bCs/>
          <w:sz w:val="22"/>
          <w:szCs w:val="22"/>
        </w:rPr>
      </w:pPr>
      <w:r w:rsidRPr="007C523F">
        <w:rPr>
          <w:bCs/>
          <w:sz w:val="22"/>
          <w:szCs w:val="22"/>
        </w:rPr>
        <w:t xml:space="preserve">Financial Capability Survey in Armenia (hereinafter: Survey) was implemented by </w:t>
      </w:r>
      <w:r>
        <w:rPr>
          <w:bCs/>
          <w:sz w:val="22"/>
          <w:szCs w:val="22"/>
        </w:rPr>
        <w:t>AM Partners Consulting Company</w:t>
      </w:r>
      <w:r w:rsidRPr="007C523F">
        <w:rPr>
          <w:bCs/>
          <w:sz w:val="22"/>
          <w:szCs w:val="22"/>
        </w:rPr>
        <w:t xml:space="preserve">. Client of the Survey is World Bank, and the beneficiary of Survey results is Central Bank of Armenia (hereinafter: CBA). Data collection of the Survey </w:t>
      </w:r>
      <w:r>
        <w:rPr>
          <w:bCs/>
          <w:sz w:val="22"/>
          <w:szCs w:val="22"/>
        </w:rPr>
        <w:t xml:space="preserve">was implemented in period of April 11 to May 20, </w:t>
      </w:r>
      <w:r w:rsidRPr="007C523F">
        <w:rPr>
          <w:bCs/>
          <w:sz w:val="22"/>
          <w:szCs w:val="22"/>
        </w:rPr>
        <w:t xml:space="preserve">2012.   </w:t>
      </w:r>
    </w:p>
    <w:p w:rsidR="007C523F" w:rsidRDefault="007C523F" w:rsidP="007C523F">
      <w:pPr>
        <w:pStyle w:val="BodyText"/>
        <w:tabs>
          <w:tab w:val="left" w:pos="360"/>
          <w:tab w:val="left" w:pos="630"/>
        </w:tabs>
        <w:suppressAutoHyphens/>
        <w:spacing w:before="0" w:after="0" w:line="240" w:lineRule="auto"/>
        <w:rPr>
          <w:bCs/>
          <w:sz w:val="22"/>
          <w:szCs w:val="22"/>
        </w:rPr>
      </w:pPr>
    </w:p>
    <w:p w:rsidR="007C523F" w:rsidRDefault="00747A2B" w:rsidP="007C523F">
      <w:pPr>
        <w:pStyle w:val="BodyText"/>
        <w:tabs>
          <w:tab w:val="left" w:pos="360"/>
          <w:tab w:val="left" w:pos="630"/>
        </w:tabs>
        <w:suppressAutoHyphens/>
        <w:spacing w:before="0" w:after="0" w:line="240" w:lineRule="auto"/>
        <w:rPr>
          <w:bCs/>
          <w:sz w:val="22"/>
          <w:szCs w:val="22"/>
        </w:rPr>
      </w:pPr>
      <w:r w:rsidRPr="00747A2B">
        <w:rPr>
          <w:bCs/>
          <w:sz w:val="22"/>
          <w:szCs w:val="22"/>
        </w:rPr>
        <w:t xml:space="preserve">The objective of the </w:t>
      </w:r>
      <w:r>
        <w:rPr>
          <w:bCs/>
          <w:sz w:val="22"/>
          <w:szCs w:val="22"/>
        </w:rPr>
        <w:t xml:space="preserve">survey was </w:t>
      </w:r>
      <w:r w:rsidRPr="00747A2B">
        <w:rPr>
          <w:bCs/>
          <w:sz w:val="22"/>
          <w:szCs w:val="22"/>
        </w:rPr>
        <w:t xml:space="preserve">to establish a nationally representative baseline of financial capabilities in Armenia that would provide the Government of Armenia with the information required to design financial education programs that will address the most important needs of the population. Such a baseline will also be important for allowing the government to be able to assess the effectiveness of certain financial education programs later on and decide which initiatives should be continued and perhaps scaled up and which should be modified or discontinued. </w:t>
      </w:r>
    </w:p>
    <w:p w:rsidR="00747A2B" w:rsidRDefault="00747A2B" w:rsidP="007C523F">
      <w:pPr>
        <w:pStyle w:val="BodyText"/>
        <w:tabs>
          <w:tab w:val="left" w:pos="360"/>
          <w:tab w:val="left" w:pos="630"/>
        </w:tabs>
        <w:suppressAutoHyphens/>
        <w:spacing w:before="0" w:after="0" w:line="240" w:lineRule="auto"/>
        <w:rPr>
          <w:bCs/>
          <w:sz w:val="22"/>
          <w:szCs w:val="22"/>
        </w:rPr>
      </w:pPr>
    </w:p>
    <w:p w:rsidR="00623D46" w:rsidRDefault="00747A2B" w:rsidP="007C523F">
      <w:pPr>
        <w:pStyle w:val="BodyText"/>
        <w:tabs>
          <w:tab w:val="left" w:pos="360"/>
          <w:tab w:val="left" w:pos="630"/>
        </w:tabs>
        <w:suppressAutoHyphens/>
        <w:spacing w:before="0" w:after="0" w:line="240" w:lineRule="auto"/>
        <w:rPr>
          <w:bCs/>
          <w:sz w:val="22"/>
          <w:szCs w:val="22"/>
        </w:rPr>
      </w:pPr>
      <w:r w:rsidRPr="00747A2B">
        <w:rPr>
          <w:bCs/>
          <w:sz w:val="22"/>
          <w:szCs w:val="22"/>
        </w:rPr>
        <w:t xml:space="preserve">For the Survey implementation the Consultant used the methodology developed by </w:t>
      </w:r>
      <w:r>
        <w:rPr>
          <w:bCs/>
          <w:sz w:val="22"/>
          <w:szCs w:val="22"/>
        </w:rPr>
        <w:t xml:space="preserve">the </w:t>
      </w:r>
      <w:r w:rsidRPr="00747A2B">
        <w:rPr>
          <w:bCs/>
          <w:sz w:val="22"/>
          <w:szCs w:val="22"/>
        </w:rPr>
        <w:t xml:space="preserve">Russia Financial Literacy and Education Trust Fund </w:t>
      </w:r>
      <w:r>
        <w:rPr>
          <w:bCs/>
          <w:sz w:val="22"/>
          <w:szCs w:val="22"/>
        </w:rPr>
        <w:t>(</w:t>
      </w:r>
      <w:r w:rsidRPr="00747A2B">
        <w:rPr>
          <w:bCs/>
          <w:sz w:val="22"/>
          <w:szCs w:val="22"/>
        </w:rPr>
        <w:t>FLIT</w:t>
      </w:r>
      <w:r>
        <w:rPr>
          <w:bCs/>
          <w:sz w:val="22"/>
          <w:szCs w:val="22"/>
        </w:rPr>
        <w:t>)</w:t>
      </w:r>
      <w:r w:rsidRPr="00747A2B">
        <w:rPr>
          <w:bCs/>
          <w:sz w:val="22"/>
          <w:szCs w:val="22"/>
        </w:rPr>
        <w:t>. The methodology has universal characteristics and was used in a number of countries. At the moment of Survey implementation in Armenia similar surveys were being implemented in Colombia, Mexico</w:t>
      </w:r>
      <w:r w:rsidR="006F2169">
        <w:rPr>
          <w:bCs/>
          <w:sz w:val="22"/>
          <w:szCs w:val="22"/>
        </w:rPr>
        <w:t xml:space="preserve">, Uruguay, Lebanon and Turkey. There were 2,000 interviews conducted. </w:t>
      </w:r>
    </w:p>
    <w:p w:rsidR="00623D46" w:rsidRDefault="00623D46" w:rsidP="007C523F">
      <w:pPr>
        <w:pStyle w:val="BodyText"/>
        <w:tabs>
          <w:tab w:val="left" w:pos="360"/>
          <w:tab w:val="left" w:pos="630"/>
        </w:tabs>
        <w:suppressAutoHyphens/>
        <w:spacing w:before="0" w:after="0" w:line="240" w:lineRule="auto"/>
        <w:rPr>
          <w:bCs/>
          <w:sz w:val="22"/>
          <w:szCs w:val="22"/>
        </w:rPr>
      </w:pPr>
    </w:p>
    <w:p w:rsidR="00747A2B" w:rsidRDefault="0075246F" w:rsidP="007C523F">
      <w:pPr>
        <w:pStyle w:val="BodyText"/>
        <w:tabs>
          <w:tab w:val="left" w:pos="360"/>
          <w:tab w:val="left" w:pos="630"/>
        </w:tabs>
        <w:suppressAutoHyphens/>
        <w:spacing w:before="0" w:after="0" w:line="240" w:lineRule="auto"/>
        <w:rPr>
          <w:bCs/>
          <w:sz w:val="22"/>
          <w:szCs w:val="22"/>
        </w:rPr>
      </w:pPr>
      <w:r>
        <w:rPr>
          <w:bCs/>
          <w:sz w:val="22"/>
          <w:szCs w:val="22"/>
        </w:rPr>
        <w:t xml:space="preserve">Some of the key results from the survey include: </w:t>
      </w:r>
    </w:p>
    <w:p w:rsidR="0075246F" w:rsidRDefault="0075246F" w:rsidP="007C523F">
      <w:pPr>
        <w:pStyle w:val="BodyText"/>
        <w:tabs>
          <w:tab w:val="left" w:pos="360"/>
          <w:tab w:val="left" w:pos="630"/>
        </w:tabs>
        <w:suppressAutoHyphens/>
        <w:spacing w:before="0" w:after="0" w:line="240" w:lineRule="auto"/>
        <w:rPr>
          <w:bCs/>
          <w:sz w:val="22"/>
          <w:szCs w:val="22"/>
        </w:rPr>
      </w:pPr>
    </w:p>
    <w:p w:rsidR="0075246F" w:rsidRDefault="0075246F" w:rsidP="0075246F">
      <w:pPr>
        <w:pStyle w:val="BodyText"/>
        <w:numPr>
          <w:ilvl w:val="0"/>
          <w:numId w:val="45"/>
        </w:numPr>
        <w:tabs>
          <w:tab w:val="left" w:pos="360"/>
          <w:tab w:val="left" w:pos="630"/>
        </w:tabs>
        <w:suppressAutoHyphens/>
        <w:spacing w:before="0" w:after="0" w:line="240" w:lineRule="auto"/>
        <w:rPr>
          <w:bCs/>
          <w:sz w:val="22"/>
          <w:szCs w:val="22"/>
        </w:rPr>
      </w:pPr>
      <w:r>
        <w:rPr>
          <w:bCs/>
          <w:sz w:val="22"/>
          <w:szCs w:val="22"/>
        </w:rPr>
        <w:t xml:space="preserve">89% of respondents plan how to spend their money but only 51% always </w:t>
      </w:r>
      <w:r w:rsidRPr="0075246F">
        <w:rPr>
          <w:bCs/>
          <w:sz w:val="22"/>
          <w:szCs w:val="22"/>
        </w:rPr>
        <w:t>spend the money as they plan it</w:t>
      </w:r>
      <w:r>
        <w:rPr>
          <w:bCs/>
          <w:sz w:val="22"/>
          <w:szCs w:val="22"/>
        </w:rPr>
        <w:t xml:space="preserve"> </w:t>
      </w:r>
    </w:p>
    <w:p w:rsidR="00F24454" w:rsidRDefault="00F24454" w:rsidP="00F24454">
      <w:pPr>
        <w:pStyle w:val="BodyText"/>
        <w:tabs>
          <w:tab w:val="left" w:pos="360"/>
          <w:tab w:val="left" w:pos="630"/>
        </w:tabs>
        <w:suppressAutoHyphens/>
        <w:spacing w:before="0" w:after="0" w:line="240" w:lineRule="auto"/>
        <w:ind w:left="720"/>
        <w:rPr>
          <w:bCs/>
          <w:sz w:val="22"/>
          <w:szCs w:val="22"/>
        </w:rPr>
      </w:pPr>
      <w:r>
        <w:rPr>
          <w:bCs/>
          <w:sz w:val="22"/>
          <w:szCs w:val="22"/>
        </w:rPr>
        <w:t xml:space="preserve"> </w:t>
      </w:r>
    </w:p>
    <w:p w:rsidR="00F24454" w:rsidRDefault="00F24454" w:rsidP="0075246F">
      <w:pPr>
        <w:pStyle w:val="BodyText"/>
        <w:numPr>
          <w:ilvl w:val="0"/>
          <w:numId w:val="45"/>
        </w:numPr>
        <w:tabs>
          <w:tab w:val="left" w:pos="360"/>
          <w:tab w:val="left" w:pos="630"/>
        </w:tabs>
        <w:suppressAutoHyphens/>
        <w:spacing w:before="0" w:after="0" w:line="240" w:lineRule="auto"/>
        <w:rPr>
          <w:bCs/>
          <w:sz w:val="22"/>
          <w:szCs w:val="22"/>
        </w:rPr>
      </w:pPr>
      <w:r>
        <w:rPr>
          <w:bCs/>
          <w:sz w:val="22"/>
          <w:szCs w:val="22"/>
        </w:rPr>
        <w:t xml:space="preserve">majority of respondents plan for only short periods of time (37% weekly/less than a month, </w:t>
      </w:r>
      <w:r w:rsidR="007F28B8">
        <w:rPr>
          <w:bCs/>
          <w:sz w:val="22"/>
          <w:szCs w:val="22"/>
        </w:rPr>
        <w:t>21% d</w:t>
      </w:r>
      <w:r w:rsidR="007F28B8" w:rsidRPr="007F28B8">
        <w:rPr>
          <w:bCs/>
          <w:sz w:val="22"/>
          <w:szCs w:val="22"/>
        </w:rPr>
        <w:t>aily/less than a week</w:t>
      </w:r>
      <w:r w:rsidR="007F28B8">
        <w:rPr>
          <w:bCs/>
          <w:sz w:val="22"/>
          <w:szCs w:val="22"/>
        </w:rPr>
        <w:t xml:space="preserve"> and 12% do not plan at all)</w:t>
      </w:r>
    </w:p>
    <w:p w:rsidR="0075246F" w:rsidRDefault="0075246F" w:rsidP="0075246F">
      <w:pPr>
        <w:pStyle w:val="BodyText"/>
        <w:tabs>
          <w:tab w:val="left" w:pos="360"/>
          <w:tab w:val="left" w:pos="630"/>
        </w:tabs>
        <w:suppressAutoHyphens/>
        <w:spacing w:before="0" w:after="0" w:line="240" w:lineRule="auto"/>
        <w:ind w:left="360"/>
        <w:rPr>
          <w:bCs/>
          <w:sz w:val="22"/>
          <w:szCs w:val="22"/>
        </w:rPr>
      </w:pPr>
      <w:r>
        <w:rPr>
          <w:bCs/>
          <w:sz w:val="22"/>
          <w:szCs w:val="22"/>
        </w:rPr>
        <w:t xml:space="preserve"> </w:t>
      </w:r>
    </w:p>
    <w:p w:rsidR="0075246F" w:rsidRDefault="0075246F" w:rsidP="0075246F">
      <w:pPr>
        <w:pStyle w:val="BodyText"/>
        <w:numPr>
          <w:ilvl w:val="0"/>
          <w:numId w:val="45"/>
        </w:numPr>
        <w:tabs>
          <w:tab w:val="left" w:pos="360"/>
          <w:tab w:val="left" w:pos="630"/>
        </w:tabs>
        <w:suppressAutoHyphens/>
        <w:spacing w:before="0" w:after="0" w:line="240" w:lineRule="auto"/>
        <w:rPr>
          <w:bCs/>
          <w:sz w:val="22"/>
          <w:szCs w:val="22"/>
        </w:rPr>
      </w:pPr>
      <w:r>
        <w:rPr>
          <w:bCs/>
          <w:sz w:val="22"/>
          <w:szCs w:val="22"/>
        </w:rPr>
        <w:t>only 32% of respondents have any money left after primary expenses (</w:t>
      </w:r>
      <w:r w:rsidRPr="0075246F">
        <w:rPr>
          <w:bCs/>
          <w:sz w:val="22"/>
          <w:szCs w:val="22"/>
        </w:rPr>
        <w:t>primary expenses are regular expense, including food expenses, bills for communal services, education fee or transport payments, and expenses for other necessities</w:t>
      </w:r>
      <w:r>
        <w:rPr>
          <w:bCs/>
          <w:sz w:val="22"/>
          <w:szCs w:val="22"/>
        </w:rPr>
        <w:t xml:space="preserve">) </w:t>
      </w:r>
    </w:p>
    <w:p w:rsidR="0075246F" w:rsidRDefault="0075246F" w:rsidP="0075246F">
      <w:pPr>
        <w:pStyle w:val="ListParagraph"/>
        <w:rPr>
          <w:bCs/>
          <w:sz w:val="22"/>
          <w:szCs w:val="22"/>
        </w:rPr>
      </w:pPr>
    </w:p>
    <w:p w:rsidR="0075246F" w:rsidRDefault="0075246F" w:rsidP="0075246F">
      <w:pPr>
        <w:pStyle w:val="BodyText"/>
        <w:numPr>
          <w:ilvl w:val="0"/>
          <w:numId w:val="45"/>
        </w:numPr>
        <w:tabs>
          <w:tab w:val="left" w:pos="360"/>
          <w:tab w:val="left" w:pos="630"/>
        </w:tabs>
        <w:suppressAutoHyphens/>
        <w:spacing w:before="0" w:after="0" w:line="240" w:lineRule="auto"/>
        <w:rPr>
          <w:bCs/>
          <w:sz w:val="22"/>
          <w:szCs w:val="22"/>
        </w:rPr>
      </w:pPr>
      <w:r>
        <w:rPr>
          <w:bCs/>
          <w:sz w:val="22"/>
          <w:szCs w:val="22"/>
        </w:rPr>
        <w:t>when asked about r</w:t>
      </w:r>
      <w:r w:rsidRPr="0075246F">
        <w:rPr>
          <w:bCs/>
          <w:sz w:val="22"/>
          <w:szCs w:val="22"/>
        </w:rPr>
        <w:t xml:space="preserve">easons </w:t>
      </w:r>
      <w:r>
        <w:rPr>
          <w:bCs/>
          <w:sz w:val="22"/>
          <w:szCs w:val="22"/>
        </w:rPr>
        <w:t>for</w:t>
      </w:r>
      <w:r w:rsidRPr="0075246F">
        <w:rPr>
          <w:bCs/>
          <w:sz w:val="22"/>
          <w:szCs w:val="22"/>
        </w:rPr>
        <w:t xml:space="preserve"> being short of money for </w:t>
      </w:r>
      <w:r>
        <w:rPr>
          <w:bCs/>
          <w:sz w:val="22"/>
          <w:szCs w:val="22"/>
        </w:rPr>
        <w:t>their</w:t>
      </w:r>
      <w:r w:rsidRPr="0075246F">
        <w:rPr>
          <w:bCs/>
          <w:sz w:val="22"/>
          <w:szCs w:val="22"/>
        </w:rPr>
        <w:t xml:space="preserve"> primary expenses</w:t>
      </w:r>
      <w:r>
        <w:rPr>
          <w:bCs/>
          <w:sz w:val="22"/>
          <w:szCs w:val="22"/>
        </w:rPr>
        <w:t xml:space="preserve">, 75% quote insufficient or low income, 31% rise in prices and </w:t>
      </w:r>
      <w:r w:rsidR="00DB536F">
        <w:rPr>
          <w:bCs/>
          <w:sz w:val="22"/>
          <w:szCs w:val="22"/>
        </w:rPr>
        <w:t>18% f</w:t>
      </w:r>
      <w:r w:rsidR="00DB536F" w:rsidRPr="00DB536F">
        <w:rPr>
          <w:bCs/>
          <w:sz w:val="22"/>
          <w:szCs w:val="22"/>
        </w:rPr>
        <w:t>luctuating/unsteady income</w:t>
      </w:r>
    </w:p>
    <w:p w:rsidR="00DB536F" w:rsidRDefault="00DB536F" w:rsidP="00DB536F">
      <w:pPr>
        <w:pStyle w:val="ListParagraph"/>
        <w:rPr>
          <w:bCs/>
          <w:sz w:val="22"/>
          <w:szCs w:val="22"/>
        </w:rPr>
      </w:pPr>
    </w:p>
    <w:p w:rsidR="00DB536F" w:rsidRDefault="00DB536F" w:rsidP="00DB536F">
      <w:pPr>
        <w:pStyle w:val="BodyText"/>
        <w:numPr>
          <w:ilvl w:val="0"/>
          <w:numId w:val="45"/>
        </w:numPr>
        <w:tabs>
          <w:tab w:val="left" w:pos="360"/>
          <w:tab w:val="left" w:pos="630"/>
        </w:tabs>
        <w:suppressAutoHyphens/>
        <w:spacing w:before="0" w:after="0" w:line="240" w:lineRule="auto"/>
        <w:rPr>
          <w:bCs/>
          <w:sz w:val="22"/>
          <w:szCs w:val="22"/>
        </w:rPr>
      </w:pPr>
      <w:r w:rsidRPr="00DB536F">
        <w:rPr>
          <w:bCs/>
          <w:sz w:val="22"/>
          <w:szCs w:val="22"/>
        </w:rPr>
        <w:t>59% of respondents have a debt to repay; 70% of them have borrowed an amount of their limits and</w:t>
      </w:r>
      <w:r w:rsidR="00C31348">
        <w:rPr>
          <w:bCs/>
          <w:sz w:val="22"/>
          <w:szCs w:val="22"/>
        </w:rPr>
        <w:t xml:space="preserve"> could not afford borrowing more and 20% have borrowed more than they could really afford</w:t>
      </w:r>
      <w:r>
        <w:rPr>
          <w:bCs/>
          <w:sz w:val="22"/>
          <w:szCs w:val="22"/>
        </w:rPr>
        <w:t xml:space="preserve">, only 10% still have ability to borrow more if needed </w:t>
      </w:r>
    </w:p>
    <w:p w:rsidR="00DB536F" w:rsidRDefault="00DB536F" w:rsidP="00DB536F">
      <w:pPr>
        <w:pStyle w:val="ListParagraph"/>
        <w:rPr>
          <w:bCs/>
          <w:sz w:val="22"/>
          <w:szCs w:val="22"/>
        </w:rPr>
      </w:pPr>
    </w:p>
    <w:p w:rsidR="00DB536F" w:rsidRDefault="00DB536F" w:rsidP="00DB536F">
      <w:pPr>
        <w:pStyle w:val="BodyText"/>
        <w:numPr>
          <w:ilvl w:val="0"/>
          <w:numId w:val="45"/>
        </w:numPr>
        <w:tabs>
          <w:tab w:val="left" w:pos="360"/>
          <w:tab w:val="left" w:pos="630"/>
        </w:tabs>
        <w:suppressAutoHyphens/>
        <w:spacing w:before="0" w:after="0" w:line="240" w:lineRule="auto"/>
        <w:rPr>
          <w:bCs/>
          <w:sz w:val="22"/>
          <w:szCs w:val="22"/>
        </w:rPr>
      </w:pPr>
      <w:r>
        <w:rPr>
          <w:bCs/>
          <w:sz w:val="22"/>
          <w:szCs w:val="22"/>
        </w:rPr>
        <w:t xml:space="preserve">81% </w:t>
      </w:r>
      <w:r w:rsidRPr="00DB536F">
        <w:rPr>
          <w:bCs/>
          <w:sz w:val="22"/>
          <w:szCs w:val="22"/>
        </w:rPr>
        <w:t>will not be able to cover unexpected major expenses fully without borrowing money if they had to do it the next day</w:t>
      </w:r>
      <w:r>
        <w:rPr>
          <w:bCs/>
          <w:sz w:val="22"/>
          <w:szCs w:val="22"/>
        </w:rPr>
        <w:t xml:space="preserve">, 64% are very concerned about </w:t>
      </w:r>
      <w:r w:rsidRPr="00DB536F">
        <w:rPr>
          <w:bCs/>
          <w:sz w:val="22"/>
          <w:szCs w:val="22"/>
        </w:rPr>
        <w:t>covering unexpected major expenses</w:t>
      </w:r>
    </w:p>
    <w:p w:rsidR="00DB536F" w:rsidRDefault="00DB536F" w:rsidP="00DB536F">
      <w:pPr>
        <w:pStyle w:val="ListParagraph"/>
        <w:rPr>
          <w:bCs/>
          <w:sz w:val="22"/>
          <w:szCs w:val="22"/>
        </w:rPr>
      </w:pPr>
    </w:p>
    <w:p w:rsidR="00DB536F" w:rsidRDefault="00DB536F" w:rsidP="00DB536F">
      <w:pPr>
        <w:pStyle w:val="BodyText"/>
        <w:numPr>
          <w:ilvl w:val="0"/>
          <w:numId w:val="45"/>
        </w:numPr>
        <w:tabs>
          <w:tab w:val="left" w:pos="360"/>
          <w:tab w:val="left" w:pos="630"/>
        </w:tabs>
        <w:suppressAutoHyphens/>
        <w:spacing w:before="0" w:after="0" w:line="240" w:lineRule="auto"/>
        <w:rPr>
          <w:bCs/>
          <w:sz w:val="22"/>
          <w:szCs w:val="22"/>
        </w:rPr>
      </w:pPr>
      <w:r>
        <w:rPr>
          <w:bCs/>
          <w:sz w:val="22"/>
          <w:szCs w:val="22"/>
        </w:rPr>
        <w:t>51% of r</w:t>
      </w:r>
      <w:r w:rsidRPr="00DB536F">
        <w:rPr>
          <w:bCs/>
          <w:sz w:val="22"/>
          <w:szCs w:val="22"/>
        </w:rPr>
        <w:t>espondents up to 60 years</w:t>
      </w:r>
      <w:r>
        <w:rPr>
          <w:bCs/>
          <w:sz w:val="22"/>
          <w:szCs w:val="22"/>
        </w:rPr>
        <w:t xml:space="preserve"> of age have no idea how they will cover their </w:t>
      </w:r>
      <w:r w:rsidRPr="00DB536F">
        <w:rPr>
          <w:bCs/>
          <w:sz w:val="22"/>
          <w:szCs w:val="22"/>
        </w:rPr>
        <w:t>expenses in older age</w:t>
      </w:r>
      <w:r w:rsidR="00F24454">
        <w:rPr>
          <w:bCs/>
          <w:sz w:val="22"/>
          <w:szCs w:val="22"/>
        </w:rPr>
        <w:t xml:space="preserve">, 26% plan to rely on government pension </w:t>
      </w:r>
    </w:p>
    <w:p w:rsidR="007F28B8" w:rsidRDefault="007F28B8" w:rsidP="007F28B8">
      <w:pPr>
        <w:pStyle w:val="ListParagraph"/>
        <w:rPr>
          <w:bCs/>
          <w:sz w:val="22"/>
          <w:szCs w:val="22"/>
        </w:rPr>
      </w:pPr>
    </w:p>
    <w:p w:rsidR="007F28B8" w:rsidRDefault="007F28B8" w:rsidP="00DB536F">
      <w:pPr>
        <w:pStyle w:val="BodyText"/>
        <w:numPr>
          <w:ilvl w:val="0"/>
          <w:numId w:val="45"/>
        </w:numPr>
        <w:tabs>
          <w:tab w:val="left" w:pos="360"/>
          <w:tab w:val="left" w:pos="630"/>
        </w:tabs>
        <w:suppressAutoHyphens/>
        <w:spacing w:before="0" w:after="0" w:line="240" w:lineRule="auto"/>
        <w:rPr>
          <w:bCs/>
          <w:sz w:val="22"/>
          <w:szCs w:val="22"/>
        </w:rPr>
      </w:pPr>
      <w:r>
        <w:rPr>
          <w:bCs/>
          <w:sz w:val="22"/>
          <w:szCs w:val="22"/>
        </w:rPr>
        <w:lastRenderedPageBreak/>
        <w:t>primary financial products are obligation related (formal loans from financial institutions at 49%, other loans from family and friends at 48%, insurance at 40%), only 39% of respondents use a bank account and 25% uses money transfers, only 6% of respondents have deposits and 3% other investments</w:t>
      </w:r>
    </w:p>
    <w:p w:rsidR="007F28B8" w:rsidRDefault="007F28B8" w:rsidP="007F28B8">
      <w:pPr>
        <w:pStyle w:val="ListParagraph"/>
        <w:rPr>
          <w:bCs/>
          <w:sz w:val="22"/>
          <w:szCs w:val="22"/>
        </w:rPr>
      </w:pPr>
    </w:p>
    <w:p w:rsidR="007F28B8" w:rsidRDefault="007F28B8" w:rsidP="00DB536F">
      <w:pPr>
        <w:pStyle w:val="BodyText"/>
        <w:numPr>
          <w:ilvl w:val="0"/>
          <w:numId w:val="45"/>
        </w:numPr>
        <w:tabs>
          <w:tab w:val="left" w:pos="360"/>
          <w:tab w:val="left" w:pos="630"/>
        </w:tabs>
        <w:suppressAutoHyphens/>
        <w:spacing w:before="0" w:after="0" w:line="240" w:lineRule="auto"/>
        <w:rPr>
          <w:bCs/>
          <w:sz w:val="22"/>
          <w:szCs w:val="22"/>
        </w:rPr>
      </w:pPr>
      <w:r>
        <w:rPr>
          <w:bCs/>
          <w:sz w:val="22"/>
          <w:szCs w:val="22"/>
        </w:rPr>
        <w:t>Armenian consumers seem to be shopping around – 76% say they</w:t>
      </w:r>
      <w:r w:rsidRPr="007F28B8">
        <w:rPr>
          <w:bCs/>
          <w:sz w:val="22"/>
          <w:szCs w:val="22"/>
        </w:rPr>
        <w:t xml:space="preserve"> always get information or advice when </w:t>
      </w:r>
      <w:r>
        <w:rPr>
          <w:bCs/>
          <w:sz w:val="22"/>
          <w:szCs w:val="22"/>
        </w:rPr>
        <w:t>they</w:t>
      </w:r>
      <w:r w:rsidRPr="007F28B8">
        <w:rPr>
          <w:bCs/>
          <w:sz w:val="22"/>
          <w:szCs w:val="22"/>
        </w:rPr>
        <w:t xml:space="preserve"> have to make a financial decision</w:t>
      </w:r>
      <w:r>
        <w:rPr>
          <w:bCs/>
          <w:sz w:val="22"/>
          <w:szCs w:val="22"/>
        </w:rPr>
        <w:t xml:space="preserve">, most of them </w:t>
      </w:r>
      <w:r w:rsidRPr="007F28B8">
        <w:rPr>
          <w:bCs/>
          <w:sz w:val="22"/>
          <w:szCs w:val="22"/>
        </w:rPr>
        <w:t xml:space="preserve">consider many alternatives before </w:t>
      </w:r>
      <w:r>
        <w:rPr>
          <w:bCs/>
          <w:sz w:val="22"/>
          <w:szCs w:val="22"/>
        </w:rPr>
        <w:t>they</w:t>
      </w:r>
      <w:r w:rsidRPr="007F28B8">
        <w:rPr>
          <w:bCs/>
          <w:sz w:val="22"/>
          <w:szCs w:val="22"/>
        </w:rPr>
        <w:t xml:space="preserve"> ma</w:t>
      </w:r>
      <w:r>
        <w:rPr>
          <w:bCs/>
          <w:sz w:val="22"/>
          <w:szCs w:val="22"/>
        </w:rPr>
        <w:t>k</w:t>
      </w:r>
      <w:r w:rsidRPr="007F28B8">
        <w:rPr>
          <w:bCs/>
          <w:sz w:val="22"/>
          <w:szCs w:val="22"/>
        </w:rPr>
        <w:t xml:space="preserve">e a decision of using </w:t>
      </w:r>
      <w:r>
        <w:rPr>
          <w:bCs/>
          <w:sz w:val="22"/>
          <w:szCs w:val="22"/>
        </w:rPr>
        <w:t xml:space="preserve">a </w:t>
      </w:r>
      <w:r w:rsidRPr="007F28B8">
        <w:rPr>
          <w:bCs/>
          <w:sz w:val="22"/>
          <w:szCs w:val="22"/>
        </w:rPr>
        <w:t>certain financial product</w:t>
      </w:r>
      <w:r>
        <w:rPr>
          <w:bCs/>
          <w:sz w:val="22"/>
          <w:szCs w:val="22"/>
        </w:rPr>
        <w:t xml:space="preserve"> and they say they </w:t>
      </w:r>
      <w:r w:rsidRPr="007F28B8">
        <w:rPr>
          <w:bCs/>
          <w:sz w:val="22"/>
          <w:szCs w:val="22"/>
        </w:rPr>
        <w:t>get introduced to the terms and conditions of certain financial product in details</w:t>
      </w:r>
    </w:p>
    <w:p w:rsidR="0075550A" w:rsidRDefault="0075550A" w:rsidP="0075550A">
      <w:pPr>
        <w:pStyle w:val="ListParagraph"/>
        <w:rPr>
          <w:bCs/>
          <w:sz w:val="22"/>
          <w:szCs w:val="22"/>
        </w:rPr>
      </w:pPr>
    </w:p>
    <w:p w:rsidR="0075550A" w:rsidRDefault="0075550A" w:rsidP="00DB536F">
      <w:pPr>
        <w:pStyle w:val="BodyText"/>
        <w:numPr>
          <w:ilvl w:val="0"/>
          <w:numId w:val="45"/>
        </w:numPr>
        <w:tabs>
          <w:tab w:val="left" w:pos="360"/>
          <w:tab w:val="left" w:pos="630"/>
        </w:tabs>
        <w:suppressAutoHyphens/>
        <w:spacing w:before="0" w:after="0" w:line="240" w:lineRule="auto"/>
        <w:rPr>
          <w:bCs/>
          <w:sz w:val="22"/>
          <w:szCs w:val="22"/>
        </w:rPr>
      </w:pPr>
      <w:r>
        <w:rPr>
          <w:bCs/>
          <w:sz w:val="22"/>
          <w:szCs w:val="22"/>
        </w:rPr>
        <w:t xml:space="preserve">however, the primary sources of advice are </w:t>
      </w:r>
      <w:r w:rsidR="006572C7">
        <w:rPr>
          <w:bCs/>
          <w:sz w:val="22"/>
          <w:szCs w:val="22"/>
        </w:rPr>
        <w:t xml:space="preserve">friends and family (58%) and spouse/partner (35%), only 8% quote bank </w:t>
      </w:r>
      <w:r w:rsidR="006572C7" w:rsidRPr="006572C7">
        <w:rPr>
          <w:bCs/>
          <w:sz w:val="22"/>
          <w:szCs w:val="22"/>
        </w:rPr>
        <w:t>or financial sector professionals</w:t>
      </w:r>
      <w:r w:rsidR="006572C7">
        <w:rPr>
          <w:bCs/>
          <w:sz w:val="22"/>
          <w:szCs w:val="22"/>
        </w:rPr>
        <w:t xml:space="preserve"> as their source of financial services consultancy </w:t>
      </w:r>
    </w:p>
    <w:p w:rsidR="00DA796C" w:rsidRDefault="00DA796C" w:rsidP="00DA796C">
      <w:pPr>
        <w:pStyle w:val="ListParagraph"/>
        <w:rPr>
          <w:bCs/>
          <w:sz w:val="22"/>
          <w:szCs w:val="22"/>
        </w:rPr>
      </w:pPr>
    </w:p>
    <w:p w:rsidR="00DA796C" w:rsidRDefault="00DA796C" w:rsidP="00DB536F">
      <w:pPr>
        <w:pStyle w:val="BodyText"/>
        <w:numPr>
          <w:ilvl w:val="0"/>
          <w:numId w:val="45"/>
        </w:numPr>
        <w:tabs>
          <w:tab w:val="left" w:pos="360"/>
          <w:tab w:val="left" w:pos="630"/>
        </w:tabs>
        <w:suppressAutoHyphens/>
        <w:spacing w:before="0" w:after="0" w:line="240" w:lineRule="auto"/>
        <w:rPr>
          <w:bCs/>
          <w:sz w:val="22"/>
          <w:szCs w:val="22"/>
        </w:rPr>
      </w:pPr>
      <w:r>
        <w:rPr>
          <w:bCs/>
          <w:sz w:val="22"/>
          <w:szCs w:val="22"/>
        </w:rPr>
        <w:t>of those who had a conflict with financial institution, 60% took an action (primarily by stopping</w:t>
      </w:r>
      <w:r w:rsidRPr="00DA796C">
        <w:rPr>
          <w:bCs/>
          <w:sz w:val="22"/>
          <w:szCs w:val="22"/>
        </w:rPr>
        <w:t xml:space="preserve"> using the services before the expiration date of contract</w:t>
      </w:r>
      <w:r>
        <w:rPr>
          <w:bCs/>
          <w:sz w:val="22"/>
          <w:szCs w:val="22"/>
        </w:rPr>
        <w:t xml:space="preserve"> and n</w:t>
      </w:r>
      <w:r w:rsidRPr="00DA796C">
        <w:rPr>
          <w:bCs/>
          <w:sz w:val="22"/>
          <w:szCs w:val="22"/>
        </w:rPr>
        <w:t>on-formally complain</w:t>
      </w:r>
      <w:r>
        <w:rPr>
          <w:bCs/>
          <w:sz w:val="22"/>
          <w:szCs w:val="22"/>
        </w:rPr>
        <w:t>ing</w:t>
      </w:r>
      <w:r w:rsidRPr="00DA796C">
        <w:rPr>
          <w:bCs/>
          <w:sz w:val="22"/>
          <w:szCs w:val="22"/>
        </w:rPr>
        <w:t xml:space="preserve"> to the company employees</w:t>
      </w:r>
      <w:r>
        <w:rPr>
          <w:bCs/>
          <w:sz w:val="22"/>
          <w:szCs w:val="22"/>
        </w:rPr>
        <w:t xml:space="preserve">). Only 10% complained formally to the institution and 10% also approached the Financial System Mediator. </w:t>
      </w:r>
    </w:p>
    <w:p w:rsidR="00DA796C" w:rsidRDefault="00DA796C" w:rsidP="00DA796C">
      <w:pPr>
        <w:pStyle w:val="ListParagraph"/>
        <w:rPr>
          <w:bCs/>
          <w:sz w:val="22"/>
          <w:szCs w:val="22"/>
        </w:rPr>
      </w:pPr>
    </w:p>
    <w:p w:rsidR="00DA796C" w:rsidRPr="00DB536F" w:rsidRDefault="00DA796C" w:rsidP="00DB536F">
      <w:pPr>
        <w:pStyle w:val="BodyText"/>
        <w:numPr>
          <w:ilvl w:val="0"/>
          <w:numId w:val="45"/>
        </w:numPr>
        <w:tabs>
          <w:tab w:val="left" w:pos="360"/>
          <w:tab w:val="left" w:pos="630"/>
        </w:tabs>
        <w:suppressAutoHyphens/>
        <w:spacing w:before="0" w:after="0" w:line="240" w:lineRule="auto"/>
        <w:rPr>
          <w:bCs/>
          <w:sz w:val="22"/>
          <w:szCs w:val="22"/>
        </w:rPr>
      </w:pPr>
      <w:r>
        <w:rPr>
          <w:bCs/>
          <w:sz w:val="22"/>
          <w:szCs w:val="22"/>
        </w:rPr>
        <w:t>for those who did not take any action, the main reasons are that they believe t</w:t>
      </w:r>
      <w:r w:rsidRPr="00DA796C">
        <w:rPr>
          <w:bCs/>
          <w:sz w:val="22"/>
          <w:szCs w:val="22"/>
        </w:rPr>
        <w:t>he customers</w:t>
      </w:r>
      <w:r>
        <w:rPr>
          <w:bCs/>
          <w:sz w:val="22"/>
          <w:szCs w:val="22"/>
        </w:rPr>
        <w:t xml:space="preserve"> are not properly protected by l</w:t>
      </w:r>
      <w:r w:rsidRPr="00DA796C">
        <w:rPr>
          <w:bCs/>
          <w:sz w:val="22"/>
          <w:szCs w:val="22"/>
        </w:rPr>
        <w:t>aw</w:t>
      </w:r>
      <w:r>
        <w:rPr>
          <w:bCs/>
          <w:sz w:val="22"/>
          <w:szCs w:val="22"/>
        </w:rPr>
        <w:t xml:space="preserve"> (43%), did not have time or they gave no importance to the issue (36%), 21% did</w:t>
      </w:r>
      <w:r w:rsidRPr="00DA796C">
        <w:rPr>
          <w:bCs/>
          <w:sz w:val="22"/>
          <w:szCs w:val="22"/>
        </w:rPr>
        <w:t xml:space="preserve"> not know any state authority to apply for help</w:t>
      </w:r>
    </w:p>
    <w:p w:rsidR="00643797" w:rsidRDefault="00643797" w:rsidP="00643797">
      <w:pPr>
        <w:rPr>
          <w:lang w:eastAsia="cs-CZ"/>
        </w:rPr>
      </w:pPr>
    </w:p>
    <w:p w:rsidR="00643797" w:rsidRDefault="00643797" w:rsidP="00643797">
      <w:pPr>
        <w:rPr>
          <w:lang w:eastAsia="cs-CZ"/>
        </w:rPr>
      </w:pPr>
    </w:p>
    <w:p w:rsidR="00643797" w:rsidRDefault="00643797" w:rsidP="00643797">
      <w:pPr>
        <w:rPr>
          <w:lang w:eastAsia="cs-CZ"/>
        </w:rPr>
      </w:pPr>
    </w:p>
    <w:p w:rsidR="00643797" w:rsidRDefault="00643797" w:rsidP="00643797">
      <w:pPr>
        <w:rPr>
          <w:lang w:eastAsia="cs-CZ"/>
        </w:rPr>
      </w:pPr>
    </w:p>
    <w:p w:rsidR="00643797" w:rsidRDefault="00643797">
      <w:pPr>
        <w:rPr>
          <w:lang w:eastAsia="cs-CZ"/>
        </w:rPr>
      </w:pPr>
      <w:r>
        <w:rPr>
          <w:lang w:eastAsia="cs-CZ"/>
        </w:rPr>
        <w:br w:type="page"/>
      </w:r>
    </w:p>
    <w:p w:rsidR="00057AAD" w:rsidRPr="00D631FA" w:rsidRDefault="00D631FA" w:rsidP="00D631FA">
      <w:pPr>
        <w:pStyle w:val="Heading1"/>
        <w:numPr>
          <w:ilvl w:val="0"/>
          <w:numId w:val="41"/>
        </w:numPr>
        <w:ind w:left="0" w:firstLine="0"/>
        <w:jc w:val="center"/>
        <w:rPr>
          <w:rFonts w:ascii="Times New Roman" w:hAnsi="Times New Roman" w:cs="Times New Roman"/>
          <w:sz w:val="28"/>
          <w:szCs w:val="28"/>
          <w:lang w:eastAsia="cs-CZ"/>
        </w:rPr>
      </w:pPr>
      <w:bookmarkStart w:id="57" w:name="_Toc331409070"/>
      <w:r w:rsidRPr="00D631FA">
        <w:rPr>
          <w:rFonts w:ascii="Times New Roman" w:hAnsi="Times New Roman" w:cs="Times New Roman"/>
          <w:sz w:val="28"/>
          <w:szCs w:val="28"/>
          <w:lang w:eastAsia="cs-CZ"/>
        </w:rPr>
        <w:lastRenderedPageBreak/>
        <w:t>References</w:t>
      </w:r>
      <w:bookmarkEnd w:id="57"/>
    </w:p>
    <w:p w:rsidR="00D631FA" w:rsidRPr="00E06713" w:rsidRDefault="00D631FA" w:rsidP="00C15467">
      <w:pPr>
        <w:jc w:val="both"/>
        <w:rPr>
          <w:sz w:val="22"/>
          <w:szCs w:val="22"/>
        </w:rPr>
      </w:pPr>
    </w:p>
    <w:p w:rsidR="002C6547" w:rsidRPr="002C6547" w:rsidRDefault="002C6547" w:rsidP="002C6547">
      <w:pPr>
        <w:jc w:val="both"/>
        <w:rPr>
          <w:sz w:val="22"/>
          <w:szCs w:val="22"/>
        </w:rPr>
      </w:pPr>
      <w:r w:rsidRPr="002C6547">
        <w:rPr>
          <w:sz w:val="22"/>
          <w:szCs w:val="22"/>
        </w:rPr>
        <w:t>Ardic, Oya Pinar, Joyce A. Ibrahim and Nataliya Mylenko</w:t>
      </w:r>
      <w:r>
        <w:rPr>
          <w:sz w:val="22"/>
          <w:szCs w:val="22"/>
        </w:rPr>
        <w:t xml:space="preserve">, </w:t>
      </w:r>
      <w:r w:rsidRPr="002C6547">
        <w:rPr>
          <w:i/>
          <w:sz w:val="22"/>
          <w:szCs w:val="22"/>
        </w:rPr>
        <w:t>Consumer Protection Laws and Regulations in Deposit and Loan Services: A Cross-Country Analysis with a New Data Set</w:t>
      </w:r>
      <w:r>
        <w:rPr>
          <w:sz w:val="22"/>
          <w:szCs w:val="22"/>
        </w:rPr>
        <w:t xml:space="preserve">, </w:t>
      </w:r>
      <w:r w:rsidRPr="002C6547">
        <w:rPr>
          <w:sz w:val="22"/>
          <w:szCs w:val="22"/>
        </w:rPr>
        <w:t>The World Bank</w:t>
      </w:r>
      <w:r>
        <w:rPr>
          <w:sz w:val="22"/>
          <w:szCs w:val="22"/>
        </w:rPr>
        <w:t xml:space="preserve"> and CGAP, </w:t>
      </w:r>
      <w:r w:rsidRPr="002C6547">
        <w:rPr>
          <w:sz w:val="22"/>
          <w:szCs w:val="22"/>
        </w:rPr>
        <w:t>January 2011</w:t>
      </w:r>
    </w:p>
    <w:p w:rsidR="002C6547" w:rsidRPr="00E06713" w:rsidRDefault="002C6547" w:rsidP="002C6547">
      <w:pPr>
        <w:jc w:val="both"/>
        <w:rPr>
          <w:sz w:val="22"/>
          <w:szCs w:val="22"/>
        </w:rPr>
      </w:pPr>
    </w:p>
    <w:p w:rsidR="00057AAD" w:rsidRPr="00E06713" w:rsidRDefault="00057AAD" w:rsidP="00222494">
      <w:pPr>
        <w:jc w:val="both"/>
        <w:rPr>
          <w:sz w:val="22"/>
          <w:szCs w:val="22"/>
        </w:rPr>
      </w:pPr>
      <w:r w:rsidRPr="00E06713">
        <w:rPr>
          <w:sz w:val="22"/>
          <w:szCs w:val="22"/>
        </w:rPr>
        <w:t xml:space="preserve">Armstrong, Mark, "Interactions between Competition and Consumer Policy," </w:t>
      </w:r>
      <w:r w:rsidRPr="00E06713">
        <w:rPr>
          <w:i/>
          <w:sz w:val="22"/>
          <w:szCs w:val="22"/>
        </w:rPr>
        <w:t>Competition Policy International</w:t>
      </w:r>
      <w:r w:rsidRPr="00E06713">
        <w:rPr>
          <w:sz w:val="22"/>
          <w:szCs w:val="22"/>
        </w:rPr>
        <w:t>, Volume 4, Number 1, Spring 2008</w:t>
      </w:r>
    </w:p>
    <w:p w:rsidR="00057AAD" w:rsidRPr="00E06713" w:rsidRDefault="00057AAD" w:rsidP="00C15467">
      <w:pPr>
        <w:jc w:val="both"/>
        <w:rPr>
          <w:sz w:val="22"/>
          <w:szCs w:val="22"/>
        </w:rPr>
      </w:pPr>
    </w:p>
    <w:p w:rsidR="00057AAD" w:rsidRPr="00E06713" w:rsidRDefault="00057AAD" w:rsidP="00C15467">
      <w:pPr>
        <w:jc w:val="both"/>
        <w:rPr>
          <w:sz w:val="22"/>
          <w:szCs w:val="22"/>
        </w:rPr>
      </w:pPr>
      <w:r w:rsidRPr="00E06713">
        <w:rPr>
          <w:sz w:val="22"/>
          <w:szCs w:val="22"/>
        </w:rPr>
        <w:t xml:space="preserve">Benston, George, "Consumer Protection as Justification for Regulating Financial Services Firms and Product," </w:t>
      </w:r>
      <w:r w:rsidRPr="00E06713">
        <w:rPr>
          <w:i/>
          <w:sz w:val="22"/>
          <w:szCs w:val="22"/>
        </w:rPr>
        <w:t>Journal of Financial Services Research</w:t>
      </w:r>
      <w:r w:rsidRPr="00E06713">
        <w:rPr>
          <w:sz w:val="22"/>
          <w:szCs w:val="22"/>
        </w:rPr>
        <w:t>, 17:3, pp. 277-301, 2000</w:t>
      </w:r>
    </w:p>
    <w:p w:rsidR="00057AAD" w:rsidRPr="00E06713" w:rsidRDefault="00057AAD" w:rsidP="00C15467">
      <w:pPr>
        <w:jc w:val="both"/>
        <w:rPr>
          <w:sz w:val="22"/>
          <w:szCs w:val="22"/>
        </w:rPr>
      </w:pPr>
    </w:p>
    <w:p w:rsidR="00057AAD" w:rsidRPr="00E06713" w:rsidRDefault="00057AAD" w:rsidP="00C15467">
      <w:pPr>
        <w:jc w:val="both"/>
        <w:rPr>
          <w:sz w:val="22"/>
          <w:szCs w:val="22"/>
        </w:rPr>
      </w:pPr>
      <w:r w:rsidRPr="00E06713">
        <w:rPr>
          <w:sz w:val="22"/>
          <w:szCs w:val="22"/>
        </w:rPr>
        <w:t xml:space="preserve">Braunstein, Saundra and Carolyn Welch, "Financial Literacy: An Overview of Practice, Research, and Policy," </w:t>
      </w:r>
      <w:r w:rsidRPr="00E06713">
        <w:rPr>
          <w:i/>
          <w:sz w:val="22"/>
          <w:szCs w:val="22"/>
        </w:rPr>
        <w:t>Federal Reserve Bulletin</w:t>
      </w:r>
      <w:r w:rsidRPr="00E06713">
        <w:rPr>
          <w:sz w:val="22"/>
          <w:szCs w:val="22"/>
        </w:rPr>
        <w:t>, vol. 87, November 2002</w:t>
      </w:r>
    </w:p>
    <w:p w:rsidR="00057AAD" w:rsidRPr="00E06713" w:rsidRDefault="00057AAD" w:rsidP="00C15467">
      <w:pPr>
        <w:jc w:val="both"/>
        <w:rPr>
          <w:sz w:val="22"/>
          <w:szCs w:val="22"/>
        </w:rPr>
      </w:pPr>
    </w:p>
    <w:p w:rsidR="00057AAD" w:rsidRPr="00E06713" w:rsidRDefault="00057AAD" w:rsidP="002B6CE6">
      <w:pPr>
        <w:jc w:val="both"/>
        <w:rPr>
          <w:sz w:val="22"/>
          <w:szCs w:val="22"/>
        </w:rPr>
      </w:pPr>
      <w:r w:rsidRPr="00E06713">
        <w:rPr>
          <w:sz w:val="22"/>
          <w:szCs w:val="22"/>
        </w:rPr>
        <w:t xml:space="preserve">Brix, Laura and Katharine McKee, </w:t>
      </w:r>
      <w:r w:rsidRPr="00E06713">
        <w:rPr>
          <w:i/>
          <w:sz w:val="22"/>
          <w:szCs w:val="22"/>
        </w:rPr>
        <w:t>Consumer Protection Regulation in Low-Access Environments: Opportunities to Promote Responsible Finance</w:t>
      </w:r>
      <w:r w:rsidRPr="00E06713">
        <w:rPr>
          <w:sz w:val="22"/>
          <w:szCs w:val="22"/>
        </w:rPr>
        <w:t>, CGAP Focus Note No. 60, February 2010</w:t>
      </w:r>
    </w:p>
    <w:p w:rsidR="00057AAD" w:rsidRDefault="00057AAD" w:rsidP="002B6CE6">
      <w:pPr>
        <w:jc w:val="both"/>
        <w:rPr>
          <w:color w:val="000000"/>
          <w:sz w:val="22"/>
          <w:szCs w:val="22"/>
        </w:rPr>
      </w:pPr>
    </w:p>
    <w:p w:rsidR="00057AAD" w:rsidRPr="00E06713" w:rsidRDefault="00057AAD" w:rsidP="002B6CE6">
      <w:pPr>
        <w:jc w:val="both"/>
        <w:rPr>
          <w:sz w:val="22"/>
          <w:szCs w:val="22"/>
        </w:rPr>
      </w:pPr>
      <w:r w:rsidRPr="00E06713">
        <w:rPr>
          <w:sz w:val="22"/>
          <w:szCs w:val="22"/>
        </w:rPr>
        <w:t xml:space="preserve">Centre for European Policy Studies and Van Dijk Management Consultants, </w:t>
      </w:r>
      <w:r w:rsidRPr="00E06713">
        <w:rPr>
          <w:i/>
          <w:sz w:val="22"/>
          <w:szCs w:val="22"/>
        </w:rPr>
        <w:t>Tying and other potentially unfair commercial practices in the retail financial service sector</w:t>
      </w:r>
      <w:r w:rsidRPr="00E06713">
        <w:rPr>
          <w:sz w:val="22"/>
          <w:szCs w:val="22"/>
        </w:rPr>
        <w:t>, Final Report submitted to the European Commission, DG Internal Market and Services, ETD/2008/IM/H3/78, November 2009</w:t>
      </w:r>
    </w:p>
    <w:p w:rsidR="00057AAD" w:rsidRPr="00E06713" w:rsidRDefault="00057AAD" w:rsidP="002B6CE6">
      <w:pPr>
        <w:jc w:val="both"/>
        <w:rPr>
          <w:color w:val="000000"/>
          <w:sz w:val="22"/>
          <w:szCs w:val="22"/>
        </w:rPr>
      </w:pPr>
    </w:p>
    <w:p w:rsidR="00867DE2" w:rsidRDefault="00867DE2" w:rsidP="002B6CE6">
      <w:pPr>
        <w:jc w:val="both"/>
        <w:rPr>
          <w:color w:val="000000"/>
          <w:sz w:val="22"/>
          <w:szCs w:val="22"/>
        </w:rPr>
      </w:pPr>
      <w:r w:rsidRPr="00867DE2">
        <w:rPr>
          <w:color w:val="000000"/>
          <w:sz w:val="22"/>
          <w:szCs w:val="22"/>
        </w:rPr>
        <w:t>Chatain</w:t>
      </w:r>
      <w:r w:rsidR="008536BB">
        <w:rPr>
          <w:color w:val="000000"/>
          <w:sz w:val="22"/>
          <w:szCs w:val="22"/>
        </w:rPr>
        <w:t xml:space="preserve">, Pierre-Laurent, Andrew Zerzan, Wameek Noor, Najah Dannaoui, and Louis de Koker, </w:t>
      </w:r>
      <w:r w:rsidRPr="008536BB">
        <w:rPr>
          <w:i/>
          <w:color w:val="000000"/>
          <w:sz w:val="22"/>
          <w:szCs w:val="22"/>
        </w:rPr>
        <w:t>Protecting Mobile Money against Financial Crimes: Global Policy Challenges and Solu</w:t>
      </w:r>
      <w:r w:rsidR="008536BB" w:rsidRPr="008536BB">
        <w:rPr>
          <w:i/>
          <w:color w:val="000000"/>
          <w:sz w:val="22"/>
          <w:szCs w:val="22"/>
        </w:rPr>
        <w:t>tions</w:t>
      </w:r>
      <w:r w:rsidR="008536BB">
        <w:rPr>
          <w:color w:val="000000"/>
          <w:sz w:val="22"/>
          <w:szCs w:val="22"/>
        </w:rPr>
        <w:t xml:space="preserve">, The World Bank, </w:t>
      </w:r>
      <w:r w:rsidR="008536BB" w:rsidRPr="00867DE2">
        <w:rPr>
          <w:color w:val="000000"/>
          <w:sz w:val="22"/>
          <w:szCs w:val="22"/>
        </w:rPr>
        <w:t>2011</w:t>
      </w:r>
    </w:p>
    <w:p w:rsidR="00867DE2" w:rsidRDefault="00867DE2" w:rsidP="002B6CE6">
      <w:pPr>
        <w:jc w:val="both"/>
        <w:rPr>
          <w:sz w:val="22"/>
          <w:szCs w:val="22"/>
        </w:rPr>
      </w:pPr>
    </w:p>
    <w:p w:rsidR="00057AAD" w:rsidRPr="00E06713" w:rsidRDefault="00057AAD" w:rsidP="002B6CE6">
      <w:pPr>
        <w:jc w:val="both"/>
        <w:rPr>
          <w:sz w:val="22"/>
          <w:szCs w:val="22"/>
        </w:rPr>
      </w:pPr>
      <w:r w:rsidRPr="00E06713">
        <w:rPr>
          <w:sz w:val="22"/>
          <w:szCs w:val="22"/>
        </w:rPr>
        <w:t xml:space="preserve">Cole, Shawn and Gauri Kartini Shastry, </w:t>
      </w:r>
      <w:r w:rsidRPr="00E06713">
        <w:rPr>
          <w:i/>
          <w:sz w:val="22"/>
          <w:szCs w:val="22"/>
        </w:rPr>
        <w:t>If You Are So Smart, Why Aren’t You Rich? The Effects of Education, Financial Literacy, and Cognitive Ability on Financial Market Participation,</w:t>
      </w:r>
      <w:r w:rsidRPr="00E06713">
        <w:rPr>
          <w:sz w:val="22"/>
          <w:szCs w:val="22"/>
        </w:rPr>
        <w:t xml:space="preserve"> October 2007</w:t>
      </w:r>
    </w:p>
    <w:p w:rsidR="00057AAD" w:rsidRPr="00E06713" w:rsidRDefault="00057AAD" w:rsidP="002B6CE6">
      <w:pPr>
        <w:jc w:val="both"/>
        <w:rPr>
          <w:sz w:val="22"/>
          <w:szCs w:val="22"/>
        </w:rPr>
      </w:pPr>
    </w:p>
    <w:p w:rsidR="00057AAD" w:rsidRPr="00E06713" w:rsidRDefault="00057AAD" w:rsidP="00C15467">
      <w:pPr>
        <w:jc w:val="both"/>
        <w:rPr>
          <w:i/>
          <w:sz w:val="22"/>
          <w:szCs w:val="22"/>
        </w:rPr>
      </w:pPr>
      <w:r w:rsidRPr="00E06713">
        <w:rPr>
          <w:sz w:val="22"/>
          <w:szCs w:val="22"/>
        </w:rPr>
        <w:t>Consumers International,</w:t>
      </w:r>
      <w:r w:rsidRPr="00E06713">
        <w:rPr>
          <w:i/>
          <w:sz w:val="22"/>
          <w:szCs w:val="22"/>
        </w:rPr>
        <w:t xml:space="preserve"> Safe, fair and competitive markets in financial services: recommendations for the G20 on the enhancement of consumer protection in financial services, </w:t>
      </w:r>
      <w:r w:rsidRPr="00E06713">
        <w:rPr>
          <w:sz w:val="22"/>
          <w:szCs w:val="22"/>
        </w:rPr>
        <w:t>March 2011</w:t>
      </w:r>
    </w:p>
    <w:p w:rsidR="00057AAD" w:rsidRPr="00E06713" w:rsidRDefault="00057AAD" w:rsidP="00C15467">
      <w:pPr>
        <w:jc w:val="both"/>
        <w:rPr>
          <w:sz w:val="22"/>
          <w:szCs w:val="22"/>
        </w:rPr>
      </w:pPr>
    </w:p>
    <w:p w:rsidR="00057AAD" w:rsidRPr="00E06713" w:rsidRDefault="00057AAD" w:rsidP="00C15467">
      <w:pPr>
        <w:jc w:val="both"/>
        <w:rPr>
          <w:sz w:val="22"/>
          <w:szCs w:val="22"/>
        </w:rPr>
      </w:pPr>
      <w:r w:rsidRPr="00E06713">
        <w:rPr>
          <w:sz w:val="22"/>
          <w:szCs w:val="22"/>
        </w:rPr>
        <w:t xml:space="preserve">CGAP/The World Bank Group, </w:t>
      </w:r>
      <w:r w:rsidRPr="00E06713">
        <w:rPr>
          <w:i/>
          <w:sz w:val="22"/>
          <w:szCs w:val="22"/>
        </w:rPr>
        <w:t>Financial Access 2010: The State of Financial Inclusion Through the Crisis</w:t>
      </w:r>
      <w:r w:rsidRPr="00E06713">
        <w:rPr>
          <w:sz w:val="22"/>
          <w:szCs w:val="22"/>
        </w:rPr>
        <w:t>, September 2010</w:t>
      </w:r>
    </w:p>
    <w:p w:rsidR="00057AAD" w:rsidRPr="00E06713" w:rsidRDefault="00057AAD" w:rsidP="00C15467">
      <w:pPr>
        <w:jc w:val="both"/>
        <w:rPr>
          <w:sz w:val="22"/>
          <w:szCs w:val="22"/>
        </w:rPr>
      </w:pPr>
    </w:p>
    <w:p w:rsidR="00867DE2" w:rsidRDefault="00867DE2" w:rsidP="00867DE2">
      <w:pPr>
        <w:jc w:val="both"/>
        <w:rPr>
          <w:sz w:val="22"/>
          <w:szCs w:val="22"/>
        </w:rPr>
      </w:pPr>
      <w:r>
        <w:rPr>
          <w:sz w:val="22"/>
          <w:szCs w:val="22"/>
        </w:rPr>
        <w:t xml:space="preserve">Dittus, Peter and Michael Klein, </w:t>
      </w:r>
      <w:r w:rsidRPr="00867DE2">
        <w:rPr>
          <w:sz w:val="22"/>
          <w:szCs w:val="22"/>
        </w:rPr>
        <w:t xml:space="preserve">“On harnessing the potential of financial inclusion”, </w:t>
      </w:r>
      <w:r w:rsidRPr="00867DE2">
        <w:rPr>
          <w:i/>
          <w:sz w:val="22"/>
          <w:szCs w:val="22"/>
        </w:rPr>
        <w:t>BIS Working Paper 347</w:t>
      </w:r>
      <w:r>
        <w:rPr>
          <w:sz w:val="22"/>
          <w:szCs w:val="22"/>
        </w:rPr>
        <w:t>,</w:t>
      </w:r>
      <w:r w:rsidRPr="00867DE2">
        <w:rPr>
          <w:sz w:val="22"/>
          <w:szCs w:val="22"/>
        </w:rPr>
        <w:t xml:space="preserve"> May 2011</w:t>
      </w:r>
    </w:p>
    <w:p w:rsidR="00867DE2" w:rsidRDefault="00867DE2" w:rsidP="00C15467">
      <w:pPr>
        <w:jc w:val="both"/>
        <w:rPr>
          <w:sz w:val="22"/>
          <w:szCs w:val="22"/>
        </w:rPr>
      </w:pPr>
    </w:p>
    <w:p w:rsidR="00057AAD" w:rsidRPr="00E06713" w:rsidRDefault="00057AAD" w:rsidP="00C15467">
      <w:pPr>
        <w:jc w:val="both"/>
        <w:rPr>
          <w:sz w:val="22"/>
          <w:szCs w:val="22"/>
        </w:rPr>
      </w:pPr>
      <w:r w:rsidRPr="00E06713">
        <w:rPr>
          <w:sz w:val="22"/>
          <w:szCs w:val="22"/>
        </w:rPr>
        <w:t xml:space="preserve">European Commission, </w:t>
      </w:r>
      <w:r w:rsidRPr="00E06713">
        <w:rPr>
          <w:i/>
          <w:sz w:val="22"/>
          <w:szCs w:val="22"/>
        </w:rPr>
        <w:t>Communication on Financial Education</w:t>
      </w:r>
      <w:r w:rsidRPr="00E06713">
        <w:rPr>
          <w:sz w:val="22"/>
          <w:szCs w:val="22"/>
        </w:rPr>
        <w:t xml:space="preserve"> COM (2007) 808</w:t>
      </w:r>
    </w:p>
    <w:p w:rsidR="00057AAD" w:rsidRPr="00E06713" w:rsidRDefault="00057AAD" w:rsidP="00C15467">
      <w:pPr>
        <w:jc w:val="both"/>
        <w:rPr>
          <w:i/>
          <w:sz w:val="22"/>
          <w:szCs w:val="22"/>
        </w:rPr>
      </w:pPr>
      <w:r w:rsidRPr="00E06713">
        <w:rPr>
          <w:sz w:val="22"/>
          <w:szCs w:val="22"/>
        </w:rPr>
        <w:t xml:space="preserve">---------, </w:t>
      </w:r>
      <w:r w:rsidRPr="00E06713">
        <w:rPr>
          <w:i/>
          <w:sz w:val="22"/>
          <w:szCs w:val="22"/>
        </w:rPr>
        <w:t>Discussion paper for the amendment of Directive 87/102/EEC concerning consumer credit</w:t>
      </w:r>
    </w:p>
    <w:p w:rsidR="00057AAD" w:rsidRPr="00E06713" w:rsidRDefault="00057AAD" w:rsidP="00222494">
      <w:pPr>
        <w:jc w:val="both"/>
        <w:rPr>
          <w:sz w:val="22"/>
          <w:szCs w:val="22"/>
        </w:rPr>
      </w:pPr>
      <w:r w:rsidRPr="00E06713">
        <w:rPr>
          <w:sz w:val="22"/>
          <w:szCs w:val="22"/>
        </w:rPr>
        <w:t xml:space="preserve">---------, </w:t>
      </w:r>
      <w:r w:rsidRPr="00E06713">
        <w:rPr>
          <w:i/>
          <w:sz w:val="22"/>
          <w:szCs w:val="22"/>
        </w:rPr>
        <w:t>Second meeting of the Expert Group on Financial Education: The financial crisis and financial education Report</w:t>
      </w:r>
      <w:r w:rsidRPr="00E06713">
        <w:rPr>
          <w:sz w:val="22"/>
          <w:szCs w:val="22"/>
        </w:rPr>
        <w:t>, April 28, 2009</w:t>
      </w:r>
    </w:p>
    <w:p w:rsidR="00057AAD" w:rsidRPr="00E06713" w:rsidRDefault="00057AAD" w:rsidP="00C15467">
      <w:pPr>
        <w:jc w:val="both"/>
        <w:rPr>
          <w:sz w:val="22"/>
          <w:szCs w:val="22"/>
        </w:rPr>
      </w:pPr>
      <w:r w:rsidRPr="00E06713">
        <w:rPr>
          <w:sz w:val="22"/>
          <w:szCs w:val="22"/>
        </w:rPr>
        <w:t xml:space="preserve">---------, </w:t>
      </w:r>
      <w:r w:rsidRPr="00E06713">
        <w:rPr>
          <w:i/>
          <w:sz w:val="22"/>
          <w:szCs w:val="22"/>
        </w:rPr>
        <w:t>Survey of Financial Literacy Schemes in the EU27,</w:t>
      </w:r>
      <w:r w:rsidRPr="00E06713">
        <w:rPr>
          <w:sz w:val="22"/>
          <w:szCs w:val="22"/>
        </w:rPr>
        <w:t xml:space="preserve"> November 2007</w:t>
      </w:r>
    </w:p>
    <w:p w:rsidR="00057AAD" w:rsidRPr="00E06713" w:rsidRDefault="00057AAD" w:rsidP="00C15467">
      <w:pPr>
        <w:jc w:val="both"/>
        <w:rPr>
          <w:sz w:val="22"/>
          <w:szCs w:val="22"/>
        </w:rPr>
      </w:pPr>
    </w:p>
    <w:p w:rsidR="00057AAD" w:rsidRPr="00E06713" w:rsidRDefault="00057AAD" w:rsidP="00C15467">
      <w:pPr>
        <w:jc w:val="both"/>
        <w:rPr>
          <w:sz w:val="22"/>
          <w:szCs w:val="22"/>
        </w:rPr>
      </w:pPr>
      <w:r w:rsidRPr="00E06713">
        <w:rPr>
          <w:sz w:val="22"/>
          <w:szCs w:val="22"/>
        </w:rPr>
        <w:lastRenderedPageBreak/>
        <w:t>Gross, Karen, “Financial Literacy Education: Panacea, Palliative, or Something Worse?”,</w:t>
      </w:r>
      <w:r w:rsidRPr="00E06713">
        <w:rPr>
          <w:i/>
          <w:sz w:val="22"/>
          <w:szCs w:val="22"/>
        </w:rPr>
        <w:t xml:space="preserve"> St. Louis University Public Law Review</w:t>
      </w:r>
      <w:r w:rsidRPr="00E06713">
        <w:rPr>
          <w:sz w:val="22"/>
          <w:szCs w:val="22"/>
        </w:rPr>
        <w:t xml:space="preserve"> 24(2): 307-312, 2005</w:t>
      </w:r>
    </w:p>
    <w:p w:rsidR="00057AAD" w:rsidRPr="00E06713" w:rsidRDefault="00057AAD" w:rsidP="00C15467">
      <w:pPr>
        <w:jc w:val="both"/>
        <w:rPr>
          <w:sz w:val="22"/>
          <w:szCs w:val="22"/>
        </w:rPr>
      </w:pPr>
    </w:p>
    <w:p w:rsidR="00057AAD" w:rsidRPr="00E06713" w:rsidRDefault="00057AAD" w:rsidP="00C15467">
      <w:pPr>
        <w:jc w:val="both"/>
        <w:rPr>
          <w:sz w:val="22"/>
          <w:szCs w:val="22"/>
        </w:rPr>
      </w:pPr>
      <w:r w:rsidRPr="00E06713">
        <w:rPr>
          <w:sz w:val="22"/>
          <w:szCs w:val="22"/>
        </w:rPr>
        <w:t xml:space="preserve">Herring, Richard J. and Anthony M. Santomero, </w:t>
      </w:r>
      <w:r w:rsidRPr="00E06713">
        <w:rPr>
          <w:i/>
          <w:sz w:val="22"/>
          <w:szCs w:val="22"/>
        </w:rPr>
        <w:t>What is Optimal Financial Regulation?</w:t>
      </w:r>
      <w:r w:rsidRPr="00E06713">
        <w:rPr>
          <w:sz w:val="22"/>
          <w:szCs w:val="22"/>
        </w:rPr>
        <w:t>, Wharton Financial Institutions Center, 1999</w:t>
      </w:r>
    </w:p>
    <w:p w:rsidR="00057AAD" w:rsidRPr="00E06713" w:rsidRDefault="00057AAD" w:rsidP="00C15467">
      <w:pPr>
        <w:jc w:val="both"/>
        <w:rPr>
          <w:sz w:val="22"/>
          <w:szCs w:val="22"/>
        </w:rPr>
      </w:pPr>
    </w:p>
    <w:p w:rsidR="00057AAD" w:rsidRPr="00E06713" w:rsidRDefault="00057AAD" w:rsidP="00C15467">
      <w:pPr>
        <w:jc w:val="both"/>
        <w:rPr>
          <w:sz w:val="22"/>
          <w:szCs w:val="22"/>
        </w:rPr>
      </w:pPr>
      <w:r w:rsidRPr="00E06713">
        <w:rPr>
          <w:sz w:val="22"/>
          <w:szCs w:val="22"/>
        </w:rPr>
        <w:t xml:space="preserve">Hilgert, Marianne A. and Jeanne M. Hogarth, “Household Financial Management: The Connection between Knowledge and Behavior”, </w:t>
      </w:r>
      <w:r w:rsidRPr="00E06713">
        <w:rPr>
          <w:i/>
          <w:sz w:val="22"/>
          <w:szCs w:val="22"/>
        </w:rPr>
        <w:t>Federal Reserve Bulletin</w:t>
      </w:r>
      <w:r w:rsidRPr="00E06713">
        <w:rPr>
          <w:sz w:val="22"/>
          <w:szCs w:val="22"/>
        </w:rPr>
        <w:t>, July 2003</w:t>
      </w:r>
    </w:p>
    <w:p w:rsidR="00057AAD" w:rsidRPr="00E06713" w:rsidRDefault="00057AAD" w:rsidP="00C15467">
      <w:pPr>
        <w:jc w:val="both"/>
        <w:rPr>
          <w:sz w:val="22"/>
          <w:szCs w:val="22"/>
        </w:rPr>
      </w:pPr>
    </w:p>
    <w:p w:rsidR="00057AAD" w:rsidRPr="00E06713" w:rsidRDefault="00057AAD" w:rsidP="00864D81">
      <w:pPr>
        <w:jc w:val="both"/>
        <w:rPr>
          <w:sz w:val="22"/>
          <w:szCs w:val="22"/>
        </w:rPr>
      </w:pPr>
      <w:r w:rsidRPr="00E06713">
        <w:rPr>
          <w:sz w:val="22"/>
          <w:szCs w:val="22"/>
        </w:rPr>
        <w:t xml:space="preserve">Joint Forum of the Basel Committee on Banking Supervision, the International Organization of Securities Commissions and the International Association of Insurance Supervisors, </w:t>
      </w:r>
      <w:r w:rsidRPr="00E06713">
        <w:rPr>
          <w:i/>
          <w:sz w:val="22"/>
          <w:szCs w:val="22"/>
        </w:rPr>
        <w:t>Customer suitability in the retail sale of financial products and services</w:t>
      </w:r>
      <w:r w:rsidRPr="00E06713">
        <w:rPr>
          <w:sz w:val="22"/>
          <w:szCs w:val="22"/>
        </w:rPr>
        <w:t>, April 2008</w:t>
      </w:r>
    </w:p>
    <w:p w:rsidR="00057AAD" w:rsidRPr="00E06713" w:rsidRDefault="00057AAD" w:rsidP="00864D81">
      <w:pPr>
        <w:jc w:val="both"/>
        <w:rPr>
          <w:sz w:val="22"/>
          <w:szCs w:val="22"/>
        </w:rPr>
      </w:pPr>
    </w:p>
    <w:p w:rsidR="00057AAD" w:rsidRPr="00E06713" w:rsidRDefault="00057AAD" w:rsidP="00C15467">
      <w:pPr>
        <w:jc w:val="both"/>
        <w:rPr>
          <w:sz w:val="22"/>
          <w:szCs w:val="22"/>
        </w:rPr>
      </w:pPr>
      <w:r w:rsidRPr="00E06713">
        <w:rPr>
          <w:sz w:val="22"/>
          <w:szCs w:val="22"/>
        </w:rPr>
        <w:t xml:space="preserve">Klapper, Leora, Annamaria Lusardi and Georgios Panos, </w:t>
      </w:r>
      <w:r w:rsidRPr="00E06713">
        <w:rPr>
          <w:i/>
          <w:sz w:val="22"/>
          <w:szCs w:val="22"/>
        </w:rPr>
        <w:t>Financial Literacy and the Financial Crisis</w:t>
      </w:r>
      <w:r w:rsidR="009737C0">
        <w:rPr>
          <w:i/>
          <w:sz w:val="22"/>
          <w:szCs w:val="22"/>
        </w:rPr>
        <w:t>:</w:t>
      </w:r>
      <w:r w:rsidRPr="00E06713">
        <w:rPr>
          <w:i/>
          <w:sz w:val="22"/>
          <w:szCs w:val="22"/>
        </w:rPr>
        <w:t xml:space="preserve"> Evidence from Russia</w:t>
      </w:r>
      <w:r w:rsidRPr="00E06713">
        <w:rPr>
          <w:sz w:val="22"/>
          <w:szCs w:val="22"/>
        </w:rPr>
        <w:t xml:space="preserve">, </w:t>
      </w:r>
      <w:r w:rsidR="009737C0">
        <w:rPr>
          <w:sz w:val="22"/>
          <w:szCs w:val="22"/>
        </w:rPr>
        <w:t>March 2011</w:t>
      </w:r>
    </w:p>
    <w:p w:rsidR="00057AAD" w:rsidRPr="00E06713" w:rsidRDefault="00057AAD" w:rsidP="00C15467">
      <w:pPr>
        <w:jc w:val="both"/>
        <w:rPr>
          <w:sz w:val="22"/>
          <w:szCs w:val="22"/>
        </w:rPr>
      </w:pPr>
    </w:p>
    <w:p w:rsidR="00057AAD" w:rsidRPr="00E06713" w:rsidRDefault="00057AAD" w:rsidP="00C15467">
      <w:pPr>
        <w:jc w:val="both"/>
        <w:rPr>
          <w:sz w:val="22"/>
          <w:szCs w:val="22"/>
        </w:rPr>
      </w:pPr>
      <w:r w:rsidRPr="00E06713">
        <w:rPr>
          <w:sz w:val="22"/>
          <w:szCs w:val="22"/>
        </w:rPr>
        <w:t xml:space="preserve">Llewellyn, David T., "The Economic Rationale for Financial Regulation, Financial Services Authority," </w:t>
      </w:r>
      <w:r w:rsidRPr="00E06713">
        <w:rPr>
          <w:i/>
          <w:sz w:val="22"/>
          <w:szCs w:val="22"/>
        </w:rPr>
        <w:t>FSA Occasional Papers in Financial Regulation</w:t>
      </w:r>
      <w:r w:rsidRPr="00E06713">
        <w:rPr>
          <w:sz w:val="22"/>
          <w:szCs w:val="22"/>
        </w:rPr>
        <w:t xml:space="preserve"> (U.K.); No. 1:1-57, April 1999</w:t>
      </w:r>
    </w:p>
    <w:p w:rsidR="00057AAD" w:rsidRPr="00E06713" w:rsidRDefault="00057AAD" w:rsidP="00C15467">
      <w:pPr>
        <w:jc w:val="both"/>
        <w:rPr>
          <w:sz w:val="22"/>
          <w:szCs w:val="22"/>
        </w:rPr>
      </w:pPr>
    </w:p>
    <w:p w:rsidR="00057AAD" w:rsidRPr="00E06713" w:rsidRDefault="00057AAD" w:rsidP="00C15467">
      <w:pPr>
        <w:jc w:val="both"/>
        <w:rPr>
          <w:sz w:val="22"/>
          <w:szCs w:val="22"/>
        </w:rPr>
      </w:pPr>
      <w:r w:rsidRPr="00E06713">
        <w:rPr>
          <w:sz w:val="22"/>
          <w:szCs w:val="22"/>
        </w:rPr>
        <w:t xml:space="preserve">Lusardi, Annamarie and Olivia Mitchell, </w:t>
      </w:r>
      <w:r w:rsidRPr="00E06713">
        <w:rPr>
          <w:i/>
          <w:sz w:val="22"/>
          <w:szCs w:val="22"/>
        </w:rPr>
        <w:t>Financial Literacy and Retirement Preparedness: Evidence and Implications for Financial Education,</w:t>
      </w:r>
      <w:r w:rsidRPr="00E06713">
        <w:rPr>
          <w:sz w:val="22"/>
          <w:szCs w:val="22"/>
        </w:rPr>
        <w:t xml:space="preserve"> Business Economics, January 2007</w:t>
      </w:r>
    </w:p>
    <w:p w:rsidR="00057AAD" w:rsidRPr="00E06713" w:rsidRDefault="00057AAD" w:rsidP="00C15467">
      <w:pPr>
        <w:jc w:val="both"/>
        <w:rPr>
          <w:sz w:val="22"/>
          <w:szCs w:val="22"/>
        </w:rPr>
      </w:pPr>
    </w:p>
    <w:p w:rsidR="00057AAD" w:rsidRPr="00E06713" w:rsidRDefault="00057AAD" w:rsidP="00DB49E3">
      <w:pPr>
        <w:jc w:val="both"/>
        <w:rPr>
          <w:i/>
          <w:sz w:val="22"/>
          <w:szCs w:val="22"/>
        </w:rPr>
      </w:pPr>
      <w:bookmarkStart w:id="58" w:name="_Hlk236664909"/>
      <w:r w:rsidRPr="00E06713">
        <w:rPr>
          <w:sz w:val="22"/>
          <w:szCs w:val="22"/>
        </w:rPr>
        <w:t xml:space="preserve">Mandell, Lewis, </w:t>
      </w:r>
      <w:r w:rsidRPr="00E06713">
        <w:rPr>
          <w:i/>
          <w:sz w:val="22"/>
          <w:szCs w:val="22"/>
        </w:rPr>
        <w:t>The Financial Literacy of Young American Adults: Results of the 2008 National Jump$tart Coalition Survey of High School Seniors and College Students</w:t>
      </w:r>
      <w:r w:rsidRPr="00E06713">
        <w:rPr>
          <w:sz w:val="22"/>
          <w:szCs w:val="22"/>
        </w:rPr>
        <w:t>, Jump$tart Coalition for Personal Financial Literacy, 2009</w:t>
      </w:r>
    </w:p>
    <w:p w:rsidR="00057AAD" w:rsidRPr="00E06713" w:rsidRDefault="00057AAD" w:rsidP="00DB49E3">
      <w:pPr>
        <w:jc w:val="both"/>
        <w:rPr>
          <w:color w:val="000000"/>
          <w:sz w:val="22"/>
          <w:szCs w:val="22"/>
        </w:rPr>
      </w:pPr>
    </w:p>
    <w:p w:rsidR="00057AAD" w:rsidRPr="00E06713" w:rsidRDefault="00057AAD" w:rsidP="00DB49E3">
      <w:pPr>
        <w:jc w:val="both"/>
        <w:rPr>
          <w:i/>
          <w:sz w:val="22"/>
          <w:szCs w:val="22"/>
        </w:rPr>
      </w:pPr>
      <w:r w:rsidRPr="00E06713">
        <w:rPr>
          <w:sz w:val="22"/>
          <w:szCs w:val="22"/>
        </w:rPr>
        <w:t xml:space="preserve">Mundy, Shaun, </w:t>
      </w:r>
      <w:r w:rsidRPr="00E06713">
        <w:rPr>
          <w:i/>
          <w:sz w:val="22"/>
          <w:szCs w:val="22"/>
        </w:rPr>
        <w:t>Financial Education in Schools: Analysis of Selected Current Programmes and Literature – Draft Recommendations for Good Practices,</w:t>
      </w:r>
      <w:r w:rsidRPr="00E06713">
        <w:rPr>
          <w:sz w:val="22"/>
          <w:szCs w:val="22"/>
        </w:rPr>
        <w:t xml:space="preserve"> published in proceedings of OECD-US Treasury International Conference on Financial Education, Washington DC, 7-8 May 2008, Volume II</w:t>
      </w:r>
    </w:p>
    <w:bookmarkEnd w:id="58"/>
    <w:p w:rsidR="00057AAD" w:rsidRPr="00E06713" w:rsidRDefault="00057AAD" w:rsidP="00C15467">
      <w:pPr>
        <w:jc w:val="both"/>
        <w:rPr>
          <w:sz w:val="22"/>
          <w:szCs w:val="22"/>
        </w:rPr>
      </w:pPr>
    </w:p>
    <w:p w:rsidR="00057AAD" w:rsidRPr="00E06713" w:rsidRDefault="00057AAD" w:rsidP="00C15467">
      <w:pPr>
        <w:jc w:val="both"/>
        <w:rPr>
          <w:iCs/>
          <w:sz w:val="22"/>
          <w:szCs w:val="22"/>
        </w:rPr>
      </w:pPr>
      <w:r w:rsidRPr="00E06713">
        <w:rPr>
          <w:sz w:val="22"/>
          <w:szCs w:val="22"/>
        </w:rPr>
        <w:t xml:space="preserve">Organisation for Economic Co-operation and Development, </w:t>
      </w:r>
      <w:r w:rsidRPr="00E06713">
        <w:rPr>
          <w:i/>
          <w:sz w:val="22"/>
          <w:szCs w:val="22"/>
        </w:rPr>
        <w:t xml:space="preserve">Financial Literacy and Consumer Protection: Overlooked Aspects of the Crisis, OECD Recommendation on Good Practices on Financial Education and Awareness relating to Credit, </w:t>
      </w:r>
      <w:r w:rsidRPr="00E06713">
        <w:rPr>
          <w:iCs/>
          <w:sz w:val="22"/>
          <w:szCs w:val="22"/>
        </w:rPr>
        <w:t>2009</w:t>
      </w:r>
    </w:p>
    <w:p w:rsidR="00057AAD" w:rsidRPr="00E06713" w:rsidRDefault="00057AAD" w:rsidP="00C15467">
      <w:pPr>
        <w:jc w:val="both"/>
        <w:rPr>
          <w:sz w:val="22"/>
          <w:szCs w:val="22"/>
        </w:rPr>
      </w:pPr>
      <w:r w:rsidRPr="00E06713">
        <w:rPr>
          <w:sz w:val="22"/>
          <w:szCs w:val="22"/>
        </w:rPr>
        <w:t>---------,</w:t>
      </w:r>
      <w:r w:rsidRPr="00E06713">
        <w:rPr>
          <w:i/>
          <w:sz w:val="22"/>
          <w:szCs w:val="22"/>
        </w:rPr>
        <w:t xml:space="preserve"> Improving Financial Education and Awareness on Insurance and Private Pensions</w:t>
      </w:r>
      <w:r w:rsidRPr="00E06713">
        <w:rPr>
          <w:sz w:val="22"/>
          <w:szCs w:val="22"/>
        </w:rPr>
        <w:t>, August 2008</w:t>
      </w:r>
    </w:p>
    <w:p w:rsidR="00057AAD" w:rsidRPr="00E06713" w:rsidRDefault="00057AAD" w:rsidP="00C15467">
      <w:pPr>
        <w:jc w:val="both"/>
        <w:rPr>
          <w:i/>
          <w:sz w:val="22"/>
          <w:szCs w:val="22"/>
        </w:rPr>
      </w:pPr>
      <w:r w:rsidRPr="00E06713">
        <w:rPr>
          <w:sz w:val="22"/>
          <w:szCs w:val="22"/>
        </w:rPr>
        <w:t xml:space="preserve">---------, </w:t>
      </w:r>
      <w:r w:rsidRPr="00E06713">
        <w:rPr>
          <w:i/>
          <w:sz w:val="22"/>
          <w:szCs w:val="22"/>
        </w:rPr>
        <w:t>Improving Financial Literacy: Analysis of Issues and Policies</w:t>
      </w:r>
      <w:r w:rsidRPr="00E06713">
        <w:rPr>
          <w:sz w:val="22"/>
          <w:szCs w:val="22"/>
        </w:rPr>
        <w:t>, November 2005</w:t>
      </w:r>
    </w:p>
    <w:p w:rsidR="00057AAD" w:rsidRPr="00E06713" w:rsidRDefault="00057AAD" w:rsidP="00C15467">
      <w:pPr>
        <w:jc w:val="both"/>
        <w:rPr>
          <w:sz w:val="22"/>
          <w:szCs w:val="22"/>
        </w:rPr>
      </w:pPr>
      <w:r w:rsidRPr="00E06713">
        <w:rPr>
          <w:sz w:val="22"/>
          <w:szCs w:val="22"/>
        </w:rPr>
        <w:t xml:space="preserve">---------, Directorate for Science, Technology and Industry, Committee on Consumer Policy, </w:t>
      </w:r>
      <w:r w:rsidRPr="00E06713">
        <w:rPr>
          <w:i/>
          <w:sz w:val="22"/>
          <w:szCs w:val="22"/>
        </w:rPr>
        <w:t>Mobile Commerce</w:t>
      </w:r>
      <w:r w:rsidRPr="00E06713">
        <w:rPr>
          <w:sz w:val="22"/>
          <w:szCs w:val="22"/>
        </w:rPr>
        <w:t>, DSTI/CP(2006)7/FINAL 16-Jan-2007</w:t>
      </w:r>
    </w:p>
    <w:p w:rsidR="00057AAD" w:rsidRDefault="00057AAD" w:rsidP="00C15467">
      <w:pPr>
        <w:jc w:val="both"/>
        <w:rPr>
          <w:sz w:val="22"/>
          <w:szCs w:val="22"/>
        </w:rPr>
      </w:pPr>
    </w:p>
    <w:p w:rsidR="00057AAD" w:rsidRPr="00E06713" w:rsidRDefault="00057AAD" w:rsidP="00C15467">
      <w:pPr>
        <w:jc w:val="both"/>
        <w:rPr>
          <w:sz w:val="22"/>
          <w:szCs w:val="22"/>
        </w:rPr>
      </w:pPr>
      <w:r w:rsidRPr="00E06713">
        <w:rPr>
          <w:color w:val="000000"/>
          <w:sz w:val="22"/>
          <w:szCs w:val="22"/>
        </w:rPr>
        <w:t xml:space="preserve">Rutledge, Susan, </w:t>
      </w:r>
      <w:r w:rsidRPr="00E06713">
        <w:rPr>
          <w:i/>
          <w:color w:val="000000"/>
          <w:sz w:val="22"/>
          <w:szCs w:val="22"/>
        </w:rPr>
        <w:t>Consumer Protection and Financial Literacy: Lessons from Nine Country Studies</w:t>
      </w:r>
      <w:r w:rsidRPr="00E06713">
        <w:rPr>
          <w:color w:val="000000"/>
          <w:sz w:val="22"/>
          <w:szCs w:val="22"/>
        </w:rPr>
        <w:t xml:space="preserve">, Policy Research Working Paper No. 5326, </w:t>
      </w:r>
      <w:r w:rsidRPr="00E06713">
        <w:rPr>
          <w:sz w:val="22"/>
          <w:szCs w:val="22"/>
        </w:rPr>
        <w:t>World Bank, June 2010</w:t>
      </w:r>
    </w:p>
    <w:p w:rsidR="00057AAD" w:rsidRPr="00E06713" w:rsidRDefault="00057AAD" w:rsidP="00C15467">
      <w:pPr>
        <w:jc w:val="both"/>
        <w:rPr>
          <w:sz w:val="22"/>
          <w:szCs w:val="22"/>
        </w:rPr>
      </w:pPr>
      <w:r w:rsidRPr="00E06713">
        <w:rPr>
          <w:sz w:val="22"/>
          <w:szCs w:val="22"/>
        </w:rPr>
        <w:t xml:space="preserve">---------, </w:t>
      </w:r>
      <w:r w:rsidRPr="00E06713">
        <w:rPr>
          <w:i/>
          <w:sz w:val="22"/>
          <w:szCs w:val="22"/>
        </w:rPr>
        <w:t>Country Studies Provide Powerful Lessons in Financial Consumer Protection</w:t>
      </w:r>
      <w:r w:rsidRPr="00E06713">
        <w:rPr>
          <w:sz w:val="22"/>
          <w:szCs w:val="22"/>
        </w:rPr>
        <w:t>, Knowledge Brief No. 26, World Bank, July 2010</w:t>
      </w:r>
    </w:p>
    <w:p w:rsidR="00057AAD" w:rsidRDefault="00057AAD" w:rsidP="00C15467">
      <w:pPr>
        <w:jc w:val="both"/>
        <w:rPr>
          <w:color w:val="000000"/>
          <w:sz w:val="22"/>
          <w:szCs w:val="22"/>
        </w:rPr>
      </w:pPr>
    </w:p>
    <w:p w:rsidR="00735833" w:rsidRDefault="00735833" w:rsidP="00340634">
      <w:pPr>
        <w:ind w:right="-90"/>
        <w:jc w:val="both"/>
        <w:rPr>
          <w:sz w:val="22"/>
          <w:szCs w:val="22"/>
        </w:rPr>
      </w:pPr>
      <w:r w:rsidRPr="00735833">
        <w:rPr>
          <w:sz w:val="22"/>
          <w:szCs w:val="22"/>
        </w:rPr>
        <w:t xml:space="preserve">The Mastercard Foundation, </w:t>
      </w:r>
      <w:r w:rsidRPr="00735833">
        <w:rPr>
          <w:i/>
          <w:sz w:val="22"/>
          <w:szCs w:val="22"/>
        </w:rPr>
        <w:t>Taking Stock: Financial Education Initiatives for the Poor</w:t>
      </w:r>
      <w:r>
        <w:rPr>
          <w:sz w:val="22"/>
          <w:szCs w:val="22"/>
        </w:rPr>
        <w:t>,</w:t>
      </w:r>
      <w:r w:rsidRPr="00735833">
        <w:rPr>
          <w:sz w:val="22"/>
          <w:szCs w:val="22"/>
        </w:rPr>
        <w:t xml:space="preserve"> 2011</w:t>
      </w:r>
    </w:p>
    <w:p w:rsidR="00735833" w:rsidRDefault="00735833" w:rsidP="00340634">
      <w:pPr>
        <w:ind w:right="-90"/>
        <w:jc w:val="both"/>
        <w:rPr>
          <w:sz w:val="22"/>
          <w:szCs w:val="22"/>
        </w:rPr>
      </w:pPr>
    </w:p>
    <w:p w:rsidR="00057AAD" w:rsidRPr="00E06713" w:rsidRDefault="00057AAD" w:rsidP="00340634">
      <w:pPr>
        <w:ind w:right="-90"/>
        <w:jc w:val="both"/>
        <w:rPr>
          <w:sz w:val="22"/>
          <w:szCs w:val="22"/>
        </w:rPr>
      </w:pPr>
      <w:r w:rsidRPr="00E06713">
        <w:rPr>
          <w:sz w:val="22"/>
          <w:szCs w:val="22"/>
        </w:rPr>
        <w:t xml:space="preserve">Thomas, David and Francis Frizon, </w:t>
      </w:r>
      <w:r w:rsidRPr="00E06713">
        <w:rPr>
          <w:i/>
          <w:sz w:val="22"/>
          <w:szCs w:val="22"/>
        </w:rPr>
        <w:t>Resolving disputes between consumers and financial businesses: Fundamentals for a financial ombudsman,</w:t>
      </w:r>
      <w:r w:rsidRPr="00E06713">
        <w:rPr>
          <w:sz w:val="22"/>
          <w:szCs w:val="22"/>
        </w:rPr>
        <w:t xml:space="preserve"> Consultation draft, World Bank, June 2011</w:t>
      </w:r>
    </w:p>
    <w:p w:rsidR="00057AAD" w:rsidRPr="00E06713" w:rsidRDefault="00057AAD" w:rsidP="00C15467">
      <w:pPr>
        <w:jc w:val="both"/>
        <w:rPr>
          <w:sz w:val="22"/>
          <w:szCs w:val="22"/>
        </w:rPr>
      </w:pPr>
    </w:p>
    <w:p w:rsidR="00057AAD" w:rsidRPr="00E06713" w:rsidRDefault="00057AAD" w:rsidP="00C15467">
      <w:pPr>
        <w:jc w:val="both"/>
        <w:rPr>
          <w:sz w:val="22"/>
          <w:szCs w:val="22"/>
        </w:rPr>
      </w:pPr>
      <w:r w:rsidRPr="00E06713">
        <w:rPr>
          <w:sz w:val="22"/>
          <w:szCs w:val="22"/>
        </w:rPr>
        <w:lastRenderedPageBreak/>
        <w:t>US Department of Housing and Urban Development and Department of Treasury</w:t>
      </w:r>
      <w:r w:rsidRPr="00E06713">
        <w:rPr>
          <w:i/>
          <w:sz w:val="22"/>
          <w:szCs w:val="22"/>
        </w:rPr>
        <w:t xml:space="preserve"> </w:t>
      </w:r>
      <w:r w:rsidRPr="00E06713">
        <w:rPr>
          <w:sz w:val="22"/>
          <w:szCs w:val="22"/>
        </w:rPr>
        <w:t xml:space="preserve">Joint Task Force, </w:t>
      </w:r>
      <w:r w:rsidRPr="00E06713">
        <w:rPr>
          <w:i/>
          <w:sz w:val="22"/>
          <w:szCs w:val="22"/>
        </w:rPr>
        <w:t>Curbing Predatory Home Mortgage Lending</w:t>
      </w:r>
      <w:r w:rsidRPr="00E06713">
        <w:rPr>
          <w:sz w:val="22"/>
          <w:szCs w:val="22"/>
        </w:rPr>
        <w:t>, June 2000</w:t>
      </w:r>
    </w:p>
    <w:p w:rsidR="00156F40" w:rsidRDefault="00156F40" w:rsidP="00BF2FC5">
      <w:pPr>
        <w:rPr>
          <w:sz w:val="22"/>
          <w:szCs w:val="22"/>
        </w:rPr>
      </w:pPr>
      <w:bookmarkStart w:id="59" w:name="_Toc171737674"/>
    </w:p>
    <w:p w:rsidR="00057AAD" w:rsidRPr="00E06713" w:rsidRDefault="00057AAD" w:rsidP="00222494">
      <w:pPr>
        <w:autoSpaceDE w:val="0"/>
        <w:autoSpaceDN w:val="0"/>
        <w:adjustRightInd w:val="0"/>
        <w:rPr>
          <w:color w:val="000000"/>
          <w:sz w:val="22"/>
          <w:szCs w:val="22"/>
        </w:rPr>
      </w:pPr>
      <w:r w:rsidRPr="00E06713">
        <w:rPr>
          <w:color w:val="000000"/>
          <w:sz w:val="22"/>
          <w:szCs w:val="22"/>
        </w:rPr>
        <w:t xml:space="preserve">Willis, Lauren E., "Against Financial-Literacy Education," </w:t>
      </w:r>
      <w:r w:rsidRPr="00E06713">
        <w:rPr>
          <w:i/>
          <w:sz w:val="22"/>
          <w:szCs w:val="22"/>
        </w:rPr>
        <w:t>Iowa Law Review</w:t>
      </w:r>
      <w:r w:rsidRPr="00E06713">
        <w:rPr>
          <w:sz w:val="22"/>
          <w:szCs w:val="22"/>
        </w:rPr>
        <w:t>, Issue 94(1): 197-285</w:t>
      </w:r>
      <w:r w:rsidRPr="00E06713">
        <w:rPr>
          <w:i/>
          <w:color w:val="000000"/>
          <w:sz w:val="22"/>
          <w:szCs w:val="22"/>
        </w:rPr>
        <w:t>,</w:t>
      </w:r>
      <w:r w:rsidRPr="00E06713">
        <w:rPr>
          <w:color w:val="000000"/>
          <w:sz w:val="22"/>
          <w:szCs w:val="22"/>
        </w:rPr>
        <w:t xml:space="preserve"> November 2008</w:t>
      </w:r>
    </w:p>
    <w:p w:rsidR="00057AAD" w:rsidRPr="00E06713" w:rsidRDefault="00057AAD" w:rsidP="002B6CE6">
      <w:pPr>
        <w:autoSpaceDE w:val="0"/>
        <w:autoSpaceDN w:val="0"/>
        <w:adjustRightInd w:val="0"/>
        <w:rPr>
          <w:color w:val="000000"/>
          <w:sz w:val="22"/>
          <w:szCs w:val="22"/>
        </w:rPr>
      </w:pPr>
    </w:p>
    <w:p w:rsidR="00057AAD" w:rsidRPr="00E06713" w:rsidRDefault="00057AAD" w:rsidP="00340634">
      <w:pPr>
        <w:autoSpaceDE w:val="0"/>
        <w:autoSpaceDN w:val="0"/>
        <w:adjustRightInd w:val="0"/>
        <w:rPr>
          <w:color w:val="000000"/>
          <w:sz w:val="22"/>
          <w:szCs w:val="22"/>
        </w:rPr>
      </w:pPr>
      <w:r w:rsidRPr="00E06713">
        <w:rPr>
          <w:sz w:val="22"/>
          <w:szCs w:val="22"/>
        </w:rPr>
        <w:t xml:space="preserve">World Bank, Financial and Private Sector Development Vice Presidency, </w:t>
      </w:r>
      <w:r w:rsidRPr="00E06713">
        <w:rPr>
          <w:i/>
          <w:sz w:val="22"/>
          <w:szCs w:val="22"/>
        </w:rPr>
        <w:t>Good Practices for Financial Consumer Protection</w:t>
      </w:r>
      <w:r w:rsidRPr="00E06713">
        <w:rPr>
          <w:sz w:val="22"/>
          <w:szCs w:val="22"/>
        </w:rPr>
        <w:t xml:space="preserve">, Consultative Draft, March 2011 </w:t>
      </w:r>
    </w:p>
    <w:bookmarkEnd w:id="59"/>
    <w:p w:rsidR="00057AAD" w:rsidRPr="00E06713" w:rsidRDefault="00057AAD" w:rsidP="00707343">
      <w:pPr>
        <w:autoSpaceDE w:val="0"/>
        <w:autoSpaceDN w:val="0"/>
        <w:adjustRightInd w:val="0"/>
        <w:jc w:val="both"/>
        <w:rPr>
          <w:b/>
          <w:sz w:val="22"/>
          <w:szCs w:val="22"/>
        </w:rPr>
      </w:pPr>
    </w:p>
    <w:sectPr w:rsidR="00057AAD" w:rsidRPr="00E06713" w:rsidSect="00B671D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A7" w:rsidRDefault="00B624A7">
      <w:r>
        <w:separator/>
      </w:r>
    </w:p>
  </w:endnote>
  <w:endnote w:type="continuationSeparator" w:id="0">
    <w:p w:rsidR="00B624A7" w:rsidRDefault="00B6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utraface 2 Text Light">
    <w:altName w:val="Neutraface 2 Text Light"/>
    <w:panose1 w:val="00000000000000000000"/>
    <w:charset w:val="00"/>
    <w:family w:val="swiss"/>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CAF" w:rsidRDefault="00C21270" w:rsidP="004F51B3">
    <w:pPr>
      <w:pStyle w:val="Footer"/>
      <w:jc w:val="center"/>
    </w:pPr>
    <w:r>
      <w:rPr>
        <w:rStyle w:val="PageNumber"/>
      </w:rPr>
      <w:fldChar w:fldCharType="begin"/>
    </w:r>
    <w:r w:rsidR="009C2CAF">
      <w:rPr>
        <w:rStyle w:val="PageNumber"/>
      </w:rPr>
      <w:instrText xml:space="preserve"> PAGE </w:instrText>
    </w:r>
    <w:r>
      <w:rPr>
        <w:rStyle w:val="PageNumber"/>
      </w:rPr>
      <w:fldChar w:fldCharType="separate"/>
    </w:r>
    <w:r w:rsidR="00930C64">
      <w:rPr>
        <w:rStyle w:val="PageNumber"/>
        <w:noProof/>
      </w:rPr>
      <w:t>v</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CAF" w:rsidRPr="001A255B" w:rsidRDefault="009C2CAF" w:rsidP="00FF7A7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CAF" w:rsidRDefault="00C21270" w:rsidP="00453D25">
    <w:pPr>
      <w:pStyle w:val="Footer"/>
      <w:framePr w:wrap="around" w:vAnchor="text" w:hAnchor="margin" w:xAlign="center" w:y="1"/>
      <w:rPr>
        <w:rStyle w:val="PageNumber"/>
      </w:rPr>
    </w:pPr>
    <w:r>
      <w:rPr>
        <w:rStyle w:val="PageNumber"/>
      </w:rPr>
      <w:fldChar w:fldCharType="begin"/>
    </w:r>
    <w:r w:rsidR="009C2CAF">
      <w:rPr>
        <w:rStyle w:val="PageNumber"/>
      </w:rPr>
      <w:instrText xml:space="preserve">PAGE  </w:instrText>
    </w:r>
    <w:r>
      <w:rPr>
        <w:rStyle w:val="PageNumber"/>
      </w:rPr>
      <w:fldChar w:fldCharType="separate"/>
    </w:r>
    <w:r w:rsidR="00930C64">
      <w:rPr>
        <w:rStyle w:val="PageNumber"/>
        <w:noProof/>
      </w:rPr>
      <w:t>35</w:t>
    </w:r>
    <w:r>
      <w:rPr>
        <w:rStyle w:val="PageNumber"/>
      </w:rPr>
      <w:fldChar w:fldCharType="end"/>
    </w:r>
  </w:p>
  <w:p w:rsidR="009C2CAF" w:rsidRDefault="009C2C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CAF" w:rsidRPr="001A255B" w:rsidRDefault="009C2CAF" w:rsidP="00CF3EE8">
    <w:pPr>
      <w:pStyle w:val="Footer"/>
      <w:tabs>
        <w:tab w:val="clear" w:pos="864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A7" w:rsidRDefault="00B624A7">
      <w:r>
        <w:separator/>
      </w:r>
    </w:p>
  </w:footnote>
  <w:footnote w:type="continuationSeparator" w:id="0">
    <w:p w:rsidR="00B624A7" w:rsidRDefault="00B624A7">
      <w:r>
        <w:continuationSeparator/>
      </w:r>
    </w:p>
  </w:footnote>
  <w:footnote w:id="1">
    <w:p w:rsidR="009C2CAF" w:rsidRPr="003E011B" w:rsidRDefault="009C2CAF" w:rsidP="00437FA4">
      <w:pPr>
        <w:pStyle w:val="FootnoteText"/>
      </w:pPr>
      <w:r w:rsidRPr="003E011B">
        <w:rPr>
          <w:rStyle w:val="FootnoteReference"/>
        </w:rPr>
        <w:footnoteRef/>
      </w:r>
      <w:r w:rsidRPr="003E011B">
        <w:t xml:space="preserve"> The Good Practices incorporate provisions of directives, laws, regulations and codes of business practices from the EU, United States, Australia, Canada, France, Ireland, Malaysia, Mexico, New Zealand, Peru and South Africa. While the Good Practices are based on successful experiences primarily of middle- and high-income countries, the basic ideas are of universal application and should be part of financial consumer protection strategies for countries worldwide. The </w:t>
      </w:r>
      <w:r w:rsidRPr="003E011B">
        <w:rPr>
          <w:i/>
        </w:rPr>
        <w:t xml:space="preserve">Good Practices for Financial Consumer Protection </w:t>
      </w:r>
      <w:r w:rsidRPr="003E011B">
        <w:t xml:space="preserve">and country reports on financial consumer protection are available at </w:t>
      </w:r>
      <w:hyperlink r:id="rId1" w:history="1">
        <w:r w:rsidRPr="003E011B">
          <w:rPr>
            <w:rStyle w:val="Hyperlink"/>
          </w:rPr>
          <w:t>www.worldbank.org/consumerprotection</w:t>
        </w:r>
      </w:hyperlink>
      <w:r w:rsidRPr="003E011B">
        <w:t>.</w:t>
      </w:r>
    </w:p>
  </w:footnote>
  <w:footnote w:id="2">
    <w:p w:rsidR="009C2CAF" w:rsidRPr="003E011B" w:rsidRDefault="009C2CAF" w:rsidP="009D628F">
      <w:pPr>
        <w:pStyle w:val="FootnoteText"/>
      </w:pPr>
      <w:r w:rsidRPr="003E011B">
        <w:rPr>
          <w:rStyle w:val="FootnoteReference"/>
        </w:rPr>
        <w:footnoteRef/>
      </w:r>
      <w:r w:rsidRPr="003E011B">
        <w:t xml:space="preserve"> Consumer protection is part of the statutory objectives of financial supervisory agencies in several countries like Austria, Colombia, Ireland, Singapore, Sweden and United Kingdom. According to a survey undertaken by CGAP and the World Bank, 99 countries (out of 142) reported that central banks or bank regulators are responsible for at least some aspect of financial consumer protection (see Ardic et al (2011)).</w:t>
      </w:r>
    </w:p>
  </w:footnote>
  <w:footnote w:id="3">
    <w:p w:rsidR="009C2CAF" w:rsidRPr="003E011B" w:rsidRDefault="009C2CAF">
      <w:pPr>
        <w:pStyle w:val="FootnoteText"/>
      </w:pPr>
      <w:r w:rsidRPr="003E011B">
        <w:rPr>
          <w:rStyle w:val="FootnoteReference"/>
        </w:rPr>
        <w:footnoteRef/>
      </w:r>
      <w:r w:rsidRPr="003E011B">
        <w:t xml:space="preserve"> As defined by the Armenian legislation. </w:t>
      </w:r>
    </w:p>
  </w:footnote>
  <w:footnote w:id="4">
    <w:p w:rsidR="009C2CAF" w:rsidRPr="003E011B" w:rsidRDefault="009C2CAF">
      <w:pPr>
        <w:pStyle w:val="FootnoteText"/>
      </w:pPr>
      <w:r w:rsidRPr="003E011B">
        <w:rPr>
          <w:rStyle w:val="FootnoteReference"/>
        </w:rPr>
        <w:footnoteRef/>
      </w:r>
      <w:r w:rsidRPr="003E011B">
        <w:t xml:space="preserve"> For </w:t>
      </w:r>
      <w:r>
        <w:t xml:space="preserve">further details and country comparison, see the full Findex database at </w:t>
      </w:r>
      <w:r w:rsidRPr="003E011B">
        <w:t>http://www-wds.worldbank.org/servlet/WDSContentServer/WDSP/IB/2012/04/19/000158349_20120419083611/Rendered/PDF/WPS6025.pdf</w:t>
      </w:r>
    </w:p>
  </w:footnote>
  <w:footnote w:id="5">
    <w:p w:rsidR="009C2CAF" w:rsidRPr="003E011B" w:rsidRDefault="009C2CAF" w:rsidP="00B671D4">
      <w:pPr>
        <w:pStyle w:val="FootnoteText"/>
      </w:pPr>
      <w:r w:rsidRPr="003E011B">
        <w:rPr>
          <w:rStyle w:val="FootnoteReference"/>
        </w:rPr>
        <w:footnoteRef/>
      </w:r>
      <w:r w:rsidRPr="003E011B">
        <w:t xml:space="preserve"> The full segment of non-bank credit institutions is regulated and supervised by the CBA. After the approval of the Law on Credit Organizations in 2002 and the Law on Pawnshops and Pawnbrokerage in 2003, all microfinance organizations, credit companies and pawnshops were req</w:t>
      </w:r>
      <w:r>
        <w:t xml:space="preserve">uired to be licensed by the CBA as credit organizations or pawnshops. The segment of credit organizations is thus composed of five different types of institutions: savings unions, credit unions, leasing organizations, factoring organizations and universal credit organizations. </w:t>
      </w:r>
    </w:p>
  </w:footnote>
  <w:footnote w:id="6">
    <w:p w:rsidR="009C2CAF" w:rsidRPr="003E011B" w:rsidRDefault="009C2CAF" w:rsidP="00437FA4">
      <w:pPr>
        <w:pStyle w:val="FootnoteText"/>
      </w:pPr>
      <w:r>
        <w:rPr>
          <w:rStyle w:val="FootnoteReference"/>
        </w:rPr>
        <w:footnoteRef/>
      </w:r>
      <w:r w:rsidRPr="00E51656">
        <w:t xml:space="preserve"> For a summary of several country programs see Mundy (May 2008) and</w:t>
      </w:r>
      <w:r w:rsidRPr="00E51656">
        <w:rPr>
          <w:i/>
        </w:rPr>
        <w:t xml:space="preserve"> </w:t>
      </w:r>
      <w:r w:rsidRPr="00E51656">
        <w:t xml:space="preserve">for a summary of academic research on the limited effectiveness of financial education in the US, see Cole and Shastry (October 2007). Other studies that analyze the effects of financial education on consumer decision-making include Mandell (2009), Willis (November 2008), Klapper, Lusardi and Panos (March 2011). The World Bank’s </w:t>
      </w:r>
      <w:r w:rsidRPr="00E51656">
        <w:rPr>
          <w:i/>
        </w:rPr>
        <w:t>Good Practices for Financial Consumer Protection</w:t>
      </w:r>
      <w:r w:rsidRPr="00E51656">
        <w:t xml:space="preserve"> (March 2011) includes a brief summary of measures that have pointed to some success in financial education programs.</w:t>
      </w:r>
    </w:p>
  </w:footnote>
  <w:footnote w:id="7">
    <w:p w:rsidR="009C2CAF" w:rsidRPr="003E011B" w:rsidRDefault="009C2CAF" w:rsidP="00437FA4">
      <w:pPr>
        <w:pStyle w:val="FootnoteText"/>
      </w:pPr>
      <w:r>
        <w:rPr>
          <w:rStyle w:val="FootnoteReference"/>
        </w:rPr>
        <w:footnoteRef/>
      </w:r>
      <w:r w:rsidRPr="00E51656">
        <w:t xml:space="preserve"> Chairman Ben S. Bernanke’s Speech </w:t>
      </w:r>
      <w:r w:rsidRPr="00E51656">
        <w:rPr>
          <w:i/>
        </w:rPr>
        <w:t>Financial Innovation and Consumer Protection</w:t>
      </w:r>
      <w:r w:rsidRPr="00E51656">
        <w:t xml:space="preserve"> at the Federal Reserve System's Sixth Biennial Community Affairs Research Conference, Washington, D.C. April 17, 2009</w:t>
      </w:r>
    </w:p>
  </w:footnote>
  <w:footnote w:id="8">
    <w:p w:rsidR="009C2CAF" w:rsidRPr="003E011B" w:rsidRDefault="009C2CAF">
      <w:pPr>
        <w:pStyle w:val="FootnoteText"/>
      </w:pPr>
      <w:r>
        <w:rPr>
          <w:rStyle w:val="FootnoteReference"/>
        </w:rPr>
        <w:footnoteRef/>
      </w:r>
      <w:r w:rsidRPr="00E51656">
        <w:t xml:space="preserve"> The core principles relate to appropriate product design and delivery, prevention of overindebtedness, transparency, responsible pricing, fair treatment of clients, privacy of client data, and complaint resolution mechanisms. </w:t>
      </w:r>
    </w:p>
  </w:footnote>
  <w:footnote w:id="9">
    <w:p w:rsidR="009C2CAF" w:rsidRPr="003E011B" w:rsidRDefault="009C2CAF" w:rsidP="00437FA4">
      <w:pPr>
        <w:pStyle w:val="FootnoteText"/>
      </w:pPr>
      <w:r>
        <w:rPr>
          <w:rStyle w:val="FootnoteReference"/>
        </w:rPr>
        <w:footnoteRef/>
      </w:r>
      <w:r w:rsidRPr="00E51656">
        <w:t xml:space="preserve"> Examples of key facts statements include the EU’s Standard European Consumer Credit Information, the US’ Schumer Box for credit cards, Peru’s Hoja Resumen (Summary Sheet), South Africa’s Pre-Agreement Statement &amp; Quotation for Small Credit Agreements, Ghana’s Pre-Agreement Truth in Lending Disclosure Statement.</w:t>
      </w:r>
    </w:p>
  </w:footnote>
  <w:footnote w:id="10">
    <w:p w:rsidR="009C2CAF" w:rsidRPr="003E011B" w:rsidRDefault="009C2CAF">
      <w:pPr>
        <w:pStyle w:val="FootnoteText"/>
      </w:pPr>
      <w:r>
        <w:rPr>
          <w:rStyle w:val="FootnoteReference"/>
        </w:rPr>
        <w:footnoteRef/>
      </w:r>
      <w:r w:rsidRPr="00E51656">
        <w:t xml:space="preserve"> For example, Regulation 8/03 (Article 48, item 13) already indicates that information on credits published in newsletters and websites should include warnings about possible negative consequences for a borrower that does not pay obligations on time, in a prominent place and with different typewriting (e.g. “Warning: if you do not pay your interests and principal on time, this information will be included in the credit register”).</w:t>
      </w:r>
    </w:p>
  </w:footnote>
  <w:footnote w:id="11">
    <w:p w:rsidR="009C2CAF" w:rsidRPr="003E011B" w:rsidRDefault="009C2CAF">
      <w:pPr>
        <w:pStyle w:val="FootnoteText"/>
      </w:pPr>
      <w:r>
        <w:rPr>
          <w:rStyle w:val="FootnoteReference"/>
        </w:rPr>
        <w:footnoteRef/>
      </w:r>
      <w:r w:rsidRPr="00E51656">
        <w:t xml:space="preserve"> As an example, see the example of the United States where the Federal Reserve Board has conducted extensive consumer testing of credit card disclosure information in order to develop an easily understood format. For a summary of lessons learned, see the following website: </w:t>
      </w:r>
    </w:p>
    <w:p w:rsidR="009C2CAF" w:rsidRPr="003E011B" w:rsidRDefault="009C2CAF">
      <w:pPr>
        <w:pStyle w:val="FootnoteText"/>
      </w:pPr>
      <w:r w:rsidRPr="00E51656">
        <w:t>http://www.federalreserve.gov/pubs/bulletin/2011/articles/DesigningDisclosures/default.htm</w:t>
      </w:r>
    </w:p>
  </w:footnote>
  <w:footnote w:id="12">
    <w:p w:rsidR="009C2CAF" w:rsidRPr="003E011B" w:rsidRDefault="009C2CAF" w:rsidP="00437FA4">
      <w:pPr>
        <w:pStyle w:val="FootnoteText"/>
      </w:pPr>
      <w:r>
        <w:rPr>
          <w:rStyle w:val="FootnoteReference"/>
        </w:rPr>
        <w:footnoteRef/>
      </w:r>
      <w:r w:rsidRPr="00E51656">
        <w:t xml:space="preserve"> Publication of such information is done by financial supervisory authorities in countries like Ireland, Slovakia and Peru. For example, the Irish Financial Regulator periodically compiles offers by different financial institutions and then issues its comparative tariff survey with a press release. The Slovak Ministry of Finance collects average APR rates for pre-defined loan products and publishes average rates to allow consumers to compare the proposed rate with the market average. The Superintendence of Banking, Insurance and Private Pension Funds of Peru publishes all the components of an indicator of effective cost of credit per financial institution on its website and national newspapers. The Superintendence of Banking, Insurance and Pension Funds of Peru, for example, found that online publication of consumer loan rates reduced the average consumer lending rate by 1000 basis points (or ten percentage points) at a time of stable interest rates (see </w:t>
      </w:r>
      <w:hyperlink r:id="rId2" w:history="1">
        <w:r>
          <w:rPr>
            <w:rStyle w:val="Hyperlink"/>
          </w:rPr>
          <w:t>http://www.sbs.gob.pe</w:t>
        </w:r>
      </w:hyperlink>
      <w:r w:rsidRPr="00E51656">
        <w:t xml:space="preserve">). </w:t>
      </w:r>
    </w:p>
  </w:footnote>
  <w:footnote w:id="13">
    <w:p w:rsidR="009C2CAF" w:rsidRPr="003E011B" w:rsidRDefault="009C2CAF" w:rsidP="00437FA4">
      <w:pPr>
        <w:pStyle w:val="FootnoteText"/>
      </w:pPr>
      <w:r>
        <w:rPr>
          <w:rStyle w:val="FootnoteReference"/>
        </w:rPr>
        <w:footnoteRef/>
      </w:r>
      <w:r w:rsidRPr="00E51656">
        <w:t xml:space="preserve"> Tying occurs when two or more products are sold together in a package and at least one of these products is not sold separately. Bundling occurs when two or more products are sold together in a package, although each of the products can also be purchased separately on the market.</w:t>
      </w:r>
    </w:p>
  </w:footnote>
  <w:footnote w:id="14">
    <w:p w:rsidR="009C2CAF" w:rsidRPr="003E011B" w:rsidRDefault="009C2CAF">
      <w:pPr>
        <w:pStyle w:val="FootnoteText"/>
      </w:pPr>
      <w:r>
        <w:rPr>
          <w:rStyle w:val="FootnoteReference"/>
        </w:rPr>
        <w:footnoteRef/>
      </w:r>
      <w:r w:rsidRPr="00E51656">
        <w:t xml:space="preserve"> The taxonomy of complaints by product and complaint type should be standardized and defined by the CBA's regulations.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CAF" w:rsidRDefault="009C2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1">
    <w:nsid w:val="00000002"/>
    <w:multiLevelType w:val="hybridMultilevel"/>
    <w:tmpl w:val="00000002"/>
    <w:lvl w:ilvl="0" w:tplc="FFFFFFFF">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2">
    <w:nsid w:val="00000003"/>
    <w:multiLevelType w:val="hybridMultilevel"/>
    <w:tmpl w:val="00000003"/>
    <w:lvl w:ilvl="0" w:tplc="FFFFFFFF">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3">
    <w:nsid w:val="00000004"/>
    <w:multiLevelType w:val="hybridMultilevel"/>
    <w:tmpl w:val="00000004"/>
    <w:lvl w:ilvl="0" w:tplc="FFFFFFFF">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FFFFFFFF">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FFFFFFFF">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FFFFFFFF">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FFFFFFFF">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FFFFFFFF">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FFFFFFFF">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FFFFFFFF">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FFFFFFFF">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4">
    <w:nsid w:val="00000005"/>
    <w:multiLevelType w:val="hybridMultilevel"/>
    <w:tmpl w:val="00000005"/>
    <w:lvl w:ilvl="0" w:tplc="FFFFFFFF">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5">
    <w:nsid w:val="0259322D"/>
    <w:multiLevelType w:val="hybridMultilevel"/>
    <w:tmpl w:val="82D22F6A"/>
    <w:lvl w:ilvl="0" w:tplc="052E1F34">
      <w:start w:val="1"/>
      <w:numFmt w:val="bullet"/>
      <w:lvlText w:val=""/>
      <w:lvlJc w:val="left"/>
      <w:pPr>
        <w:tabs>
          <w:tab w:val="num" w:pos="360"/>
        </w:tabs>
        <w:ind w:left="360" w:hanging="360"/>
      </w:pPr>
      <w:rPr>
        <w:rFonts w:ascii="Symbol" w:hAnsi="Symbol" w:hint="default"/>
        <w:sz w:val="22"/>
      </w:rPr>
    </w:lvl>
    <w:lvl w:ilvl="1" w:tplc="618EDF2C" w:tentative="1">
      <w:start w:val="1"/>
      <w:numFmt w:val="bullet"/>
      <w:lvlText w:val="o"/>
      <w:lvlJc w:val="left"/>
      <w:pPr>
        <w:tabs>
          <w:tab w:val="num" w:pos="1440"/>
        </w:tabs>
        <w:ind w:left="1440" w:hanging="360"/>
      </w:pPr>
      <w:rPr>
        <w:rFonts w:ascii="Courier New" w:hAnsi="Courier New" w:hint="default"/>
      </w:rPr>
    </w:lvl>
    <w:lvl w:ilvl="2" w:tplc="1B2AA0C6" w:tentative="1">
      <w:start w:val="1"/>
      <w:numFmt w:val="bullet"/>
      <w:lvlText w:val=""/>
      <w:lvlJc w:val="left"/>
      <w:pPr>
        <w:tabs>
          <w:tab w:val="num" w:pos="2160"/>
        </w:tabs>
        <w:ind w:left="2160" w:hanging="360"/>
      </w:pPr>
      <w:rPr>
        <w:rFonts w:ascii="Wingdings" w:hAnsi="Wingdings" w:hint="default"/>
      </w:rPr>
    </w:lvl>
    <w:lvl w:ilvl="3" w:tplc="51F48B96" w:tentative="1">
      <w:start w:val="1"/>
      <w:numFmt w:val="bullet"/>
      <w:lvlText w:val=""/>
      <w:lvlJc w:val="left"/>
      <w:pPr>
        <w:tabs>
          <w:tab w:val="num" w:pos="2880"/>
        </w:tabs>
        <w:ind w:left="2880" w:hanging="360"/>
      </w:pPr>
      <w:rPr>
        <w:rFonts w:ascii="Symbol" w:hAnsi="Symbol" w:hint="default"/>
      </w:rPr>
    </w:lvl>
    <w:lvl w:ilvl="4" w:tplc="95986944" w:tentative="1">
      <w:start w:val="1"/>
      <w:numFmt w:val="bullet"/>
      <w:lvlText w:val="o"/>
      <w:lvlJc w:val="left"/>
      <w:pPr>
        <w:tabs>
          <w:tab w:val="num" w:pos="3600"/>
        </w:tabs>
        <w:ind w:left="3600" w:hanging="360"/>
      </w:pPr>
      <w:rPr>
        <w:rFonts w:ascii="Courier New" w:hAnsi="Courier New" w:hint="default"/>
      </w:rPr>
    </w:lvl>
    <w:lvl w:ilvl="5" w:tplc="C20A9CA4" w:tentative="1">
      <w:start w:val="1"/>
      <w:numFmt w:val="bullet"/>
      <w:lvlText w:val=""/>
      <w:lvlJc w:val="left"/>
      <w:pPr>
        <w:tabs>
          <w:tab w:val="num" w:pos="4320"/>
        </w:tabs>
        <w:ind w:left="4320" w:hanging="360"/>
      </w:pPr>
      <w:rPr>
        <w:rFonts w:ascii="Wingdings" w:hAnsi="Wingdings" w:hint="default"/>
      </w:rPr>
    </w:lvl>
    <w:lvl w:ilvl="6" w:tplc="E342DF90" w:tentative="1">
      <w:start w:val="1"/>
      <w:numFmt w:val="bullet"/>
      <w:lvlText w:val=""/>
      <w:lvlJc w:val="left"/>
      <w:pPr>
        <w:tabs>
          <w:tab w:val="num" w:pos="5040"/>
        </w:tabs>
        <w:ind w:left="5040" w:hanging="360"/>
      </w:pPr>
      <w:rPr>
        <w:rFonts w:ascii="Symbol" w:hAnsi="Symbol" w:hint="default"/>
      </w:rPr>
    </w:lvl>
    <w:lvl w:ilvl="7" w:tplc="1360B4EE" w:tentative="1">
      <w:start w:val="1"/>
      <w:numFmt w:val="bullet"/>
      <w:lvlText w:val="o"/>
      <w:lvlJc w:val="left"/>
      <w:pPr>
        <w:tabs>
          <w:tab w:val="num" w:pos="5760"/>
        </w:tabs>
        <w:ind w:left="5760" w:hanging="360"/>
      </w:pPr>
      <w:rPr>
        <w:rFonts w:ascii="Courier New" w:hAnsi="Courier New" w:hint="default"/>
      </w:rPr>
    </w:lvl>
    <w:lvl w:ilvl="8" w:tplc="C1E61726" w:tentative="1">
      <w:start w:val="1"/>
      <w:numFmt w:val="bullet"/>
      <w:lvlText w:val=""/>
      <w:lvlJc w:val="left"/>
      <w:pPr>
        <w:tabs>
          <w:tab w:val="num" w:pos="6480"/>
        </w:tabs>
        <w:ind w:left="6480" w:hanging="360"/>
      </w:pPr>
      <w:rPr>
        <w:rFonts w:ascii="Wingdings" w:hAnsi="Wingdings" w:hint="default"/>
      </w:rPr>
    </w:lvl>
  </w:abstractNum>
  <w:abstractNum w:abstractNumId="6">
    <w:nsid w:val="04682935"/>
    <w:multiLevelType w:val="hybridMultilevel"/>
    <w:tmpl w:val="1C58E47A"/>
    <w:lvl w:ilvl="0" w:tplc="CB503F96">
      <w:start w:val="1"/>
      <w:numFmt w:val="bullet"/>
      <w:lvlText w:val=""/>
      <w:lvlJc w:val="left"/>
      <w:pPr>
        <w:tabs>
          <w:tab w:val="num" w:pos="720"/>
        </w:tabs>
        <w:ind w:left="720" w:hanging="360"/>
      </w:pPr>
      <w:rPr>
        <w:rFonts w:ascii="Symbol" w:hAnsi="Symbol" w:hint="default"/>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
    <w:nsid w:val="14AC4E31"/>
    <w:multiLevelType w:val="hybridMultilevel"/>
    <w:tmpl w:val="FD7E62FA"/>
    <w:lvl w:ilvl="0" w:tplc="CB503F96">
      <w:start w:val="1"/>
      <w:numFmt w:val="bullet"/>
      <w:lvlText w:val=""/>
      <w:lvlJc w:val="left"/>
      <w:pPr>
        <w:tabs>
          <w:tab w:val="num" w:pos="360"/>
        </w:tabs>
        <w:ind w:left="360" w:hanging="360"/>
      </w:pPr>
      <w:rPr>
        <w:rFonts w:ascii="Symbol" w:hAnsi="Symbol" w:hint="default"/>
        <w:sz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19F636B3"/>
    <w:multiLevelType w:val="multilevel"/>
    <w:tmpl w:val="A5A0631C"/>
    <w:lvl w:ilvl="0">
      <w:start w:val="1"/>
      <w:numFmt w:val="decimal"/>
      <w:lvlText w:val="%1."/>
      <w:lvlJc w:val="left"/>
      <w:pPr>
        <w:tabs>
          <w:tab w:val="num" w:pos="1530"/>
        </w:tabs>
        <w:ind w:left="153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2B005F"/>
    <w:multiLevelType w:val="hybridMultilevel"/>
    <w:tmpl w:val="5A9CA3A8"/>
    <w:lvl w:ilvl="0" w:tplc="8982C320">
      <w:start w:val="1"/>
      <w:numFmt w:val="lowerRoman"/>
      <w:lvlText w:val="%1)"/>
      <w:lvlJc w:val="left"/>
      <w:pPr>
        <w:tabs>
          <w:tab w:val="num" w:pos="720"/>
        </w:tabs>
        <w:ind w:left="720" w:hanging="360"/>
      </w:pPr>
      <w:rPr>
        <w:rFonts w:cs="Times New Roman" w:hint="default"/>
        <w:b w:val="0"/>
      </w:rPr>
    </w:lvl>
    <w:lvl w:ilvl="1" w:tplc="57EC6F78">
      <w:start w:val="1"/>
      <w:numFmt w:val="lowerLetter"/>
      <w:lvlText w:val="%2."/>
      <w:lvlJc w:val="left"/>
      <w:pPr>
        <w:ind w:left="1440" w:hanging="360"/>
      </w:pPr>
      <w:rPr>
        <w:rFonts w:cs="Times New Roman" w:hint="default"/>
      </w:rPr>
    </w:lvl>
    <w:lvl w:ilvl="2" w:tplc="CFCE9F4E" w:tentative="1">
      <w:start w:val="1"/>
      <w:numFmt w:val="lowerRoman"/>
      <w:lvlText w:val="%3."/>
      <w:lvlJc w:val="right"/>
      <w:pPr>
        <w:tabs>
          <w:tab w:val="num" w:pos="2160"/>
        </w:tabs>
        <w:ind w:left="2160" w:hanging="180"/>
      </w:pPr>
      <w:rPr>
        <w:rFonts w:cs="Times New Roman"/>
      </w:rPr>
    </w:lvl>
    <w:lvl w:ilvl="3" w:tplc="17069B1A" w:tentative="1">
      <w:start w:val="1"/>
      <w:numFmt w:val="decimal"/>
      <w:lvlText w:val="%4."/>
      <w:lvlJc w:val="left"/>
      <w:pPr>
        <w:tabs>
          <w:tab w:val="num" w:pos="2880"/>
        </w:tabs>
        <w:ind w:left="2880" w:hanging="360"/>
      </w:pPr>
      <w:rPr>
        <w:rFonts w:cs="Times New Roman"/>
      </w:rPr>
    </w:lvl>
    <w:lvl w:ilvl="4" w:tplc="DF345E22" w:tentative="1">
      <w:start w:val="1"/>
      <w:numFmt w:val="lowerLetter"/>
      <w:lvlText w:val="%5."/>
      <w:lvlJc w:val="left"/>
      <w:pPr>
        <w:tabs>
          <w:tab w:val="num" w:pos="3600"/>
        </w:tabs>
        <w:ind w:left="3600" w:hanging="360"/>
      </w:pPr>
      <w:rPr>
        <w:rFonts w:cs="Times New Roman"/>
      </w:rPr>
    </w:lvl>
    <w:lvl w:ilvl="5" w:tplc="C2EEA29A" w:tentative="1">
      <w:start w:val="1"/>
      <w:numFmt w:val="lowerRoman"/>
      <w:lvlText w:val="%6."/>
      <w:lvlJc w:val="right"/>
      <w:pPr>
        <w:tabs>
          <w:tab w:val="num" w:pos="4320"/>
        </w:tabs>
        <w:ind w:left="4320" w:hanging="180"/>
      </w:pPr>
      <w:rPr>
        <w:rFonts w:cs="Times New Roman"/>
      </w:rPr>
    </w:lvl>
    <w:lvl w:ilvl="6" w:tplc="66BCB070" w:tentative="1">
      <w:start w:val="1"/>
      <w:numFmt w:val="decimal"/>
      <w:lvlText w:val="%7."/>
      <w:lvlJc w:val="left"/>
      <w:pPr>
        <w:tabs>
          <w:tab w:val="num" w:pos="5040"/>
        </w:tabs>
        <w:ind w:left="5040" w:hanging="360"/>
      </w:pPr>
      <w:rPr>
        <w:rFonts w:cs="Times New Roman"/>
      </w:rPr>
    </w:lvl>
    <w:lvl w:ilvl="7" w:tplc="54862C0A" w:tentative="1">
      <w:start w:val="1"/>
      <w:numFmt w:val="lowerLetter"/>
      <w:lvlText w:val="%8."/>
      <w:lvlJc w:val="left"/>
      <w:pPr>
        <w:tabs>
          <w:tab w:val="num" w:pos="5760"/>
        </w:tabs>
        <w:ind w:left="5760" w:hanging="360"/>
      </w:pPr>
      <w:rPr>
        <w:rFonts w:cs="Times New Roman"/>
      </w:rPr>
    </w:lvl>
    <w:lvl w:ilvl="8" w:tplc="E01047D4" w:tentative="1">
      <w:start w:val="1"/>
      <w:numFmt w:val="lowerRoman"/>
      <w:lvlText w:val="%9."/>
      <w:lvlJc w:val="right"/>
      <w:pPr>
        <w:tabs>
          <w:tab w:val="num" w:pos="6480"/>
        </w:tabs>
        <w:ind w:left="6480" w:hanging="180"/>
      </w:pPr>
      <w:rPr>
        <w:rFonts w:cs="Times New Roman"/>
      </w:rPr>
    </w:lvl>
  </w:abstractNum>
  <w:abstractNum w:abstractNumId="10">
    <w:nsid w:val="1DDF3CE8"/>
    <w:multiLevelType w:val="hybridMultilevel"/>
    <w:tmpl w:val="8F44D15C"/>
    <w:lvl w:ilvl="0" w:tplc="71AEBB0C">
      <w:start w:val="1"/>
      <w:numFmt w:val="bullet"/>
      <w:lvlText w:val=""/>
      <w:lvlJc w:val="left"/>
      <w:pPr>
        <w:tabs>
          <w:tab w:val="num" w:pos="360"/>
        </w:tabs>
        <w:ind w:left="360" w:hanging="360"/>
      </w:pPr>
      <w:rPr>
        <w:rFonts w:ascii="Symbol" w:hAnsi="Symbol" w:hint="default"/>
        <w:sz w:val="22"/>
      </w:rPr>
    </w:lvl>
    <w:lvl w:ilvl="1" w:tplc="D1682B42"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1EEF781E"/>
    <w:multiLevelType w:val="hybridMultilevel"/>
    <w:tmpl w:val="B5A4D016"/>
    <w:lvl w:ilvl="0" w:tplc="CB503F9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861E2F"/>
    <w:multiLevelType w:val="hybridMultilevel"/>
    <w:tmpl w:val="7BA49EB0"/>
    <w:lvl w:ilvl="0" w:tplc="0E3C8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7A710E"/>
    <w:multiLevelType w:val="hybridMultilevel"/>
    <w:tmpl w:val="F1F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B42B7D"/>
    <w:multiLevelType w:val="hybridMultilevel"/>
    <w:tmpl w:val="29004D50"/>
    <w:lvl w:ilvl="0" w:tplc="04090003">
      <w:start w:val="1"/>
      <w:numFmt w:val="bullet"/>
      <w:lvlText w:val=""/>
      <w:lvlJc w:val="left"/>
      <w:pPr>
        <w:tabs>
          <w:tab w:val="num" w:pos="2340"/>
        </w:tabs>
        <w:ind w:left="2340" w:hanging="360"/>
      </w:pPr>
      <w:rPr>
        <w:rFonts w:ascii="Symbol" w:hAnsi="Symbol" w:hint="default"/>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5">
    <w:nsid w:val="21FC7765"/>
    <w:multiLevelType w:val="hybridMultilevel"/>
    <w:tmpl w:val="00AC3818"/>
    <w:lvl w:ilvl="0" w:tplc="CB503F96">
      <w:start w:val="1"/>
      <w:numFmt w:val="bullet"/>
      <w:lvlText w:val=""/>
      <w:lvlJc w:val="left"/>
      <w:pPr>
        <w:tabs>
          <w:tab w:val="num" w:pos="360"/>
        </w:tabs>
        <w:ind w:left="360" w:hanging="360"/>
      </w:pPr>
      <w:rPr>
        <w:rFonts w:ascii="Symbol" w:hAnsi="Symbol" w:hint="default"/>
        <w:sz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242E3847"/>
    <w:multiLevelType w:val="hybridMultilevel"/>
    <w:tmpl w:val="76D09518"/>
    <w:lvl w:ilvl="0" w:tplc="CB503F9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FA5B27"/>
    <w:multiLevelType w:val="hybridMultilevel"/>
    <w:tmpl w:val="79984F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F3408EA"/>
    <w:multiLevelType w:val="hybridMultilevel"/>
    <w:tmpl w:val="9FA870C2"/>
    <w:lvl w:ilvl="0" w:tplc="5C382FCE">
      <w:start w:val="1"/>
      <w:numFmt w:val="decimal"/>
      <w:lvlText w:val="%1."/>
      <w:lvlJc w:val="left"/>
      <w:pPr>
        <w:tabs>
          <w:tab w:val="num" w:pos="927"/>
        </w:tabs>
        <w:ind w:left="927" w:hanging="360"/>
      </w:pPr>
      <w:rPr>
        <w:rFonts w:ascii="Times New Roman" w:hAnsi="Times New Roman" w:cs="Times New Roman" w:hint="default"/>
        <w:b/>
        <w:sz w:val="22"/>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nsid w:val="319439E6"/>
    <w:multiLevelType w:val="multilevel"/>
    <w:tmpl w:val="BD48F048"/>
    <w:lvl w:ilvl="0">
      <w:start w:val="1"/>
      <w:numFmt w:val="none"/>
      <w:pStyle w:val="NormalWeb"/>
      <w:suff w:val="nothing"/>
      <w:lvlText w:val="%1"/>
      <w:lvlJc w:val="left"/>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lowerLetter"/>
      <w:pStyle w:val="BodyTextIndent"/>
      <w:lvlText w:val="(%3)"/>
      <w:lvlJc w:val="left"/>
      <w:pPr>
        <w:tabs>
          <w:tab w:val="num" w:pos="1080"/>
        </w:tabs>
        <w:ind w:left="720" w:hanging="360"/>
      </w:pPr>
      <w:rPr>
        <w:rFonts w:cs="Times New Roman" w:hint="default"/>
      </w:rPr>
    </w:lvl>
    <w:lvl w:ilvl="3">
      <w:start w:val="1"/>
      <w:numFmt w:val="lowerRoman"/>
      <w:lvlText w:val="(%4)"/>
      <w:lvlJc w:val="left"/>
      <w:pPr>
        <w:tabs>
          <w:tab w:val="num" w:pos="1800"/>
        </w:tabs>
        <w:ind w:left="1080" w:hanging="360"/>
      </w:pPr>
      <w:rPr>
        <w:rFonts w:cs="Times New Roman" w:hint="default"/>
      </w:rPr>
    </w:lvl>
    <w:lvl w:ilvl="4">
      <w:start w:val="1"/>
      <w:numFmt w:val="lowerLetter"/>
      <w:pStyle w:val="ParagraphNumbering"/>
      <w:lvlText w:val="%5."/>
      <w:lvlJc w:val="left"/>
      <w:pPr>
        <w:tabs>
          <w:tab w:val="num" w:pos="1440"/>
        </w:tabs>
        <w:ind w:left="1440" w:hanging="360"/>
      </w:pPr>
      <w:rPr>
        <w:rFonts w:cs="Times New Roman" w:hint="default"/>
      </w:rPr>
    </w:lvl>
    <w:lvl w:ilvl="5">
      <w:start w:val="1"/>
      <w:numFmt w:val="lowerRoman"/>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319B43DF"/>
    <w:multiLevelType w:val="hybridMultilevel"/>
    <w:tmpl w:val="FA1A4C46"/>
    <w:lvl w:ilvl="0" w:tplc="75384B86">
      <w:start w:val="1"/>
      <w:numFmt w:val="bullet"/>
      <w:lvlText w:val=""/>
      <w:lvlJc w:val="left"/>
      <w:pPr>
        <w:tabs>
          <w:tab w:val="num" w:pos="360"/>
        </w:tabs>
        <w:ind w:left="360" w:hanging="360"/>
      </w:pPr>
      <w:rPr>
        <w:rFonts w:ascii="Symbol" w:hAnsi="Symbol" w:hint="default"/>
        <w:sz w:val="22"/>
      </w:rPr>
    </w:lvl>
    <w:lvl w:ilvl="1" w:tplc="BE5204EA" w:tentative="1">
      <w:start w:val="1"/>
      <w:numFmt w:val="bullet"/>
      <w:lvlText w:val="o"/>
      <w:lvlJc w:val="left"/>
      <w:pPr>
        <w:tabs>
          <w:tab w:val="num" w:pos="1440"/>
        </w:tabs>
        <w:ind w:left="1440" w:hanging="360"/>
      </w:pPr>
      <w:rPr>
        <w:rFonts w:ascii="Courier New" w:hAnsi="Courier New" w:hint="default"/>
      </w:rPr>
    </w:lvl>
    <w:lvl w:ilvl="2" w:tplc="BFDAA7E4" w:tentative="1">
      <w:start w:val="1"/>
      <w:numFmt w:val="bullet"/>
      <w:lvlText w:val=""/>
      <w:lvlJc w:val="left"/>
      <w:pPr>
        <w:tabs>
          <w:tab w:val="num" w:pos="2160"/>
        </w:tabs>
        <w:ind w:left="2160" w:hanging="360"/>
      </w:pPr>
      <w:rPr>
        <w:rFonts w:ascii="Wingdings" w:hAnsi="Wingdings" w:hint="default"/>
      </w:rPr>
    </w:lvl>
    <w:lvl w:ilvl="3" w:tplc="5DE2F9A6" w:tentative="1">
      <w:start w:val="1"/>
      <w:numFmt w:val="bullet"/>
      <w:lvlText w:val=""/>
      <w:lvlJc w:val="left"/>
      <w:pPr>
        <w:tabs>
          <w:tab w:val="num" w:pos="2880"/>
        </w:tabs>
        <w:ind w:left="2880" w:hanging="360"/>
      </w:pPr>
      <w:rPr>
        <w:rFonts w:ascii="Symbol" w:hAnsi="Symbol" w:hint="default"/>
      </w:rPr>
    </w:lvl>
    <w:lvl w:ilvl="4" w:tplc="DA94D7AC" w:tentative="1">
      <w:start w:val="1"/>
      <w:numFmt w:val="bullet"/>
      <w:lvlText w:val="o"/>
      <w:lvlJc w:val="left"/>
      <w:pPr>
        <w:tabs>
          <w:tab w:val="num" w:pos="3600"/>
        </w:tabs>
        <w:ind w:left="3600" w:hanging="360"/>
      </w:pPr>
      <w:rPr>
        <w:rFonts w:ascii="Courier New" w:hAnsi="Courier New" w:hint="default"/>
      </w:rPr>
    </w:lvl>
    <w:lvl w:ilvl="5" w:tplc="82B2749C" w:tentative="1">
      <w:start w:val="1"/>
      <w:numFmt w:val="bullet"/>
      <w:lvlText w:val=""/>
      <w:lvlJc w:val="left"/>
      <w:pPr>
        <w:tabs>
          <w:tab w:val="num" w:pos="4320"/>
        </w:tabs>
        <w:ind w:left="4320" w:hanging="360"/>
      </w:pPr>
      <w:rPr>
        <w:rFonts w:ascii="Wingdings" w:hAnsi="Wingdings" w:hint="default"/>
      </w:rPr>
    </w:lvl>
    <w:lvl w:ilvl="6" w:tplc="F3A22344" w:tentative="1">
      <w:start w:val="1"/>
      <w:numFmt w:val="bullet"/>
      <w:lvlText w:val=""/>
      <w:lvlJc w:val="left"/>
      <w:pPr>
        <w:tabs>
          <w:tab w:val="num" w:pos="5040"/>
        </w:tabs>
        <w:ind w:left="5040" w:hanging="360"/>
      </w:pPr>
      <w:rPr>
        <w:rFonts w:ascii="Symbol" w:hAnsi="Symbol" w:hint="default"/>
      </w:rPr>
    </w:lvl>
    <w:lvl w:ilvl="7" w:tplc="34CE2EDC" w:tentative="1">
      <w:start w:val="1"/>
      <w:numFmt w:val="bullet"/>
      <w:lvlText w:val="o"/>
      <w:lvlJc w:val="left"/>
      <w:pPr>
        <w:tabs>
          <w:tab w:val="num" w:pos="5760"/>
        </w:tabs>
        <w:ind w:left="5760" w:hanging="360"/>
      </w:pPr>
      <w:rPr>
        <w:rFonts w:ascii="Courier New" w:hAnsi="Courier New" w:hint="default"/>
      </w:rPr>
    </w:lvl>
    <w:lvl w:ilvl="8" w:tplc="FC8AC5E4" w:tentative="1">
      <w:start w:val="1"/>
      <w:numFmt w:val="bullet"/>
      <w:lvlText w:val=""/>
      <w:lvlJc w:val="left"/>
      <w:pPr>
        <w:tabs>
          <w:tab w:val="num" w:pos="6480"/>
        </w:tabs>
        <w:ind w:left="6480" w:hanging="360"/>
      </w:pPr>
      <w:rPr>
        <w:rFonts w:ascii="Wingdings" w:hAnsi="Wingdings" w:hint="default"/>
      </w:rPr>
    </w:lvl>
  </w:abstractNum>
  <w:abstractNum w:abstractNumId="21">
    <w:nsid w:val="34572BFA"/>
    <w:multiLevelType w:val="hybridMultilevel"/>
    <w:tmpl w:val="C1043FD4"/>
    <w:lvl w:ilvl="0" w:tplc="CB503F9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771DF4"/>
    <w:multiLevelType w:val="hybridMultilevel"/>
    <w:tmpl w:val="C100ABC0"/>
    <w:lvl w:ilvl="0" w:tplc="42CCF14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2834C4C"/>
    <w:multiLevelType w:val="hybridMultilevel"/>
    <w:tmpl w:val="703AD0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4E26565"/>
    <w:multiLevelType w:val="hybridMultilevel"/>
    <w:tmpl w:val="5C56B592"/>
    <w:lvl w:ilvl="0" w:tplc="04090001">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6A095E"/>
    <w:multiLevelType w:val="hybridMultilevel"/>
    <w:tmpl w:val="F7FAE674"/>
    <w:lvl w:ilvl="0" w:tplc="CB503F96">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6">
    <w:nsid w:val="4ABC4691"/>
    <w:multiLevelType w:val="hybridMultilevel"/>
    <w:tmpl w:val="12361450"/>
    <w:lvl w:ilvl="0" w:tplc="0409000F">
      <w:start w:val="1"/>
      <w:numFmt w:val="decimal"/>
      <w:lvlText w:val="%1."/>
      <w:lvlJc w:val="left"/>
      <w:pPr>
        <w:ind w:left="360" w:hanging="360"/>
      </w:pPr>
      <w:rPr>
        <w:rFonts w:cs="Times New Roman"/>
        <w:b w:val="0"/>
      </w:rPr>
    </w:lvl>
    <w:lvl w:ilvl="1" w:tplc="04090019">
      <w:start w:val="1"/>
      <w:numFmt w:val="lowerRoman"/>
      <w:lvlText w:val="%2."/>
      <w:lvlJc w:val="righ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BC2117E"/>
    <w:multiLevelType w:val="hybridMultilevel"/>
    <w:tmpl w:val="A7A4D4EE"/>
    <w:name w:val="CAMBRIA22"/>
    <w:lvl w:ilvl="0" w:tplc="80ACDA2C">
      <w:start w:val="1"/>
      <w:numFmt w:val="bullet"/>
      <w:lvlText w:val=""/>
      <w:lvlJc w:val="left"/>
      <w:pPr>
        <w:tabs>
          <w:tab w:val="num" w:pos="360"/>
        </w:tabs>
        <w:ind w:left="360" w:hanging="360"/>
      </w:pPr>
      <w:rPr>
        <w:rFonts w:ascii="Symbol" w:hAnsi="Symbol" w:hint="default"/>
        <w:sz w:val="22"/>
      </w:rPr>
    </w:lvl>
    <w:lvl w:ilvl="1" w:tplc="477E3DAC" w:tentative="1">
      <w:start w:val="1"/>
      <w:numFmt w:val="bullet"/>
      <w:lvlText w:val="o"/>
      <w:lvlJc w:val="left"/>
      <w:pPr>
        <w:tabs>
          <w:tab w:val="num" w:pos="1440"/>
        </w:tabs>
        <w:ind w:left="1440" w:hanging="360"/>
      </w:pPr>
      <w:rPr>
        <w:rFonts w:ascii="Courier New" w:hAnsi="Courier New" w:hint="default"/>
      </w:rPr>
    </w:lvl>
    <w:lvl w:ilvl="2" w:tplc="70421050" w:tentative="1">
      <w:start w:val="1"/>
      <w:numFmt w:val="bullet"/>
      <w:lvlText w:val=""/>
      <w:lvlJc w:val="left"/>
      <w:pPr>
        <w:tabs>
          <w:tab w:val="num" w:pos="2160"/>
        </w:tabs>
        <w:ind w:left="2160" w:hanging="360"/>
      </w:pPr>
      <w:rPr>
        <w:rFonts w:ascii="Wingdings" w:hAnsi="Wingdings" w:hint="default"/>
      </w:rPr>
    </w:lvl>
    <w:lvl w:ilvl="3" w:tplc="0A6C542C" w:tentative="1">
      <w:start w:val="1"/>
      <w:numFmt w:val="bullet"/>
      <w:lvlText w:val=""/>
      <w:lvlJc w:val="left"/>
      <w:pPr>
        <w:tabs>
          <w:tab w:val="num" w:pos="2880"/>
        </w:tabs>
        <w:ind w:left="2880" w:hanging="360"/>
      </w:pPr>
      <w:rPr>
        <w:rFonts w:ascii="Symbol" w:hAnsi="Symbol" w:hint="default"/>
      </w:rPr>
    </w:lvl>
    <w:lvl w:ilvl="4" w:tplc="B68EF6E0" w:tentative="1">
      <w:start w:val="1"/>
      <w:numFmt w:val="bullet"/>
      <w:lvlText w:val="o"/>
      <w:lvlJc w:val="left"/>
      <w:pPr>
        <w:tabs>
          <w:tab w:val="num" w:pos="3600"/>
        </w:tabs>
        <w:ind w:left="3600" w:hanging="360"/>
      </w:pPr>
      <w:rPr>
        <w:rFonts w:ascii="Courier New" w:hAnsi="Courier New" w:hint="default"/>
      </w:rPr>
    </w:lvl>
    <w:lvl w:ilvl="5" w:tplc="B636CEA6" w:tentative="1">
      <w:start w:val="1"/>
      <w:numFmt w:val="bullet"/>
      <w:lvlText w:val=""/>
      <w:lvlJc w:val="left"/>
      <w:pPr>
        <w:tabs>
          <w:tab w:val="num" w:pos="4320"/>
        </w:tabs>
        <w:ind w:left="4320" w:hanging="360"/>
      </w:pPr>
      <w:rPr>
        <w:rFonts w:ascii="Wingdings" w:hAnsi="Wingdings" w:hint="default"/>
      </w:rPr>
    </w:lvl>
    <w:lvl w:ilvl="6" w:tplc="370EA2C8" w:tentative="1">
      <w:start w:val="1"/>
      <w:numFmt w:val="bullet"/>
      <w:lvlText w:val=""/>
      <w:lvlJc w:val="left"/>
      <w:pPr>
        <w:tabs>
          <w:tab w:val="num" w:pos="5040"/>
        </w:tabs>
        <w:ind w:left="5040" w:hanging="360"/>
      </w:pPr>
      <w:rPr>
        <w:rFonts w:ascii="Symbol" w:hAnsi="Symbol" w:hint="default"/>
      </w:rPr>
    </w:lvl>
    <w:lvl w:ilvl="7" w:tplc="4AB43EF2" w:tentative="1">
      <w:start w:val="1"/>
      <w:numFmt w:val="bullet"/>
      <w:lvlText w:val="o"/>
      <w:lvlJc w:val="left"/>
      <w:pPr>
        <w:tabs>
          <w:tab w:val="num" w:pos="5760"/>
        </w:tabs>
        <w:ind w:left="5760" w:hanging="360"/>
      </w:pPr>
      <w:rPr>
        <w:rFonts w:ascii="Courier New" w:hAnsi="Courier New" w:hint="default"/>
      </w:rPr>
    </w:lvl>
    <w:lvl w:ilvl="8" w:tplc="1A044FEA" w:tentative="1">
      <w:start w:val="1"/>
      <w:numFmt w:val="bullet"/>
      <w:lvlText w:val=""/>
      <w:lvlJc w:val="left"/>
      <w:pPr>
        <w:tabs>
          <w:tab w:val="num" w:pos="6480"/>
        </w:tabs>
        <w:ind w:left="6480" w:hanging="360"/>
      </w:pPr>
      <w:rPr>
        <w:rFonts w:ascii="Wingdings" w:hAnsi="Wingdings" w:hint="default"/>
      </w:rPr>
    </w:lvl>
  </w:abstractNum>
  <w:abstractNum w:abstractNumId="28">
    <w:nsid w:val="4DA7505F"/>
    <w:multiLevelType w:val="hybridMultilevel"/>
    <w:tmpl w:val="4874ED54"/>
    <w:lvl w:ilvl="0" w:tplc="CB503F9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106A2D"/>
    <w:multiLevelType w:val="hybridMultilevel"/>
    <w:tmpl w:val="0042516C"/>
    <w:lvl w:ilvl="0" w:tplc="4418DA6E">
      <w:start w:val="1"/>
      <w:numFmt w:val="bullet"/>
      <w:lvlText w:val=""/>
      <w:lvlJc w:val="left"/>
      <w:pPr>
        <w:tabs>
          <w:tab w:val="num" w:pos="360"/>
        </w:tabs>
        <w:ind w:left="360" w:hanging="360"/>
      </w:pPr>
      <w:rPr>
        <w:rFonts w:ascii="Symbol" w:hAnsi="Symbol" w:hint="default"/>
        <w:sz w:val="22"/>
      </w:rPr>
    </w:lvl>
    <w:lvl w:ilvl="1" w:tplc="455EBC2C" w:tentative="1">
      <w:start w:val="1"/>
      <w:numFmt w:val="bullet"/>
      <w:lvlText w:val="o"/>
      <w:lvlJc w:val="left"/>
      <w:pPr>
        <w:tabs>
          <w:tab w:val="num" w:pos="1440"/>
        </w:tabs>
        <w:ind w:left="1440" w:hanging="360"/>
      </w:pPr>
      <w:rPr>
        <w:rFonts w:ascii="Courier New" w:hAnsi="Courier New" w:hint="default"/>
      </w:rPr>
    </w:lvl>
    <w:lvl w:ilvl="2" w:tplc="89CA8DBA" w:tentative="1">
      <w:start w:val="1"/>
      <w:numFmt w:val="bullet"/>
      <w:lvlText w:val=""/>
      <w:lvlJc w:val="left"/>
      <w:pPr>
        <w:tabs>
          <w:tab w:val="num" w:pos="2160"/>
        </w:tabs>
        <w:ind w:left="2160" w:hanging="360"/>
      </w:pPr>
      <w:rPr>
        <w:rFonts w:ascii="Wingdings" w:hAnsi="Wingdings" w:hint="default"/>
      </w:rPr>
    </w:lvl>
    <w:lvl w:ilvl="3" w:tplc="9904D984" w:tentative="1">
      <w:start w:val="1"/>
      <w:numFmt w:val="bullet"/>
      <w:lvlText w:val=""/>
      <w:lvlJc w:val="left"/>
      <w:pPr>
        <w:tabs>
          <w:tab w:val="num" w:pos="2880"/>
        </w:tabs>
        <w:ind w:left="2880" w:hanging="360"/>
      </w:pPr>
      <w:rPr>
        <w:rFonts w:ascii="Symbol" w:hAnsi="Symbol" w:hint="default"/>
      </w:rPr>
    </w:lvl>
    <w:lvl w:ilvl="4" w:tplc="48D689BA" w:tentative="1">
      <w:start w:val="1"/>
      <w:numFmt w:val="bullet"/>
      <w:lvlText w:val="o"/>
      <w:lvlJc w:val="left"/>
      <w:pPr>
        <w:tabs>
          <w:tab w:val="num" w:pos="3600"/>
        </w:tabs>
        <w:ind w:left="3600" w:hanging="360"/>
      </w:pPr>
      <w:rPr>
        <w:rFonts w:ascii="Courier New" w:hAnsi="Courier New" w:hint="default"/>
      </w:rPr>
    </w:lvl>
    <w:lvl w:ilvl="5" w:tplc="180E54A2" w:tentative="1">
      <w:start w:val="1"/>
      <w:numFmt w:val="bullet"/>
      <w:lvlText w:val=""/>
      <w:lvlJc w:val="left"/>
      <w:pPr>
        <w:tabs>
          <w:tab w:val="num" w:pos="4320"/>
        </w:tabs>
        <w:ind w:left="4320" w:hanging="360"/>
      </w:pPr>
      <w:rPr>
        <w:rFonts w:ascii="Wingdings" w:hAnsi="Wingdings" w:hint="default"/>
      </w:rPr>
    </w:lvl>
    <w:lvl w:ilvl="6" w:tplc="1BD660FC" w:tentative="1">
      <w:start w:val="1"/>
      <w:numFmt w:val="bullet"/>
      <w:lvlText w:val=""/>
      <w:lvlJc w:val="left"/>
      <w:pPr>
        <w:tabs>
          <w:tab w:val="num" w:pos="5040"/>
        </w:tabs>
        <w:ind w:left="5040" w:hanging="360"/>
      </w:pPr>
      <w:rPr>
        <w:rFonts w:ascii="Symbol" w:hAnsi="Symbol" w:hint="default"/>
      </w:rPr>
    </w:lvl>
    <w:lvl w:ilvl="7" w:tplc="336ABE22" w:tentative="1">
      <w:start w:val="1"/>
      <w:numFmt w:val="bullet"/>
      <w:lvlText w:val="o"/>
      <w:lvlJc w:val="left"/>
      <w:pPr>
        <w:tabs>
          <w:tab w:val="num" w:pos="5760"/>
        </w:tabs>
        <w:ind w:left="5760" w:hanging="360"/>
      </w:pPr>
      <w:rPr>
        <w:rFonts w:ascii="Courier New" w:hAnsi="Courier New" w:hint="default"/>
      </w:rPr>
    </w:lvl>
    <w:lvl w:ilvl="8" w:tplc="BD2A7A6A" w:tentative="1">
      <w:start w:val="1"/>
      <w:numFmt w:val="bullet"/>
      <w:lvlText w:val=""/>
      <w:lvlJc w:val="left"/>
      <w:pPr>
        <w:tabs>
          <w:tab w:val="num" w:pos="6480"/>
        </w:tabs>
        <w:ind w:left="6480" w:hanging="360"/>
      </w:pPr>
      <w:rPr>
        <w:rFonts w:ascii="Wingdings" w:hAnsi="Wingdings" w:hint="default"/>
      </w:rPr>
    </w:lvl>
  </w:abstractNum>
  <w:abstractNum w:abstractNumId="30">
    <w:nsid w:val="4FBE01CF"/>
    <w:multiLevelType w:val="hybridMultilevel"/>
    <w:tmpl w:val="347A883E"/>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31">
    <w:nsid w:val="502302F7"/>
    <w:multiLevelType w:val="hybridMultilevel"/>
    <w:tmpl w:val="E0FA785A"/>
    <w:lvl w:ilvl="0" w:tplc="CB503F96">
      <w:start w:val="1"/>
      <w:numFmt w:val="lowerLetter"/>
      <w:lvlText w:val="%1."/>
      <w:lvlJc w:val="left"/>
      <w:pPr>
        <w:tabs>
          <w:tab w:val="num" w:pos="720"/>
        </w:tabs>
        <w:ind w:left="720" w:hanging="360"/>
      </w:pPr>
      <w:rPr>
        <w:rFonts w:cs="Times New Roman" w:hint="default"/>
        <w:b/>
        <w:i w:val="0"/>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2">
    <w:nsid w:val="50C716FE"/>
    <w:multiLevelType w:val="multilevel"/>
    <w:tmpl w:val="A5A0631C"/>
    <w:lvl w:ilvl="0">
      <w:start w:val="1"/>
      <w:numFmt w:val="decimal"/>
      <w:lvlText w:val="%1."/>
      <w:lvlJc w:val="left"/>
      <w:pPr>
        <w:tabs>
          <w:tab w:val="num" w:pos="1530"/>
        </w:tabs>
        <w:ind w:left="153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CD34370"/>
    <w:multiLevelType w:val="hybridMultilevel"/>
    <w:tmpl w:val="13145F48"/>
    <w:lvl w:ilvl="0" w:tplc="DF4ABE28">
      <w:start w:val="1"/>
      <w:numFmt w:val="bullet"/>
      <w:lvlText w:val=""/>
      <w:lvlJc w:val="left"/>
      <w:pPr>
        <w:tabs>
          <w:tab w:val="num" w:pos="360"/>
        </w:tabs>
        <w:ind w:left="360" w:hanging="360"/>
      </w:pPr>
      <w:rPr>
        <w:rFonts w:ascii="Symbol" w:hAnsi="Symbol" w:hint="default"/>
        <w:sz w:val="22"/>
      </w:rPr>
    </w:lvl>
    <w:lvl w:ilvl="1" w:tplc="8C78705E" w:tentative="1">
      <w:start w:val="1"/>
      <w:numFmt w:val="bullet"/>
      <w:lvlText w:val="o"/>
      <w:lvlJc w:val="left"/>
      <w:pPr>
        <w:tabs>
          <w:tab w:val="num" w:pos="1440"/>
        </w:tabs>
        <w:ind w:left="1440" w:hanging="360"/>
      </w:pPr>
      <w:rPr>
        <w:rFonts w:ascii="Courier New" w:hAnsi="Courier New" w:hint="default"/>
      </w:rPr>
    </w:lvl>
    <w:lvl w:ilvl="2" w:tplc="29AE72F8" w:tentative="1">
      <w:start w:val="1"/>
      <w:numFmt w:val="bullet"/>
      <w:lvlText w:val=""/>
      <w:lvlJc w:val="left"/>
      <w:pPr>
        <w:tabs>
          <w:tab w:val="num" w:pos="2160"/>
        </w:tabs>
        <w:ind w:left="2160" w:hanging="360"/>
      </w:pPr>
      <w:rPr>
        <w:rFonts w:ascii="Wingdings" w:hAnsi="Wingdings" w:hint="default"/>
      </w:rPr>
    </w:lvl>
    <w:lvl w:ilvl="3" w:tplc="22D83734" w:tentative="1">
      <w:start w:val="1"/>
      <w:numFmt w:val="bullet"/>
      <w:lvlText w:val=""/>
      <w:lvlJc w:val="left"/>
      <w:pPr>
        <w:tabs>
          <w:tab w:val="num" w:pos="2880"/>
        </w:tabs>
        <w:ind w:left="2880" w:hanging="360"/>
      </w:pPr>
      <w:rPr>
        <w:rFonts w:ascii="Symbol" w:hAnsi="Symbol" w:hint="default"/>
      </w:rPr>
    </w:lvl>
    <w:lvl w:ilvl="4" w:tplc="2ACA1262" w:tentative="1">
      <w:start w:val="1"/>
      <w:numFmt w:val="bullet"/>
      <w:lvlText w:val="o"/>
      <w:lvlJc w:val="left"/>
      <w:pPr>
        <w:tabs>
          <w:tab w:val="num" w:pos="3600"/>
        </w:tabs>
        <w:ind w:left="3600" w:hanging="360"/>
      </w:pPr>
      <w:rPr>
        <w:rFonts w:ascii="Courier New" w:hAnsi="Courier New" w:hint="default"/>
      </w:rPr>
    </w:lvl>
    <w:lvl w:ilvl="5" w:tplc="8232227C" w:tentative="1">
      <w:start w:val="1"/>
      <w:numFmt w:val="bullet"/>
      <w:lvlText w:val=""/>
      <w:lvlJc w:val="left"/>
      <w:pPr>
        <w:tabs>
          <w:tab w:val="num" w:pos="4320"/>
        </w:tabs>
        <w:ind w:left="4320" w:hanging="360"/>
      </w:pPr>
      <w:rPr>
        <w:rFonts w:ascii="Wingdings" w:hAnsi="Wingdings" w:hint="default"/>
      </w:rPr>
    </w:lvl>
    <w:lvl w:ilvl="6" w:tplc="726ACB40" w:tentative="1">
      <w:start w:val="1"/>
      <w:numFmt w:val="bullet"/>
      <w:lvlText w:val=""/>
      <w:lvlJc w:val="left"/>
      <w:pPr>
        <w:tabs>
          <w:tab w:val="num" w:pos="5040"/>
        </w:tabs>
        <w:ind w:left="5040" w:hanging="360"/>
      </w:pPr>
      <w:rPr>
        <w:rFonts w:ascii="Symbol" w:hAnsi="Symbol" w:hint="default"/>
      </w:rPr>
    </w:lvl>
    <w:lvl w:ilvl="7" w:tplc="09C8B5DE" w:tentative="1">
      <w:start w:val="1"/>
      <w:numFmt w:val="bullet"/>
      <w:lvlText w:val="o"/>
      <w:lvlJc w:val="left"/>
      <w:pPr>
        <w:tabs>
          <w:tab w:val="num" w:pos="5760"/>
        </w:tabs>
        <w:ind w:left="5760" w:hanging="360"/>
      </w:pPr>
      <w:rPr>
        <w:rFonts w:ascii="Courier New" w:hAnsi="Courier New" w:hint="default"/>
      </w:rPr>
    </w:lvl>
    <w:lvl w:ilvl="8" w:tplc="76E2419E" w:tentative="1">
      <w:start w:val="1"/>
      <w:numFmt w:val="bullet"/>
      <w:lvlText w:val=""/>
      <w:lvlJc w:val="left"/>
      <w:pPr>
        <w:tabs>
          <w:tab w:val="num" w:pos="6480"/>
        </w:tabs>
        <w:ind w:left="6480" w:hanging="360"/>
      </w:pPr>
      <w:rPr>
        <w:rFonts w:ascii="Wingdings" w:hAnsi="Wingdings" w:hint="default"/>
      </w:rPr>
    </w:lvl>
  </w:abstractNum>
  <w:abstractNum w:abstractNumId="34">
    <w:nsid w:val="5FE22F12"/>
    <w:multiLevelType w:val="hybridMultilevel"/>
    <w:tmpl w:val="1E32C42E"/>
    <w:lvl w:ilvl="0" w:tplc="CB503F96">
      <w:start w:val="1"/>
      <w:numFmt w:val="lowerLetter"/>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5">
    <w:nsid w:val="64DC269F"/>
    <w:multiLevelType w:val="hybridMultilevel"/>
    <w:tmpl w:val="FB48A810"/>
    <w:lvl w:ilvl="0" w:tplc="006A1B60">
      <w:start w:val="1"/>
      <w:numFmt w:val="lowerRoman"/>
      <w:lvlText w:val="(%1)"/>
      <w:lvlJc w:val="left"/>
      <w:pPr>
        <w:tabs>
          <w:tab w:val="num" w:pos="720"/>
        </w:tabs>
        <w:ind w:left="720" w:hanging="360"/>
      </w:pPr>
      <w:rPr>
        <w:rFonts w:hint="default"/>
        <w:b/>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nsid w:val="656E7A15"/>
    <w:multiLevelType w:val="hybridMultilevel"/>
    <w:tmpl w:val="B0482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130E24"/>
    <w:multiLevelType w:val="hybridMultilevel"/>
    <w:tmpl w:val="7CE83842"/>
    <w:lvl w:ilvl="0" w:tplc="04090001">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A62A96"/>
    <w:multiLevelType w:val="hybridMultilevel"/>
    <w:tmpl w:val="CCA8EA5C"/>
    <w:lvl w:ilvl="0" w:tplc="CB503F9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981850"/>
    <w:multiLevelType w:val="hybridMultilevel"/>
    <w:tmpl w:val="EA9E3B82"/>
    <w:lvl w:ilvl="0" w:tplc="CB503F96">
      <w:start w:val="1"/>
      <w:numFmt w:val="decimal"/>
      <w:lvlText w:val="%1."/>
      <w:lvlJc w:val="left"/>
      <w:pPr>
        <w:ind w:left="1080" w:hanging="360"/>
      </w:pPr>
      <w:rPr>
        <w:rFonts w:cs="Times New Roman"/>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40">
    <w:nsid w:val="6FED2F9D"/>
    <w:multiLevelType w:val="hybridMultilevel"/>
    <w:tmpl w:val="39C0D01C"/>
    <w:lvl w:ilvl="0" w:tplc="0409000F">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FF019EB"/>
    <w:multiLevelType w:val="hybridMultilevel"/>
    <w:tmpl w:val="265C1A00"/>
    <w:lvl w:ilvl="0" w:tplc="CB503F96">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2">
    <w:nsid w:val="704262B3"/>
    <w:multiLevelType w:val="hybridMultilevel"/>
    <w:tmpl w:val="7FF8C6D6"/>
    <w:lvl w:ilvl="0" w:tplc="591865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8F05D5E"/>
    <w:multiLevelType w:val="multilevel"/>
    <w:tmpl w:val="A5A0631C"/>
    <w:lvl w:ilvl="0">
      <w:start w:val="1"/>
      <w:numFmt w:val="decimal"/>
      <w:lvlText w:val="%1."/>
      <w:lvlJc w:val="left"/>
      <w:pPr>
        <w:tabs>
          <w:tab w:val="num" w:pos="1530"/>
        </w:tabs>
        <w:ind w:left="153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7DC07939"/>
    <w:multiLevelType w:val="hybridMultilevel"/>
    <w:tmpl w:val="97A2A0AE"/>
    <w:lvl w:ilvl="0" w:tplc="69E62C88">
      <w:start w:val="1"/>
      <w:numFmt w:val="bullet"/>
      <w:lvlText w:val=""/>
      <w:lvlJc w:val="left"/>
      <w:pPr>
        <w:ind w:left="720" w:hanging="360"/>
      </w:pPr>
      <w:rPr>
        <w:rFonts w:ascii="Symbol" w:hAnsi="Symbol" w:hint="default"/>
      </w:rPr>
    </w:lvl>
    <w:lvl w:ilvl="1" w:tplc="B5E82D9A" w:tentative="1">
      <w:start w:val="1"/>
      <w:numFmt w:val="bullet"/>
      <w:lvlText w:val="o"/>
      <w:lvlJc w:val="left"/>
      <w:pPr>
        <w:ind w:left="1440" w:hanging="360"/>
      </w:pPr>
      <w:rPr>
        <w:rFonts w:ascii="Courier New" w:hAnsi="Courier New" w:hint="default"/>
      </w:rPr>
    </w:lvl>
    <w:lvl w:ilvl="2" w:tplc="D1EABAE4" w:tentative="1">
      <w:start w:val="1"/>
      <w:numFmt w:val="bullet"/>
      <w:lvlText w:val=""/>
      <w:lvlJc w:val="left"/>
      <w:pPr>
        <w:ind w:left="2160" w:hanging="360"/>
      </w:pPr>
      <w:rPr>
        <w:rFonts w:ascii="Wingdings" w:hAnsi="Wingdings" w:hint="default"/>
      </w:rPr>
    </w:lvl>
    <w:lvl w:ilvl="3" w:tplc="4FC0E0FC" w:tentative="1">
      <w:start w:val="1"/>
      <w:numFmt w:val="bullet"/>
      <w:lvlText w:val=""/>
      <w:lvlJc w:val="left"/>
      <w:pPr>
        <w:ind w:left="2880" w:hanging="360"/>
      </w:pPr>
      <w:rPr>
        <w:rFonts w:ascii="Symbol" w:hAnsi="Symbol" w:hint="default"/>
      </w:rPr>
    </w:lvl>
    <w:lvl w:ilvl="4" w:tplc="D14CD04C" w:tentative="1">
      <w:start w:val="1"/>
      <w:numFmt w:val="bullet"/>
      <w:lvlText w:val="o"/>
      <w:lvlJc w:val="left"/>
      <w:pPr>
        <w:ind w:left="3600" w:hanging="360"/>
      </w:pPr>
      <w:rPr>
        <w:rFonts w:ascii="Courier New" w:hAnsi="Courier New" w:hint="default"/>
      </w:rPr>
    </w:lvl>
    <w:lvl w:ilvl="5" w:tplc="AD3673CC" w:tentative="1">
      <w:start w:val="1"/>
      <w:numFmt w:val="bullet"/>
      <w:lvlText w:val=""/>
      <w:lvlJc w:val="left"/>
      <w:pPr>
        <w:ind w:left="4320" w:hanging="360"/>
      </w:pPr>
      <w:rPr>
        <w:rFonts w:ascii="Wingdings" w:hAnsi="Wingdings" w:hint="default"/>
      </w:rPr>
    </w:lvl>
    <w:lvl w:ilvl="6" w:tplc="DFD0CE84" w:tentative="1">
      <w:start w:val="1"/>
      <w:numFmt w:val="bullet"/>
      <w:lvlText w:val=""/>
      <w:lvlJc w:val="left"/>
      <w:pPr>
        <w:ind w:left="5040" w:hanging="360"/>
      </w:pPr>
      <w:rPr>
        <w:rFonts w:ascii="Symbol" w:hAnsi="Symbol" w:hint="default"/>
      </w:rPr>
    </w:lvl>
    <w:lvl w:ilvl="7" w:tplc="21C4AD7E" w:tentative="1">
      <w:start w:val="1"/>
      <w:numFmt w:val="bullet"/>
      <w:lvlText w:val="o"/>
      <w:lvlJc w:val="left"/>
      <w:pPr>
        <w:ind w:left="5760" w:hanging="360"/>
      </w:pPr>
      <w:rPr>
        <w:rFonts w:ascii="Courier New" w:hAnsi="Courier New" w:hint="default"/>
      </w:rPr>
    </w:lvl>
    <w:lvl w:ilvl="8" w:tplc="3F9220CA" w:tentative="1">
      <w:start w:val="1"/>
      <w:numFmt w:val="bullet"/>
      <w:lvlText w:val=""/>
      <w:lvlJc w:val="left"/>
      <w:pPr>
        <w:ind w:left="6480" w:hanging="360"/>
      </w:pPr>
      <w:rPr>
        <w:rFonts w:ascii="Wingdings" w:hAnsi="Wingdings" w:hint="default"/>
      </w:rPr>
    </w:lvl>
  </w:abstractNum>
  <w:num w:numId="1">
    <w:abstractNumId w:val="19"/>
  </w:num>
  <w:num w:numId="2">
    <w:abstractNumId w:val="42"/>
  </w:num>
  <w:num w:numId="3">
    <w:abstractNumId w:val="5"/>
  </w:num>
  <w:num w:numId="4">
    <w:abstractNumId w:val="14"/>
  </w:num>
  <w:num w:numId="5">
    <w:abstractNumId w:val="18"/>
  </w:num>
  <w:num w:numId="6">
    <w:abstractNumId w:val="40"/>
  </w:num>
  <w:num w:numId="7">
    <w:abstractNumId w:val="6"/>
  </w:num>
  <w:num w:numId="8">
    <w:abstractNumId w:val="28"/>
  </w:num>
  <w:num w:numId="9">
    <w:abstractNumId w:val="29"/>
  </w:num>
  <w:num w:numId="10">
    <w:abstractNumId w:val="15"/>
  </w:num>
  <w:num w:numId="11">
    <w:abstractNumId w:val="16"/>
  </w:num>
  <w:num w:numId="12">
    <w:abstractNumId w:val="7"/>
  </w:num>
  <w:num w:numId="13">
    <w:abstractNumId w:val="37"/>
  </w:num>
  <w:num w:numId="14">
    <w:abstractNumId w:val="24"/>
  </w:num>
  <w:num w:numId="15">
    <w:abstractNumId w:val="20"/>
  </w:num>
  <w:num w:numId="16">
    <w:abstractNumId w:val="33"/>
  </w:num>
  <w:num w:numId="17">
    <w:abstractNumId w:val="10"/>
  </w:num>
  <w:num w:numId="18">
    <w:abstractNumId w:val="27"/>
  </w:num>
  <w:num w:numId="19">
    <w:abstractNumId w:val="38"/>
  </w:num>
  <w:num w:numId="20">
    <w:abstractNumId w:val="41"/>
  </w:num>
  <w:num w:numId="21">
    <w:abstractNumId w:val="9"/>
  </w:num>
  <w:num w:numId="22">
    <w:abstractNumId w:val="26"/>
  </w:num>
  <w:num w:numId="23">
    <w:abstractNumId w:val="34"/>
  </w:num>
  <w:num w:numId="24">
    <w:abstractNumId w:val="25"/>
  </w:num>
  <w:num w:numId="25">
    <w:abstractNumId w:val="39"/>
  </w:num>
  <w:num w:numId="26">
    <w:abstractNumId w:val="21"/>
  </w:num>
  <w:num w:numId="27">
    <w:abstractNumId w:val="44"/>
  </w:num>
  <w:num w:numId="28">
    <w:abstractNumId w:val="22"/>
  </w:num>
  <w:num w:numId="29">
    <w:abstractNumId w:val="11"/>
  </w:num>
  <w:num w:numId="30">
    <w:abstractNumId w:val="36"/>
  </w:num>
  <w:num w:numId="31">
    <w:abstractNumId w:val="43"/>
  </w:num>
  <w:num w:numId="32">
    <w:abstractNumId w:val="8"/>
  </w:num>
  <w:num w:numId="33">
    <w:abstractNumId w:val="32"/>
  </w:num>
  <w:num w:numId="34">
    <w:abstractNumId w:val="31"/>
  </w:num>
  <w:num w:numId="35">
    <w:abstractNumId w:val="0"/>
  </w:num>
  <w:num w:numId="36">
    <w:abstractNumId w:val="1"/>
  </w:num>
  <w:num w:numId="37">
    <w:abstractNumId w:val="2"/>
  </w:num>
  <w:num w:numId="38">
    <w:abstractNumId w:val="3"/>
  </w:num>
  <w:num w:numId="39">
    <w:abstractNumId w:val="4"/>
  </w:num>
  <w:num w:numId="40">
    <w:abstractNumId w:val="13"/>
  </w:num>
  <w:num w:numId="41">
    <w:abstractNumId w:val="12"/>
  </w:num>
  <w:num w:numId="42">
    <w:abstractNumId w:val="35"/>
  </w:num>
  <w:num w:numId="43">
    <w:abstractNumId w:val="23"/>
  </w:num>
  <w:num w:numId="44">
    <w:abstractNumId w:val="30"/>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74"/>
    <w:rsid w:val="0000016E"/>
    <w:rsid w:val="00000713"/>
    <w:rsid w:val="00001BBE"/>
    <w:rsid w:val="00001FAF"/>
    <w:rsid w:val="0000255C"/>
    <w:rsid w:val="000033A0"/>
    <w:rsid w:val="0000341E"/>
    <w:rsid w:val="00003463"/>
    <w:rsid w:val="00005318"/>
    <w:rsid w:val="0000557D"/>
    <w:rsid w:val="00006D9E"/>
    <w:rsid w:val="00007203"/>
    <w:rsid w:val="000072EA"/>
    <w:rsid w:val="000076C3"/>
    <w:rsid w:val="00007738"/>
    <w:rsid w:val="0001010D"/>
    <w:rsid w:val="00010BEF"/>
    <w:rsid w:val="00011C68"/>
    <w:rsid w:val="00011D73"/>
    <w:rsid w:val="00011FCB"/>
    <w:rsid w:val="00012734"/>
    <w:rsid w:val="00014107"/>
    <w:rsid w:val="0001452E"/>
    <w:rsid w:val="00014C33"/>
    <w:rsid w:val="0001579C"/>
    <w:rsid w:val="00015A97"/>
    <w:rsid w:val="0001735D"/>
    <w:rsid w:val="00020488"/>
    <w:rsid w:val="00020718"/>
    <w:rsid w:val="00020CF9"/>
    <w:rsid w:val="0002100D"/>
    <w:rsid w:val="00022FE5"/>
    <w:rsid w:val="00023456"/>
    <w:rsid w:val="000247C7"/>
    <w:rsid w:val="00024929"/>
    <w:rsid w:val="00024BD0"/>
    <w:rsid w:val="0002501D"/>
    <w:rsid w:val="00025AA6"/>
    <w:rsid w:val="000262D6"/>
    <w:rsid w:val="0002772C"/>
    <w:rsid w:val="00027EB3"/>
    <w:rsid w:val="000311C1"/>
    <w:rsid w:val="00031789"/>
    <w:rsid w:val="00033102"/>
    <w:rsid w:val="00034390"/>
    <w:rsid w:val="00035707"/>
    <w:rsid w:val="00035726"/>
    <w:rsid w:val="00036776"/>
    <w:rsid w:val="00036E71"/>
    <w:rsid w:val="000377E8"/>
    <w:rsid w:val="00040329"/>
    <w:rsid w:val="00040B4C"/>
    <w:rsid w:val="00040BC2"/>
    <w:rsid w:val="00041232"/>
    <w:rsid w:val="00042137"/>
    <w:rsid w:val="00042A5F"/>
    <w:rsid w:val="00042C3B"/>
    <w:rsid w:val="000430E1"/>
    <w:rsid w:val="00043B16"/>
    <w:rsid w:val="00044AB3"/>
    <w:rsid w:val="00045AF8"/>
    <w:rsid w:val="0004640E"/>
    <w:rsid w:val="0004721E"/>
    <w:rsid w:val="00047441"/>
    <w:rsid w:val="000474D9"/>
    <w:rsid w:val="00050259"/>
    <w:rsid w:val="0005200F"/>
    <w:rsid w:val="000523FC"/>
    <w:rsid w:val="00053E25"/>
    <w:rsid w:val="00054C95"/>
    <w:rsid w:val="00055A5A"/>
    <w:rsid w:val="0005604A"/>
    <w:rsid w:val="00056D00"/>
    <w:rsid w:val="00057AAD"/>
    <w:rsid w:val="00060902"/>
    <w:rsid w:val="00061881"/>
    <w:rsid w:val="000636D8"/>
    <w:rsid w:val="00063846"/>
    <w:rsid w:val="00063DDE"/>
    <w:rsid w:val="00063FA1"/>
    <w:rsid w:val="00064D93"/>
    <w:rsid w:val="00065981"/>
    <w:rsid w:val="00065D52"/>
    <w:rsid w:val="0006625D"/>
    <w:rsid w:val="00066402"/>
    <w:rsid w:val="000704EB"/>
    <w:rsid w:val="00070EE8"/>
    <w:rsid w:val="00071052"/>
    <w:rsid w:val="00071062"/>
    <w:rsid w:val="00071ADF"/>
    <w:rsid w:val="00071DD2"/>
    <w:rsid w:val="00071E5D"/>
    <w:rsid w:val="00072494"/>
    <w:rsid w:val="0007279A"/>
    <w:rsid w:val="00072F01"/>
    <w:rsid w:val="00073932"/>
    <w:rsid w:val="00074501"/>
    <w:rsid w:val="000746E1"/>
    <w:rsid w:val="00074F4C"/>
    <w:rsid w:val="00075068"/>
    <w:rsid w:val="0007517B"/>
    <w:rsid w:val="00077107"/>
    <w:rsid w:val="000774A8"/>
    <w:rsid w:val="00080892"/>
    <w:rsid w:val="00080919"/>
    <w:rsid w:val="0008105D"/>
    <w:rsid w:val="00081A10"/>
    <w:rsid w:val="0008262E"/>
    <w:rsid w:val="00082778"/>
    <w:rsid w:val="000827A8"/>
    <w:rsid w:val="00083DB0"/>
    <w:rsid w:val="000842C4"/>
    <w:rsid w:val="0008446E"/>
    <w:rsid w:val="000848AA"/>
    <w:rsid w:val="00085A7E"/>
    <w:rsid w:val="00085CC2"/>
    <w:rsid w:val="00086278"/>
    <w:rsid w:val="000865A1"/>
    <w:rsid w:val="00087189"/>
    <w:rsid w:val="0009015C"/>
    <w:rsid w:val="00091163"/>
    <w:rsid w:val="00092ABE"/>
    <w:rsid w:val="00092D79"/>
    <w:rsid w:val="00093108"/>
    <w:rsid w:val="00093EBF"/>
    <w:rsid w:val="0009413D"/>
    <w:rsid w:val="00094AAB"/>
    <w:rsid w:val="00094FD0"/>
    <w:rsid w:val="00095D6A"/>
    <w:rsid w:val="00095DB4"/>
    <w:rsid w:val="00095F2B"/>
    <w:rsid w:val="000974C9"/>
    <w:rsid w:val="0009757C"/>
    <w:rsid w:val="00097A26"/>
    <w:rsid w:val="00097ECC"/>
    <w:rsid w:val="000A252B"/>
    <w:rsid w:val="000A2E95"/>
    <w:rsid w:val="000A30F2"/>
    <w:rsid w:val="000A3442"/>
    <w:rsid w:val="000A441F"/>
    <w:rsid w:val="000A47AF"/>
    <w:rsid w:val="000A527A"/>
    <w:rsid w:val="000A5800"/>
    <w:rsid w:val="000A5855"/>
    <w:rsid w:val="000A5B69"/>
    <w:rsid w:val="000A5BD4"/>
    <w:rsid w:val="000A626F"/>
    <w:rsid w:val="000A692E"/>
    <w:rsid w:val="000A7609"/>
    <w:rsid w:val="000B02C1"/>
    <w:rsid w:val="000B2C40"/>
    <w:rsid w:val="000B2C81"/>
    <w:rsid w:val="000B3A54"/>
    <w:rsid w:val="000B4488"/>
    <w:rsid w:val="000B4A74"/>
    <w:rsid w:val="000B4C4E"/>
    <w:rsid w:val="000B4CE1"/>
    <w:rsid w:val="000B5C6C"/>
    <w:rsid w:val="000B689D"/>
    <w:rsid w:val="000B77FE"/>
    <w:rsid w:val="000B78F6"/>
    <w:rsid w:val="000B7A82"/>
    <w:rsid w:val="000C0084"/>
    <w:rsid w:val="000C1159"/>
    <w:rsid w:val="000C2698"/>
    <w:rsid w:val="000C2878"/>
    <w:rsid w:val="000C39DC"/>
    <w:rsid w:val="000C48C4"/>
    <w:rsid w:val="000C4DE8"/>
    <w:rsid w:val="000C57A6"/>
    <w:rsid w:val="000C5C66"/>
    <w:rsid w:val="000C625F"/>
    <w:rsid w:val="000C6819"/>
    <w:rsid w:val="000C6C3D"/>
    <w:rsid w:val="000C6FB3"/>
    <w:rsid w:val="000C7F6B"/>
    <w:rsid w:val="000D0C8E"/>
    <w:rsid w:val="000D0D38"/>
    <w:rsid w:val="000D2204"/>
    <w:rsid w:val="000D259F"/>
    <w:rsid w:val="000D360A"/>
    <w:rsid w:val="000D4B68"/>
    <w:rsid w:val="000D56DF"/>
    <w:rsid w:val="000D5FD3"/>
    <w:rsid w:val="000D642B"/>
    <w:rsid w:val="000D6D8F"/>
    <w:rsid w:val="000D6F23"/>
    <w:rsid w:val="000D7162"/>
    <w:rsid w:val="000D7E7D"/>
    <w:rsid w:val="000E05A2"/>
    <w:rsid w:val="000E26EC"/>
    <w:rsid w:val="000E46F3"/>
    <w:rsid w:val="000E544E"/>
    <w:rsid w:val="000E5B7F"/>
    <w:rsid w:val="000E5EB3"/>
    <w:rsid w:val="000E689E"/>
    <w:rsid w:val="000E68E4"/>
    <w:rsid w:val="000E69C2"/>
    <w:rsid w:val="000F005A"/>
    <w:rsid w:val="000F042B"/>
    <w:rsid w:val="000F090F"/>
    <w:rsid w:val="000F12BE"/>
    <w:rsid w:val="000F1FBD"/>
    <w:rsid w:val="000F22C5"/>
    <w:rsid w:val="000F24D6"/>
    <w:rsid w:val="000F2FDD"/>
    <w:rsid w:val="000F3973"/>
    <w:rsid w:val="000F3B03"/>
    <w:rsid w:val="000F5037"/>
    <w:rsid w:val="000F5865"/>
    <w:rsid w:val="000F5902"/>
    <w:rsid w:val="000F596C"/>
    <w:rsid w:val="000F664D"/>
    <w:rsid w:val="000F72CF"/>
    <w:rsid w:val="000F74CB"/>
    <w:rsid w:val="000F7D54"/>
    <w:rsid w:val="001007A7"/>
    <w:rsid w:val="00101487"/>
    <w:rsid w:val="00101B1F"/>
    <w:rsid w:val="00102C61"/>
    <w:rsid w:val="00102F66"/>
    <w:rsid w:val="00103EDD"/>
    <w:rsid w:val="00105A14"/>
    <w:rsid w:val="00106306"/>
    <w:rsid w:val="00106C68"/>
    <w:rsid w:val="001072D8"/>
    <w:rsid w:val="0011039F"/>
    <w:rsid w:val="00110AEF"/>
    <w:rsid w:val="00111370"/>
    <w:rsid w:val="001119C8"/>
    <w:rsid w:val="00111A50"/>
    <w:rsid w:val="00111FE6"/>
    <w:rsid w:val="00112930"/>
    <w:rsid w:val="00112F22"/>
    <w:rsid w:val="00113B9D"/>
    <w:rsid w:val="00114105"/>
    <w:rsid w:val="0011451A"/>
    <w:rsid w:val="00116A74"/>
    <w:rsid w:val="001176B2"/>
    <w:rsid w:val="00117C32"/>
    <w:rsid w:val="00117E57"/>
    <w:rsid w:val="00120DB1"/>
    <w:rsid w:val="00122EDE"/>
    <w:rsid w:val="0012347D"/>
    <w:rsid w:val="0012463F"/>
    <w:rsid w:val="00124F9E"/>
    <w:rsid w:val="00126172"/>
    <w:rsid w:val="00126CC1"/>
    <w:rsid w:val="00126E64"/>
    <w:rsid w:val="00127F6A"/>
    <w:rsid w:val="00131C20"/>
    <w:rsid w:val="00131D94"/>
    <w:rsid w:val="001322C4"/>
    <w:rsid w:val="001323D9"/>
    <w:rsid w:val="00132C55"/>
    <w:rsid w:val="00132C88"/>
    <w:rsid w:val="0013303D"/>
    <w:rsid w:val="0013369D"/>
    <w:rsid w:val="00133BAA"/>
    <w:rsid w:val="001341D6"/>
    <w:rsid w:val="00134941"/>
    <w:rsid w:val="00135403"/>
    <w:rsid w:val="0013591A"/>
    <w:rsid w:val="00135D44"/>
    <w:rsid w:val="00136793"/>
    <w:rsid w:val="00136961"/>
    <w:rsid w:val="001370ED"/>
    <w:rsid w:val="00140A96"/>
    <w:rsid w:val="00141068"/>
    <w:rsid w:val="0014151B"/>
    <w:rsid w:val="001425E2"/>
    <w:rsid w:val="00142CCB"/>
    <w:rsid w:val="00143311"/>
    <w:rsid w:val="00145B38"/>
    <w:rsid w:val="001470EC"/>
    <w:rsid w:val="001476F0"/>
    <w:rsid w:val="00147738"/>
    <w:rsid w:val="001477C8"/>
    <w:rsid w:val="001479D8"/>
    <w:rsid w:val="001506D1"/>
    <w:rsid w:val="00150953"/>
    <w:rsid w:val="001512F6"/>
    <w:rsid w:val="0015359B"/>
    <w:rsid w:val="001535C3"/>
    <w:rsid w:val="0015433B"/>
    <w:rsid w:val="00154AD4"/>
    <w:rsid w:val="00154B4E"/>
    <w:rsid w:val="00154BC8"/>
    <w:rsid w:val="00155C1E"/>
    <w:rsid w:val="001564D6"/>
    <w:rsid w:val="00156A27"/>
    <w:rsid w:val="00156F40"/>
    <w:rsid w:val="001572D3"/>
    <w:rsid w:val="00157C53"/>
    <w:rsid w:val="00157D77"/>
    <w:rsid w:val="00160F4B"/>
    <w:rsid w:val="00161247"/>
    <w:rsid w:val="00161AF4"/>
    <w:rsid w:val="00162033"/>
    <w:rsid w:val="00162CA8"/>
    <w:rsid w:val="00164EB7"/>
    <w:rsid w:val="001650B8"/>
    <w:rsid w:val="001658D7"/>
    <w:rsid w:val="00165C32"/>
    <w:rsid w:val="00165D0F"/>
    <w:rsid w:val="00167929"/>
    <w:rsid w:val="0017010A"/>
    <w:rsid w:val="0017049D"/>
    <w:rsid w:val="0017053D"/>
    <w:rsid w:val="00171079"/>
    <w:rsid w:val="001724E9"/>
    <w:rsid w:val="001728C3"/>
    <w:rsid w:val="00172C74"/>
    <w:rsid w:val="001731DC"/>
    <w:rsid w:val="0017402B"/>
    <w:rsid w:val="00174681"/>
    <w:rsid w:val="001748D6"/>
    <w:rsid w:val="00174C18"/>
    <w:rsid w:val="00175C97"/>
    <w:rsid w:val="00176EC9"/>
    <w:rsid w:val="00180BC5"/>
    <w:rsid w:val="00181663"/>
    <w:rsid w:val="0018230F"/>
    <w:rsid w:val="00182F5E"/>
    <w:rsid w:val="001840E8"/>
    <w:rsid w:val="001847DD"/>
    <w:rsid w:val="00184B66"/>
    <w:rsid w:val="001854F0"/>
    <w:rsid w:val="00185A34"/>
    <w:rsid w:val="00185DBA"/>
    <w:rsid w:val="00187145"/>
    <w:rsid w:val="00187B8A"/>
    <w:rsid w:val="0019012A"/>
    <w:rsid w:val="001908AA"/>
    <w:rsid w:val="00190BF6"/>
    <w:rsid w:val="001911ED"/>
    <w:rsid w:val="00191D0A"/>
    <w:rsid w:val="001930F0"/>
    <w:rsid w:val="0019324A"/>
    <w:rsid w:val="0019332C"/>
    <w:rsid w:val="0019563D"/>
    <w:rsid w:val="00195F56"/>
    <w:rsid w:val="00196EDF"/>
    <w:rsid w:val="001971B6"/>
    <w:rsid w:val="001A0A54"/>
    <w:rsid w:val="001A0A82"/>
    <w:rsid w:val="001A0F8E"/>
    <w:rsid w:val="001A16F5"/>
    <w:rsid w:val="001A1C14"/>
    <w:rsid w:val="001A255B"/>
    <w:rsid w:val="001A2F39"/>
    <w:rsid w:val="001A2FDE"/>
    <w:rsid w:val="001A3717"/>
    <w:rsid w:val="001A42F6"/>
    <w:rsid w:val="001A4911"/>
    <w:rsid w:val="001A59FC"/>
    <w:rsid w:val="001A7134"/>
    <w:rsid w:val="001A73BA"/>
    <w:rsid w:val="001B0B60"/>
    <w:rsid w:val="001B1F8D"/>
    <w:rsid w:val="001B2474"/>
    <w:rsid w:val="001B3E0C"/>
    <w:rsid w:val="001B442B"/>
    <w:rsid w:val="001B4E39"/>
    <w:rsid w:val="001B529E"/>
    <w:rsid w:val="001B708E"/>
    <w:rsid w:val="001B749E"/>
    <w:rsid w:val="001B79CD"/>
    <w:rsid w:val="001B7A49"/>
    <w:rsid w:val="001C0BBC"/>
    <w:rsid w:val="001C1084"/>
    <w:rsid w:val="001C398F"/>
    <w:rsid w:val="001C57D8"/>
    <w:rsid w:val="001C5CED"/>
    <w:rsid w:val="001C6F03"/>
    <w:rsid w:val="001C71D6"/>
    <w:rsid w:val="001C764D"/>
    <w:rsid w:val="001C7C8D"/>
    <w:rsid w:val="001C7D90"/>
    <w:rsid w:val="001D0528"/>
    <w:rsid w:val="001D0EB2"/>
    <w:rsid w:val="001D19B1"/>
    <w:rsid w:val="001D2D5C"/>
    <w:rsid w:val="001D3765"/>
    <w:rsid w:val="001D435B"/>
    <w:rsid w:val="001D4CA5"/>
    <w:rsid w:val="001D5553"/>
    <w:rsid w:val="001D5C38"/>
    <w:rsid w:val="001D64D3"/>
    <w:rsid w:val="001D75B3"/>
    <w:rsid w:val="001E00EA"/>
    <w:rsid w:val="001E0BC7"/>
    <w:rsid w:val="001E162C"/>
    <w:rsid w:val="001E2496"/>
    <w:rsid w:val="001E24C0"/>
    <w:rsid w:val="001E2FB3"/>
    <w:rsid w:val="001E34ED"/>
    <w:rsid w:val="001E3C9E"/>
    <w:rsid w:val="001E4252"/>
    <w:rsid w:val="001E4404"/>
    <w:rsid w:val="001E4664"/>
    <w:rsid w:val="001E4667"/>
    <w:rsid w:val="001E4E89"/>
    <w:rsid w:val="001E64BA"/>
    <w:rsid w:val="001E6EB0"/>
    <w:rsid w:val="001F03F2"/>
    <w:rsid w:val="001F0C44"/>
    <w:rsid w:val="001F1FD4"/>
    <w:rsid w:val="001F220C"/>
    <w:rsid w:val="001F2841"/>
    <w:rsid w:val="001F2A88"/>
    <w:rsid w:val="001F38E5"/>
    <w:rsid w:val="001F3CD8"/>
    <w:rsid w:val="001F41B7"/>
    <w:rsid w:val="001F4608"/>
    <w:rsid w:val="001F4E0D"/>
    <w:rsid w:val="001F4F6B"/>
    <w:rsid w:val="001F5AC5"/>
    <w:rsid w:val="001F618A"/>
    <w:rsid w:val="001F7142"/>
    <w:rsid w:val="001F761E"/>
    <w:rsid w:val="001F778E"/>
    <w:rsid w:val="001F7D90"/>
    <w:rsid w:val="0020057D"/>
    <w:rsid w:val="002008C4"/>
    <w:rsid w:val="00200DF9"/>
    <w:rsid w:val="0020282E"/>
    <w:rsid w:val="00202EE3"/>
    <w:rsid w:val="00203509"/>
    <w:rsid w:val="00203B4F"/>
    <w:rsid w:val="00203E8E"/>
    <w:rsid w:val="002053B1"/>
    <w:rsid w:val="002054A7"/>
    <w:rsid w:val="00205B61"/>
    <w:rsid w:val="0020684B"/>
    <w:rsid w:val="0020772A"/>
    <w:rsid w:val="00207990"/>
    <w:rsid w:val="00211352"/>
    <w:rsid w:val="0021215E"/>
    <w:rsid w:val="00212A59"/>
    <w:rsid w:val="00213762"/>
    <w:rsid w:val="00213D81"/>
    <w:rsid w:val="00214BD1"/>
    <w:rsid w:val="0021508A"/>
    <w:rsid w:val="0021551F"/>
    <w:rsid w:val="00215E8D"/>
    <w:rsid w:val="0021615A"/>
    <w:rsid w:val="0021643E"/>
    <w:rsid w:val="00216731"/>
    <w:rsid w:val="00220ABB"/>
    <w:rsid w:val="00220C2C"/>
    <w:rsid w:val="00220E81"/>
    <w:rsid w:val="00222494"/>
    <w:rsid w:val="00222B9A"/>
    <w:rsid w:val="002238AA"/>
    <w:rsid w:val="002244FF"/>
    <w:rsid w:val="0022464B"/>
    <w:rsid w:val="00225A8D"/>
    <w:rsid w:val="0022767A"/>
    <w:rsid w:val="00230971"/>
    <w:rsid w:val="00230C21"/>
    <w:rsid w:val="002315AC"/>
    <w:rsid w:val="002317BC"/>
    <w:rsid w:val="00231818"/>
    <w:rsid w:val="00231CFB"/>
    <w:rsid w:val="00231E57"/>
    <w:rsid w:val="002324E8"/>
    <w:rsid w:val="00232660"/>
    <w:rsid w:val="00232817"/>
    <w:rsid w:val="002334A6"/>
    <w:rsid w:val="00234A8D"/>
    <w:rsid w:val="00235299"/>
    <w:rsid w:val="002367CF"/>
    <w:rsid w:val="00236C9A"/>
    <w:rsid w:val="00236D04"/>
    <w:rsid w:val="00236D85"/>
    <w:rsid w:val="00236D9A"/>
    <w:rsid w:val="002375A2"/>
    <w:rsid w:val="00240021"/>
    <w:rsid w:val="0024075E"/>
    <w:rsid w:val="0024182E"/>
    <w:rsid w:val="00242D2F"/>
    <w:rsid w:val="002458BF"/>
    <w:rsid w:val="00245997"/>
    <w:rsid w:val="002460B0"/>
    <w:rsid w:val="00246887"/>
    <w:rsid w:val="0024703A"/>
    <w:rsid w:val="00250604"/>
    <w:rsid w:val="00251498"/>
    <w:rsid w:val="002526CB"/>
    <w:rsid w:val="00253888"/>
    <w:rsid w:val="00254AE0"/>
    <w:rsid w:val="00254D6F"/>
    <w:rsid w:val="0025539F"/>
    <w:rsid w:val="00255854"/>
    <w:rsid w:val="00257C91"/>
    <w:rsid w:val="00257D13"/>
    <w:rsid w:val="00257EDC"/>
    <w:rsid w:val="00260EDC"/>
    <w:rsid w:val="00261067"/>
    <w:rsid w:val="00261094"/>
    <w:rsid w:val="002639EC"/>
    <w:rsid w:val="00263D30"/>
    <w:rsid w:val="00264EF9"/>
    <w:rsid w:val="00264FF4"/>
    <w:rsid w:val="002652B6"/>
    <w:rsid w:val="00266253"/>
    <w:rsid w:val="002675A8"/>
    <w:rsid w:val="00271367"/>
    <w:rsid w:val="00272847"/>
    <w:rsid w:val="00272AB8"/>
    <w:rsid w:val="00272CA5"/>
    <w:rsid w:val="00273426"/>
    <w:rsid w:val="0027368F"/>
    <w:rsid w:val="00273819"/>
    <w:rsid w:val="00273F84"/>
    <w:rsid w:val="002742B7"/>
    <w:rsid w:val="00275ECE"/>
    <w:rsid w:val="002771E0"/>
    <w:rsid w:val="00277BB9"/>
    <w:rsid w:val="002807A9"/>
    <w:rsid w:val="0028157D"/>
    <w:rsid w:val="00282C53"/>
    <w:rsid w:val="002838BF"/>
    <w:rsid w:val="00283E3E"/>
    <w:rsid w:val="00283F17"/>
    <w:rsid w:val="0028595E"/>
    <w:rsid w:val="00285C48"/>
    <w:rsid w:val="00286761"/>
    <w:rsid w:val="00286B71"/>
    <w:rsid w:val="00286FC3"/>
    <w:rsid w:val="00290FD3"/>
    <w:rsid w:val="002916FB"/>
    <w:rsid w:val="00293715"/>
    <w:rsid w:val="002941BB"/>
    <w:rsid w:val="00294AD1"/>
    <w:rsid w:val="00295D5F"/>
    <w:rsid w:val="0029624A"/>
    <w:rsid w:val="00297386"/>
    <w:rsid w:val="002974AD"/>
    <w:rsid w:val="002A055E"/>
    <w:rsid w:val="002A1780"/>
    <w:rsid w:val="002A19C5"/>
    <w:rsid w:val="002A248F"/>
    <w:rsid w:val="002A3427"/>
    <w:rsid w:val="002A3CCE"/>
    <w:rsid w:val="002A533F"/>
    <w:rsid w:val="002A6546"/>
    <w:rsid w:val="002A66AA"/>
    <w:rsid w:val="002A6EFB"/>
    <w:rsid w:val="002A7A8E"/>
    <w:rsid w:val="002A7E20"/>
    <w:rsid w:val="002B00A8"/>
    <w:rsid w:val="002B03B6"/>
    <w:rsid w:val="002B09DE"/>
    <w:rsid w:val="002B0D43"/>
    <w:rsid w:val="002B3D63"/>
    <w:rsid w:val="002B3ED2"/>
    <w:rsid w:val="002B4C6A"/>
    <w:rsid w:val="002B55DF"/>
    <w:rsid w:val="002B569A"/>
    <w:rsid w:val="002B59C0"/>
    <w:rsid w:val="002B5ACD"/>
    <w:rsid w:val="002B6CE6"/>
    <w:rsid w:val="002B734F"/>
    <w:rsid w:val="002B782B"/>
    <w:rsid w:val="002B78EA"/>
    <w:rsid w:val="002C3370"/>
    <w:rsid w:val="002C3421"/>
    <w:rsid w:val="002C4B05"/>
    <w:rsid w:val="002C4C41"/>
    <w:rsid w:val="002C596E"/>
    <w:rsid w:val="002C6547"/>
    <w:rsid w:val="002C6590"/>
    <w:rsid w:val="002C6614"/>
    <w:rsid w:val="002C6D05"/>
    <w:rsid w:val="002C7677"/>
    <w:rsid w:val="002D155E"/>
    <w:rsid w:val="002D1657"/>
    <w:rsid w:val="002D1DE6"/>
    <w:rsid w:val="002D23A9"/>
    <w:rsid w:val="002D302D"/>
    <w:rsid w:val="002D410A"/>
    <w:rsid w:val="002D54CF"/>
    <w:rsid w:val="002D6E64"/>
    <w:rsid w:val="002D71A5"/>
    <w:rsid w:val="002D7556"/>
    <w:rsid w:val="002D7738"/>
    <w:rsid w:val="002D77E5"/>
    <w:rsid w:val="002D7AD8"/>
    <w:rsid w:val="002E02B5"/>
    <w:rsid w:val="002E125B"/>
    <w:rsid w:val="002E1BB4"/>
    <w:rsid w:val="002E265A"/>
    <w:rsid w:val="002E3151"/>
    <w:rsid w:val="002E4221"/>
    <w:rsid w:val="002E4583"/>
    <w:rsid w:val="002E517A"/>
    <w:rsid w:val="002E5D11"/>
    <w:rsid w:val="002E612A"/>
    <w:rsid w:val="002E617A"/>
    <w:rsid w:val="002E65C8"/>
    <w:rsid w:val="002E7126"/>
    <w:rsid w:val="002E782E"/>
    <w:rsid w:val="002F04B7"/>
    <w:rsid w:val="002F06E8"/>
    <w:rsid w:val="002F09E0"/>
    <w:rsid w:val="002F0F60"/>
    <w:rsid w:val="002F121D"/>
    <w:rsid w:val="002F2002"/>
    <w:rsid w:val="002F3163"/>
    <w:rsid w:val="002F3482"/>
    <w:rsid w:val="002F3803"/>
    <w:rsid w:val="002F43F2"/>
    <w:rsid w:val="002F52D0"/>
    <w:rsid w:val="002F62FA"/>
    <w:rsid w:val="002F6C8E"/>
    <w:rsid w:val="002F780B"/>
    <w:rsid w:val="002F7CB7"/>
    <w:rsid w:val="0030169B"/>
    <w:rsid w:val="00301C6B"/>
    <w:rsid w:val="00301FF4"/>
    <w:rsid w:val="0030309B"/>
    <w:rsid w:val="003032DA"/>
    <w:rsid w:val="0030438C"/>
    <w:rsid w:val="003054FC"/>
    <w:rsid w:val="00305642"/>
    <w:rsid w:val="003058E8"/>
    <w:rsid w:val="00305E89"/>
    <w:rsid w:val="0030603C"/>
    <w:rsid w:val="00306F98"/>
    <w:rsid w:val="00307264"/>
    <w:rsid w:val="003100CE"/>
    <w:rsid w:val="00310F23"/>
    <w:rsid w:val="003115F8"/>
    <w:rsid w:val="00312609"/>
    <w:rsid w:val="00312DFE"/>
    <w:rsid w:val="00312FB6"/>
    <w:rsid w:val="0031336D"/>
    <w:rsid w:val="003145A7"/>
    <w:rsid w:val="00314755"/>
    <w:rsid w:val="0031538A"/>
    <w:rsid w:val="00316149"/>
    <w:rsid w:val="003170B2"/>
    <w:rsid w:val="00317312"/>
    <w:rsid w:val="0032006C"/>
    <w:rsid w:val="003202FC"/>
    <w:rsid w:val="0032058C"/>
    <w:rsid w:val="003205DA"/>
    <w:rsid w:val="00320B53"/>
    <w:rsid w:val="00321317"/>
    <w:rsid w:val="0032172F"/>
    <w:rsid w:val="003219F7"/>
    <w:rsid w:val="00321A12"/>
    <w:rsid w:val="00321FB2"/>
    <w:rsid w:val="00322B29"/>
    <w:rsid w:val="00322DEC"/>
    <w:rsid w:val="00322F59"/>
    <w:rsid w:val="00323F31"/>
    <w:rsid w:val="00324F2C"/>
    <w:rsid w:val="0032522B"/>
    <w:rsid w:val="003256EA"/>
    <w:rsid w:val="0032588B"/>
    <w:rsid w:val="0032610F"/>
    <w:rsid w:val="0032645E"/>
    <w:rsid w:val="00327524"/>
    <w:rsid w:val="0032766F"/>
    <w:rsid w:val="003277FC"/>
    <w:rsid w:val="00327DBC"/>
    <w:rsid w:val="00330A69"/>
    <w:rsid w:val="00330C80"/>
    <w:rsid w:val="003311F6"/>
    <w:rsid w:val="003314E9"/>
    <w:rsid w:val="00331AE2"/>
    <w:rsid w:val="0033227D"/>
    <w:rsid w:val="0033289D"/>
    <w:rsid w:val="003340DE"/>
    <w:rsid w:val="0033540F"/>
    <w:rsid w:val="0033601F"/>
    <w:rsid w:val="00337219"/>
    <w:rsid w:val="00337335"/>
    <w:rsid w:val="00337377"/>
    <w:rsid w:val="00337AC0"/>
    <w:rsid w:val="00340634"/>
    <w:rsid w:val="00340E9F"/>
    <w:rsid w:val="003421EC"/>
    <w:rsid w:val="00342723"/>
    <w:rsid w:val="0034310C"/>
    <w:rsid w:val="00343E41"/>
    <w:rsid w:val="00344FBD"/>
    <w:rsid w:val="003472F3"/>
    <w:rsid w:val="00350185"/>
    <w:rsid w:val="00350230"/>
    <w:rsid w:val="0035037A"/>
    <w:rsid w:val="00351543"/>
    <w:rsid w:val="003520C8"/>
    <w:rsid w:val="00353C36"/>
    <w:rsid w:val="00353E2E"/>
    <w:rsid w:val="00354024"/>
    <w:rsid w:val="00354C51"/>
    <w:rsid w:val="0035509B"/>
    <w:rsid w:val="00356355"/>
    <w:rsid w:val="00356977"/>
    <w:rsid w:val="00357505"/>
    <w:rsid w:val="0036044A"/>
    <w:rsid w:val="003609C9"/>
    <w:rsid w:val="00360C34"/>
    <w:rsid w:val="00361E0A"/>
    <w:rsid w:val="003623B0"/>
    <w:rsid w:val="00362A98"/>
    <w:rsid w:val="00362EEC"/>
    <w:rsid w:val="003644AE"/>
    <w:rsid w:val="00364C4A"/>
    <w:rsid w:val="00365BE6"/>
    <w:rsid w:val="00365D5C"/>
    <w:rsid w:val="003674F7"/>
    <w:rsid w:val="00367C66"/>
    <w:rsid w:val="00370623"/>
    <w:rsid w:val="00371C28"/>
    <w:rsid w:val="003731FE"/>
    <w:rsid w:val="00374127"/>
    <w:rsid w:val="00374727"/>
    <w:rsid w:val="0037491B"/>
    <w:rsid w:val="003749DF"/>
    <w:rsid w:val="00374BCE"/>
    <w:rsid w:val="003762AA"/>
    <w:rsid w:val="00377178"/>
    <w:rsid w:val="00377BFB"/>
    <w:rsid w:val="00377EE8"/>
    <w:rsid w:val="00380AD7"/>
    <w:rsid w:val="0038141F"/>
    <w:rsid w:val="0038161E"/>
    <w:rsid w:val="00381ED1"/>
    <w:rsid w:val="00382252"/>
    <w:rsid w:val="0038229B"/>
    <w:rsid w:val="00382350"/>
    <w:rsid w:val="003825FE"/>
    <w:rsid w:val="00383827"/>
    <w:rsid w:val="00383F31"/>
    <w:rsid w:val="003846FF"/>
    <w:rsid w:val="00387223"/>
    <w:rsid w:val="00390775"/>
    <w:rsid w:val="00391316"/>
    <w:rsid w:val="00393901"/>
    <w:rsid w:val="0039517C"/>
    <w:rsid w:val="00395CC7"/>
    <w:rsid w:val="00395D95"/>
    <w:rsid w:val="00395E2A"/>
    <w:rsid w:val="00395F03"/>
    <w:rsid w:val="00396873"/>
    <w:rsid w:val="00396D01"/>
    <w:rsid w:val="00397212"/>
    <w:rsid w:val="003A0DC0"/>
    <w:rsid w:val="003A59B9"/>
    <w:rsid w:val="003A6098"/>
    <w:rsid w:val="003A653E"/>
    <w:rsid w:val="003A67EB"/>
    <w:rsid w:val="003B0AD1"/>
    <w:rsid w:val="003B10B3"/>
    <w:rsid w:val="003B1338"/>
    <w:rsid w:val="003B133E"/>
    <w:rsid w:val="003B147A"/>
    <w:rsid w:val="003B5306"/>
    <w:rsid w:val="003B5504"/>
    <w:rsid w:val="003B5505"/>
    <w:rsid w:val="003B552E"/>
    <w:rsid w:val="003B5B7B"/>
    <w:rsid w:val="003B71FA"/>
    <w:rsid w:val="003B7375"/>
    <w:rsid w:val="003B7AC3"/>
    <w:rsid w:val="003B7E94"/>
    <w:rsid w:val="003C1709"/>
    <w:rsid w:val="003C1BA5"/>
    <w:rsid w:val="003C27C1"/>
    <w:rsid w:val="003C2831"/>
    <w:rsid w:val="003C2D31"/>
    <w:rsid w:val="003C38AD"/>
    <w:rsid w:val="003C3E7C"/>
    <w:rsid w:val="003C42EE"/>
    <w:rsid w:val="003C4D5C"/>
    <w:rsid w:val="003C4E29"/>
    <w:rsid w:val="003C62BE"/>
    <w:rsid w:val="003C6AC9"/>
    <w:rsid w:val="003D0D1F"/>
    <w:rsid w:val="003D45D4"/>
    <w:rsid w:val="003D4F84"/>
    <w:rsid w:val="003D5355"/>
    <w:rsid w:val="003D599F"/>
    <w:rsid w:val="003D5D4C"/>
    <w:rsid w:val="003D5D61"/>
    <w:rsid w:val="003D5F5C"/>
    <w:rsid w:val="003D6CDD"/>
    <w:rsid w:val="003D6FDD"/>
    <w:rsid w:val="003D7323"/>
    <w:rsid w:val="003E011B"/>
    <w:rsid w:val="003E097D"/>
    <w:rsid w:val="003E0BFA"/>
    <w:rsid w:val="003E17CB"/>
    <w:rsid w:val="003E17CF"/>
    <w:rsid w:val="003E187F"/>
    <w:rsid w:val="003E207D"/>
    <w:rsid w:val="003E31AE"/>
    <w:rsid w:val="003E3677"/>
    <w:rsid w:val="003E41EE"/>
    <w:rsid w:val="003E4982"/>
    <w:rsid w:val="003E580F"/>
    <w:rsid w:val="003E5D50"/>
    <w:rsid w:val="003E6294"/>
    <w:rsid w:val="003E657F"/>
    <w:rsid w:val="003E6ECE"/>
    <w:rsid w:val="003E6FD7"/>
    <w:rsid w:val="003E75FA"/>
    <w:rsid w:val="003F1C97"/>
    <w:rsid w:val="003F1FAD"/>
    <w:rsid w:val="003F21BD"/>
    <w:rsid w:val="003F2FA7"/>
    <w:rsid w:val="003F3E4E"/>
    <w:rsid w:val="003F4503"/>
    <w:rsid w:val="003F5A9B"/>
    <w:rsid w:val="003F5B82"/>
    <w:rsid w:val="003F6758"/>
    <w:rsid w:val="003F7C65"/>
    <w:rsid w:val="003F7D4C"/>
    <w:rsid w:val="003F7E33"/>
    <w:rsid w:val="004001B2"/>
    <w:rsid w:val="004002B1"/>
    <w:rsid w:val="00401253"/>
    <w:rsid w:val="004012F6"/>
    <w:rsid w:val="00401402"/>
    <w:rsid w:val="004020A8"/>
    <w:rsid w:val="0040210C"/>
    <w:rsid w:val="004021B8"/>
    <w:rsid w:val="00404762"/>
    <w:rsid w:val="00406928"/>
    <w:rsid w:val="00406EA0"/>
    <w:rsid w:val="0040706B"/>
    <w:rsid w:val="00407A70"/>
    <w:rsid w:val="00410446"/>
    <w:rsid w:val="00410BF6"/>
    <w:rsid w:val="0041266B"/>
    <w:rsid w:val="00413F64"/>
    <w:rsid w:val="0041514D"/>
    <w:rsid w:val="0041550D"/>
    <w:rsid w:val="00415A59"/>
    <w:rsid w:val="004167AF"/>
    <w:rsid w:val="004168A3"/>
    <w:rsid w:val="00416AB8"/>
    <w:rsid w:val="0041724D"/>
    <w:rsid w:val="0041787A"/>
    <w:rsid w:val="00417C16"/>
    <w:rsid w:val="004216E3"/>
    <w:rsid w:val="00421C5B"/>
    <w:rsid w:val="00422365"/>
    <w:rsid w:val="00422B21"/>
    <w:rsid w:val="00423B31"/>
    <w:rsid w:val="004242AA"/>
    <w:rsid w:val="00424CE2"/>
    <w:rsid w:val="0042522A"/>
    <w:rsid w:val="00425716"/>
    <w:rsid w:val="00426E5C"/>
    <w:rsid w:val="00426E85"/>
    <w:rsid w:val="00427693"/>
    <w:rsid w:val="00427E21"/>
    <w:rsid w:val="00430690"/>
    <w:rsid w:val="004308E7"/>
    <w:rsid w:val="00430F20"/>
    <w:rsid w:val="004310A1"/>
    <w:rsid w:val="004325A7"/>
    <w:rsid w:val="00433096"/>
    <w:rsid w:val="004332C9"/>
    <w:rsid w:val="00433450"/>
    <w:rsid w:val="00434E86"/>
    <w:rsid w:val="0043525B"/>
    <w:rsid w:val="00437385"/>
    <w:rsid w:val="00437413"/>
    <w:rsid w:val="004377AC"/>
    <w:rsid w:val="00437FA4"/>
    <w:rsid w:val="00441558"/>
    <w:rsid w:val="00443499"/>
    <w:rsid w:val="00443E21"/>
    <w:rsid w:val="0044441A"/>
    <w:rsid w:val="00444D6C"/>
    <w:rsid w:val="00445BFB"/>
    <w:rsid w:val="004460B2"/>
    <w:rsid w:val="0044666F"/>
    <w:rsid w:val="00451C64"/>
    <w:rsid w:val="004530B9"/>
    <w:rsid w:val="004531C0"/>
    <w:rsid w:val="004537A6"/>
    <w:rsid w:val="00453D25"/>
    <w:rsid w:val="00455152"/>
    <w:rsid w:val="00455ACB"/>
    <w:rsid w:val="004577F5"/>
    <w:rsid w:val="004602ED"/>
    <w:rsid w:val="00460328"/>
    <w:rsid w:val="0046044C"/>
    <w:rsid w:val="00460637"/>
    <w:rsid w:val="00460909"/>
    <w:rsid w:val="00461660"/>
    <w:rsid w:val="00461F70"/>
    <w:rsid w:val="00461F86"/>
    <w:rsid w:val="0046230E"/>
    <w:rsid w:val="00463085"/>
    <w:rsid w:val="0046375C"/>
    <w:rsid w:val="0046377A"/>
    <w:rsid w:val="00463C5C"/>
    <w:rsid w:val="00465252"/>
    <w:rsid w:val="0046559A"/>
    <w:rsid w:val="00465F03"/>
    <w:rsid w:val="00467291"/>
    <w:rsid w:val="0046745B"/>
    <w:rsid w:val="00467AB5"/>
    <w:rsid w:val="00470302"/>
    <w:rsid w:val="0047049F"/>
    <w:rsid w:val="0047217C"/>
    <w:rsid w:val="0047228E"/>
    <w:rsid w:val="00472348"/>
    <w:rsid w:val="004732AF"/>
    <w:rsid w:val="004739DD"/>
    <w:rsid w:val="004746F0"/>
    <w:rsid w:val="00475942"/>
    <w:rsid w:val="0047621E"/>
    <w:rsid w:val="00476BD0"/>
    <w:rsid w:val="004800CC"/>
    <w:rsid w:val="0048025B"/>
    <w:rsid w:val="004810C7"/>
    <w:rsid w:val="004829F3"/>
    <w:rsid w:val="004831AD"/>
    <w:rsid w:val="00483459"/>
    <w:rsid w:val="004834AC"/>
    <w:rsid w:val="00483BA5"/>
    <w:rsid w:val="00484093"/>
    <w:rsid w:val="00485571"/>
    <w:rsid w:val="00486A1C"/>
    <w:rsid w:val="00486BB2"/>
    <w:rsid w:val="00486C2F"/>
    <w:rsid w:val="00491A85"/>
    <w:rsid w:val="00492C4B"/>
    <w:rsid w:val="004934A1"/>
    <w:rsid w:val="0049384F"/>
    <w:rsid w:val="004939A3"/>
    <w:rsid w:val="00493AB6"/>
    <w:rsid w:val="00493D04"/>
    <w:rsid w:val="00494D6C"/>
    <w:rsid w:val="00495E43"/>
    <w:rsid w:val="00495E70"/>
    <w:rsid w:val="004972F5"/>
    <w:rsid w:val="004A03C9"/>
    <w:rsid w:val="004A07E7"/>
    <w:rsid w:val="004A2ABC"/>
    <w:rsid w:val="004A377B"/>
    <w:rsid w:val="004A408F"/>
    <w:rsid w:val="004A49EE"/>
    <w:rsid w:val="004A557F"/>
    <w:rsid w:val="004A5BD9"/>
    <w:rsid w:val="004A5FEC"/>
    <w:rsid w:val="004A6105"/>
    <w:rsid w:val="004A64D8"/>
    <w:rsid w:val="004A6F37"/>
    <w:rsid w:val="004A708C"/>
    <w:rsid w:val="004B0172"/>
    <w:rsid w:val="004B0290"/>
    <w:rsid w:val="004B0345"/>
    <w:rsid w:val="004B11D7"/>
    <w:rsid w:val="004B1976"/>
    <w:rsid w:val="004B348A"/>
    <w:rsid w:val="004B3992"/>
    <w:rsid w:val="004B3C38"/>
    <w:rsid w:val="004B4409"/>
    <w:rsid w:val="004B4415"/>
    <w:rsid w:val="004B55B4"/>
    <w:rsid w:val="004B6872"/>
    <w:rsid w:val="004B6A18"/>
    <w:rsid w:val="004B7E09"/>
    <w:rsid w:val="004B7F0F"/>
    <w:rsid w:val="004C1190"/>
    <w:rsid w:val="004C1482"/>
    <w:rsid w:val="004C1E7F"/>
    <w:rsid w:val="004C2DF5"/>
    <w:rsid w:val="004C4974"/>
    <w:rsid w:val="004C5479"/>
    <w:rsid w:val="004C6AD6"/>
    <w:rsid w:val="004C7742"/>
    <w:rsid w:val="004D0154"/>
    <w:rsid w:val="004D06C5"/>
    <w:rsid w:val="004D1B93"/>
    <w:rsid w:val="004D2650"/>
    <w:rsid w:val="004D2F15"/>
    <w:rsid w:val="004D3562"/>
    <w:rsid w:val="004D38CA"/>
    <w:rsid w:val="004D71E6"/>
    <w:rsid w:val="004D797F"/>
    <w:rsid w:val="004E09E0"/>
    <w:rsid w:val="004E3222"/>
    <w:rsid w:val="004E3489"/>
    <w:rsid w:val="004E36B8"/>
    <w:rsid w:val="004E4015"/>
    <w:rsid w:val="004E4267"/>
    <w:rsid w:val="004E5845"/>
    <w:rsid w:val="004E59B4"/>
    <w:rsid w:val="004E7155"/>
    <w:rsid w:val="004E73FF"/>
    <w:rsid w:val="004F15C8"/>
    <w:rsid w:val="004F2363"/>
    <w:rsid w:val="004F24EE"/>
    <w:rsid w:val="004F3F5E"/>
    <w:rsid w:val="004F4422"/>
    <w:rsid w:val="004F51B3"/>
    <w:rsid w:val="004F638F"/>
    <w:rsid w:val="00500BA1"/>
    <w:rsid w:val="00501363"/>
    <w:rsid w:val="005025B3"/>
    <w:rsid w:val="005025E6"/>
    <w:rsid w:val="00502960"/>
    <w:rsid w:val="0050395C"/>
    <w:rsid w:val="00503DCE"/>
    <w:rsid w:val="0050526C"/>
    <w:rsid w:val="00506597"/>
    <w:rsid w:val="0050678D"/>
    <w:rsid w:val="00506958"/>
    <w:rsid w:val="00507340"/>
    <w:rsid w:val="00507999"/>
    <w:rsid w:val="0051079D"/>
    <w:rsid w:val="00511B57"/>
    <w:rsid w:val="00512354"/>
    <w:rsid w:val="0051273C"/>
    <w:rsid w:val="00514365"/>
    <w:rsid w:val="00514784"/>
    <w:rsid w:val="005158E2"/>
    <w:rsid w:val="00515B9D"/>
    <w:rsid w:val="00516156"/>
    <w:rsid w:val="0051645C"/>
    <w:rsid w:val="00516479"/>
    <w:rsid w:val="00517C01"/>
    <w:rsid w:val="00517DB3"/>
    <w:rsid w:val="005212F6"/>
    <w:rsid w:val="00521CD4"/>
    <w:rsid w:val="00521CD8"/>
    <w:rsid w:val="00522E6A"/>
    <w:rsid w:val="005233F5"/>
    <w:rsid w:val="00525437"/>
    <w:rsid w:val="00526EB4"/>
    <w:rsid w:val="0052704B"/>
    <w:rsid w:val="00530078"/>
    <w:rsid w:val="0053021F"/>
    <w:rsid w:val="00530A00"/>
    <w:rsid w:val="00531B8A"/>
    <w:rsid w:val="0053259B"/>
    <w:rsid w:val="005325D7"/>
    <w:rsid w:val="00532D98"/>
    <w:rsid w:val="0053321B"/>
    <w:rsid w:val="0053413A"/>
    <w:rsid w:val="00534390"/>
    <w:rsid w:val="00535B5E"/>
    <w:rsid w:val="00536997"/>
    <w:rsid w:val="00537FAB"/>
    <w:rsid w:val="005402E8"/>
    <w:rsid w:val="005408CA"/>
    <w:rsid w:val="00541637"/>
    <w:rsid w:val="00542552"/>
    <w:rsid w:val="00542CD3"/>
    <w:rsid w:val="00543179"/>
    <w:rsid w:val="005442E4"/>
    <w:rsid w:val="00544476"/>
    <w:rsid w:val="005444E3"/>
    <w:rsid w:val="00545108"/>
    <w:rsid w:val="00545C5F"/>
    <w:rsid w:val="00546657"/>
    <w:rsid w:val="00547028"/>
    <w:rsid w:val="00547311"/>
    <w:rsid w:val="00547CEC"/>
    <w:rsid w:val="00547D9F"/>
    <w:rsid w:val="00547FCA"/>
    <w:rsid w:val="00550CCA"/>
    <w:rsid w:val="00550D9C"/>
    <w:rsid w:val="00550FBE"/>
    <w:rsid w:val="00553B94"/>
    <w:rsid w:val="00554406"/>
    <w:rsid w:val="0055475F"/>
    <w:rsid w:val="00554AF9"/>
    <w:rsid w:val="005553FC"/>
    <w:rsid w:val="005559CE"/>
    <w:rsid w:val="00555A44"/>
    <w:rsid w:val="00555B13"/>
    <w:rsid w:val="00556493"/>
    <w:rsid w:val="00556B1A"/>
    <w:rsid w:val="00556C4A"/>
    <w:rsid w:val="00556CA7"/>
    <w:rsid w:val="00556D63"/>
    <w:rsid w:val="005578F1"/>
    <w:rsid w:val="00560E88"/>
    <w:rsid w:val="00561143"/>
    <w:rsid w:val="005621D5"/>
    <w:rsid w:val="00563264"/>
    <w:rsid w:val="0056370A"/>
    <w:rsid w:val="00563779"/>
    <w:rsid w:val="00563DDF"/>
    <w:rsid w:val="0056427A"/>
    <w:rsid w:val="00565186"/>
    <w:rsid w:val="00567235"/>
    <w:rsid w:val="00570212"/>
    <w:rsid w:val="0057049C"/>
    <w:rsid w:val="00570F7A"/>
    <w:rsid w:val="005716BC"/>
    <w:rsid w:val="005737E7"/>
    <w:rsid w:val="00575BC2"/>
    <w:rsid w:val="00575E4D"/>
    <w:rsid w:val="00576BE3"/>
    <w:rsid w:val="00576F67"/>
    <w:rsid w:val="00577867"/>
    <w:rsid w:val="00577E7B"/>
    <w:rsid w:val="005816D3"/>
    <w:rsid w:val="00581890"/>
    <w:rsid w:val="00582235"/>
    <w:rsid w:val="00582384"/>
    <w:rsid w:val="00583BE7"/>
    <w:rsid w:val="00583F08"/>
    <w:rsid w:val="0058407B"/>
    <w:rsid w:val="005842AF"/>
    <w:rsid w:val="00584417"/>
    <w:rsid w:val="005846A0"/>
    <w:rsid w:val="005849C6"/>
    <w:rsid w:val="00586070"/>
    <w:rsid w:val="0058773D"/>
    <w:rsid w:val="00590576"/>
    <w:rsid w:val="005906F6"/>
    <w:rsid w:val="00590771"/>
    <w:rsid w:val="00592D3F"/>
    <w:rsid w:val="00593069"/>
    <w:rsid w:val="00593E71"/>
    <w:rsid w:val="0059427C"/>
    <w:rsid w:val="005950D4"/>
    <w:rsid w:val="005A0102"/>
    <w:rsid w:val="005A0D96"/>
    <w:rsid w:val="005A12CA"/>
    <w:rsid w:val="005A2162"/>
    <w:rsid w:val="005A21D4"/>
    <w:rsid w:val="005A2278"/>
    <w:rsid w:val="005A2DBA"/>
    <w:rsid w:val="005A2F19"/>
    <w:rsid w:val="005A331D"/>
    <w:rsid w:val="005A35DF"/>
    <w:rsid w:val="005A3722"/>
    <w:rsid w:val="005A3A78"/>
    <w:rsid w:val="005A3CE6"/>
    <w:rsid w:val="005A4158"/>
    <w:rsid w:val="005A4F05"/>
    <w:rsid w:val="005A6018"/>
    <w:rsid w:val="005A61FD"/>
    <w:rsid w:val="005A63A7"/>
    <w:rsid w:val="005A6759"/>
    <w:rsid w:val="005A7C94"/>
    <w:rsid w:val="005B0108"/>
    <w:rsid w:val="005B0771"/>
    <w:rsid w:val="005B0AE1"/>
    <w:rsid w:val="005B0DBD"/>
    <w:rsid w:val="005B123C"/>
    <w:rsid w:val="005B2407"/>
    <w:rsid w:val="005B3FF5"/>
    <w:rsid w:val="005B4BB3"/>
    <w:rsid w:val="005B4BC1"/>
    <w:rsid w:val="005B55AC"/>
    <w:rsid w:val="005B5B3B"/>
    <w:rsid w:val="005B67B1"/>
    <w:rsid w:val="005B6B30"/>
    <w:rsid w:val="005B707A"/>
    <w:rsid w:val="005B7099"/>
    <w:rsid w:val="005B7B9B"/>
    <w:rsid w:val="005B7D33"/>
    <w:rsid w:val="005C1577"/>
    <w:rsid w:val="005C1CDA"/>
    <w:rsid w:val="005C22A7"/>
    <w:rsid w:val="005C296D"/>
    <w:rsid w:val="005C41ED"/>
    <w:rsid w:val="005C42A9"/>
    <w:rsid w:val="005C433A"/>
    <w:rsid w:val="005C459A"/>
    <w:rsid w:val="005C54C1"/>
    <w:rsid w:val="005C57BF"/>
    <w:rsid w:val="005C6168"/>
    <w:rsid w:val="005C6837"/>
    <w:rsid w:val="005C760C"/>
    <w:rsid w:val="005D030B"/>
    <w:rsid w:val="005D034A"/>
    <w:rsid w:val="005D16C6"/>
    <w:rsid w:val="005D24CA"/>
    <w:rsid w:val="005D2879"/>
    <w:rsid w:val="005D2F2F"/>
    <w:rsid w:val="005D33A7"/>
    <w:rsid w:val="005D3A73"/>
    <w:rsid w:val="005D44A6"/>
    <w:rsid w:val="005D5077"/>
    <w:rsid w:val="005D5BF2"/>
    <w:rsid w:val="005E01E0"/>
    <w:rsid w:val="005E0392"/>
    <w:rsid w:val="005E0F79"/>
    <w:rsid w:val="005E11DD"/>
    <w:rsid w:val="005E15D4"/>
    <w:rsid w:val="005E38BC"/>
    <w:rsid w:val="005E3A10"/>
    <w:rsid w:val="005E3E60"/>
    <w:rsid w:val="005E4808"/>
    <w:rsid w:val="005E66DB"/>
    <w:rsid w:val="005E67B6"/>
    <w:rsid w:val="005E686B"/>
    <w:rsid w:val="005E6AFA"/>
    <w:rsid w:val="005E733C"/>
    <w:rsid w:val="005E77F4"/>
    <w:rsid w:val="005E7DF9"/>
    <w:rsid w:val="005F1A54"/>
    <w:rsid w:val="005F1B9B"/>
    <w:rsid w:val="005F2418"/>
    <w:rsid w:val="005F243D"/>
    <w:rsid w:val="005F2DFE"/>
    <w:rsid w:val="005F35E7"/>
    <w:rsid w:val="005F439B"/>
    <w:rsid w:val="005F55FE"/>
    <w:rsid w:val="005F58DA"/>
    <w:rsid w:val="005F5B78"/>
    <w:rsid w:val="005F70FD"/>
    <w:rsid w:val="005F7436"/>
    <w:rsid w:val="005F760B"/>
    <w:rsid w:val="006003CB"/>
    <w:rsid w:val="00600A07"/>
    <w:rsid w:val="00600B9E"/>
    <w:rsid w:val="006034F0"/>
    <w:rsid w:val="00603ACD"/>
    <w:rsid w:val="00604D5D"/>
    <w:rsid w:val="00605096"/>
    <w:rsid w:val="006054B2"/>
    <w:rsid w:val="00606D34"/>
    <w:rsid w:val="00607CC7"/>
    <w:rsid w:val="00607FB9"/>
    <w:rsid w:val="0061098A"/>
    <w:rsid w:val="00610BAD"/>
    <w:rsid w:val="00611912"/>
    <w:rsid w:val="00613370"/>
    <w:rsid w:val="0061379C"/>
    <w:rsid w:val="00613F0A"/>
    <w:rsid w:val="00613FED"/>
    <w:rsid w:val="00615713"/>
    <w:rsid w:val="006159D0"/>
    <w:rsid w:val="00616ACC"/>
    <w:rsid w:val="00616B45"/>
    <w:rsid w:val="00620D0E"/>
    <w:rsid w:val="00620D11"/>
    <w:rsid w:val="0062121F"/>
    <w:rsid w:val="006212AC"/>
    <w:rsid w:val="0062147F"/>
    <w:rsid w:val="006214A1"/>
    <w:rsid w:val="00621630"/>
    <w:rsid w:val="0062176C"/>
    <w:rsid w:val="00621D53"/>
    <w:rsid w:val="00622525"/>
    <w:rsid w:val="006229F9"/>
    <w:rsid w:val="006231E0"/>
    <w:rsid w:val="0062340F"/>
    <w:rsid w:val="00623547"/>
    <w:rsid w:val="00623D46"/>
    <w:rsid w:val="00624104"/>
    <w:rsid w:val="0062417F"/>
    <w:rsid w:val="00624346"/>
    <w:rsid w:val="0062451A"/>
    <w:rsid w:val="00625156"/>
    <w:rsid w:val="00626778"/>
    <w:rsid w:val="00630455"/>
    <w:rsid w:val="00630535"/>
    <w:rsid w:val="00630687"/>
    <w:rsid w:val="006320DA"/>
    <w:rsid w:val="006323E4"/>
    <w:rsid w:val="00632AA4"/>
    <w:rsid w:val="00633C11"/>
    <w:rsid w:val="00634A3E"/>
    <w:rsid w:val="00634A82"/>
    <w:rsid w:val="00635551"/>
    <w:rsid w:val="0063625D"/>
    <w:rsid w:val="00636262"/>
    <w:rsid w:val="00636901"/>
    <w:rsid w:val="00636B11"/>
    <w:rsid w:val="00636C2B"/>
    <w:rsid w:val="00637B70"/>
    <w:rsid w:val="00640AE4"/>
    <w:rsid w:val="00641936"/>
    <w:rsid w:val="00641DFC"/>
    <w:rsid w:val="006421F4"/>
    <w:rsid w:val="00642329"/>
    <w:rsid w:val="006426BA"/>
    <w:rsid w:val="006427FE"/>
    <w:rsid w:val="00643797"/>
    <w:rsid w:val="00644434"/>
    <w:rsid w:val="006445E7"/>
    <w:rsid w:val="00645ED4"/>
    <w:rsid w:val="00646139"/>
    <w:rsid w:val="00646B1F"/>
    <w:rsid w:val="00646D14"/>
    <w:rsid w:val="006500BE"/>
    <w:rsid w:val="00650203"/>
    <w:rsid w:val="00650D07"/>
    <w:rsid w:val="0065155A"/>
    <w:rsid w:val="006519B9"/>
    <w:rsid w:val="006520B3"/>
    <w:rsid w:val="00654907"/>
    <w:rsid w:val="0065722A"/>
    <w:rsid w:val="006572C7"/>
    <w:rsid w:val="006603C6"/>
    <w:rsid w:val="00660540"/>
    <w:rsid w:val="0066100B"/>
    <w:rsid w:val="006615EE"/>
    <w:rsid w:val="00661C73"/>
    <w:rsid w:val="00662588"/>
    <w:rsid w:val="00663004"/>
    <w:rsid w:val="00663070"/>
    <w:rsid w:val="0066310A"/>
    <w:rsid w:val="0066398E"/>
    <w:rsid w:val="00663AD4"/>
    <w:rsid w:val="006649ED"/>
    <w:rsid w:val="00664F59"/>
    <w:rsid w:val="00665DEE"/>
    <w:rsid w:val="00667655"/>
    <w:rsid w:val="00667D57"/>
    <w:rsid w:val="006703BF"/>
    <w:rsid w:val="00670824"/>
    <w:rsid w:val="00671402"/>
    <w:rsid w:val="00671EA6"/>
    <w:rsid w:val="00672545"/>
    <w:rsid w:val="00672D6B"/>
    <w:rsid w:val="0067399E"/>
    <w:rsid w:val="00673E65"/>
    <w:rsid w:val="00674BA8"/>
    <w:rsid w:val="00674CCC"/>
    <w:rsid w:val="00674E81"/>
    <w:rsid w:val="00674EAE"/>
    <w:rsid w:val="00676B37"/>
    <w:rsid w:val="00677285"/>
    <w:rsid w:val="00680037"/>
    <w:rsid w:val="006801CF"/>
    <w:rsid w:val="00680E8A"/>
    <w:rsid w:val="006814A2"/>
    <w:rsid w:val="0068203D"/>
    <w:rsid w:val="00682049"/>
    <w:rsid w:val="006822E2"/>
    <w:rsid w:val="00683ABC"/>
    <w:rsid w:val="00683E81"/>
    <w:rsid w:val="00685A76"/>
    <w:rsid w:val="006863C5"/>
    <w:rsid w:val="0069010D"/>
    <w:rsid w:val="006911AF"/>
    <w:rsid w:val="00691CA1"/>
    <w:rsid w:val="00691CE6"/>
    <w:rsid w:val="00692348"/>
    <w:rsid w:val="0069237C"/>
    <w:rsid w:val="00692AF5"/>
    <w:rsid w:val="00693793"/>
    <w:rsid w:val="00693C2F"/>
    <w:rsid w:val="00693F9D"/>
    <w:rsid w:val="00693FBC"/>
    <w:rsid w:val="006944A5"/>
    <w:rsid w:val="00694581"/>
    <w:rsid w:val="006947C7"/>
    <w:rsid w:val="006951C7"/>
    <w:rsid w:val="00695775"/>
    <w:rsid w:val="00695B0B"/>
    <w:rsid w:val="00695FBB"/>
    <w:rsid w:val="00696442"/>
    <w:rsid w:val="00696672"/>
    <w:rsid w:val="00696803"/>
    <w:rsid w:val="00696972"/>
    <w:rsid w:val="006A06FD"/>
    <w:rsid w:val="006A0F6A"/>
    <w:rsid w:val="006A131D"/>
    <w:rsid w:val="006A1972"/>
    <w:rsid w:val="006A1A76"/>
    <w:rsid w:val="006A30B0"/>
    <w:rsid w:val="006A3274"/>
    <w:rsid w:val="006A3520"/>
    <w:rsid w:val="006A3C1B"/>
    <w:rsid w:val="006A4264"/>
    <w:rsid w:val="006A42F3"/>
    <w:rsid w:val="006A4750"/>
    <w:rsid w:val="006A4FA0"/>
    <w:rsid w:val="006A5E65"/>
    <w:rsid w:val="006A5EF6"/>
    <w:rsid w:val="006A6345"/>
    <w:rsid w:val="006A6CE7"/>
    <w:rsid w:val="006A6D17"/>
    <w:rsid w:val="006A72A7"/>
    <w:rsid w:val="006A7613"/>
    <w:rsid w:val="006A7F57"/>
    <w:rsid w:val="006B05A2"/>
    <w:rsid w:val="006B0870"/>
    <w:rsid w:val="006B215D"/>
    <w:rsid w:val="006B3788"/>
    <w:rsid w:val="006B421E"/>
    <w:rsid w:val="006B44F2"/>
    <w:rsid w:val="006B5ADF"/>
    <w:rsid w:val="006B5F94"/>
    <w:rsid w:val="006B6373"/>
    <w:rsid w:val="006B6CB3"/>
    <w:rsid w:val="006B763A"/>
    <w:rsid w:val="006C02E7"/>
    <w:rsid w:val="006C04C8"/>
    <w:rsid w:val="006C08E4"/>
    <w:rsid w:val="006C16CC"/>
    <w:rsid w:val="006C1DD6"/>
    <w:rsid w:val="006C2ADC"/>
    <w:rsid w:val="006C44EC"/>
    <w:rsid w:val="006C56C6"/>
    <w:rsid w:val="006C7662"/>
    <w:rsid w:val="006D04B6"/>
    <w:rsid w:val="006D0B60"/>
    <w:rsid w:val="006D0D1D"/>
    <w:rsid w:val="006D1DEA"/>
    <w:rsid w:val="006D2C52"/>
    <w:rsid w:val="006D3915"/>
    <w:rsid w:val="006D3F35"/>
    <w:rsid w:val="006D4AA0"/>
    <w:rsid w:val="006D5486"/>
    <w:rsid w:val="006D5D5C"/>
    <w:rsid w:val="006D62DC"/>
    <w:rsid w:val="006D63AF"/>
    <w:rsid w:val="006D671B"/>
    <w:rsid w:val="006D6EED"/>
    <w:rsid w:val="006D70F7"/>
    <w:rsid w:val="006D7663"/>
    <w:rsid w:val="006D7D38"/>
    <w:rsid w:val="006E0B64"/>
    <w:rsid w:val="006E0BF8"/>
    <w:rsid w:val="006E0D76"/>
    <w:rsid w:val="006E10EB"/>
    <w:rsid w:val="006E11C8"/>
    <w:rsid w:val="006E18E0"/>
    <w:rsid w:val="006E2947"/>
    <w:rsid w:val="006E2DA4"/>
    <w:rsid w:val="006E34A1"/>
    <w:rsid w:val="006E3C09"/>
    <w:rsid w:val="006E45BD"/>
    <w:rsid w:val="006E5CAF"/>
    <w:rsid w:val="006E5F50"/>
    <w:rsid w:val="006E62AC"/>
    <w:rsid w:val="006E6902"/>
    <w:rsid w:val="006F063F"/>
    <w:rsid w:val="006F0F68"/>
    <w:rsid w:val="006F107C"/>
    <w:rsid w:val="006F2169"/>
    <w:rsid w:val="006F30C3"/>
    <w:rsid w:val="006F37C9"/>
    <w:rsid w:val="006F391B"/>
    <w:rsid w:val="006F3C4A"/>
    <w:rsid w:val="006F3DCD"/>
    <w:rsid w:val="006F4DAB"/>
    <w:rsid w:val="006F5251"/>
    <w:rsid w:val="006F5CCE"/>
    <w:rsid w:val="006F5E35"/>
    <w:rsid w:val="006F6B3F"/>
    <w:rsid w:val="006F7657"/>
    <w:rsid w:val="006F7A5F"/>
    <w:rsid w:val="0070084F"/>
    <w:rsid w:val="00700924"/>
    <w:rsid w:val="00700D36"/>
    <w:rsid w:val="00702DEF"/>
    <w:rsid w:val="007031E8"/>
    <w:rsid w:val="00705BD1"/>
    <w:rsid w:val="0070635D"/>
    <w:rsid w:val="00707343"/>
    <w:rsid w:val="00707936"/>
    <w:rsid w:val="00707B1B"/>
    <w:rsid w:val="007101B7"/>
    <w:rsid w:val="007110B2"/>
    <w:rsid w:val="007128DC"/>
    <w:rsid w:val="00712F8D"/>
    <w:rsid w:val="00714BD0"/>
    <w:rsid w:val="00715710"/>
    <w:rsid w:val="00716146"/>
    <w:rsid w:val="00716AE3"/>
    <w:rsid w:val="00717BD8"/>
    <w:rsid w:val="00717EF7"/>
    <w:rsid w:val="007200F9"/>
    <w:rsid w:val="0072027A"/>
    <w:rsid w:val="00720832"/>
    <w:rsid w:val="00721D6E"/>
    <w:rsid w:val="00722789"/>
    <w:rsid w:val="00722CD7"/>
    <w:rsid w:val="00722FC1"/>
    <w:rsid w:val="0072369C"/>
    <w:rsid w:val="0072488F"/>
    <w:rsid w:val="00724FA3"/>
    <w:rsid w:val="00725528"/>
    <w:rsid w:val="00725B9E"/>
    <w:rsid w:val="007261CE"/>
    <w:rsid w:val="00726545"/>
    <w:rsid w:val="00726951"/>
    <w:rsid w:val="0072796D"/>
    <w:rsid w:val="00730091"/>
    <w:rsid w:val="007316CE"/>
    <w:rsid w:val="007317F8"/>
    <w:rsid w:val="00732A82"/>
    <w:rsid w:val="007331FC"/>
    <w:rsid w:val="00733370"/>
    <w:rsid w:val="00733FA8"/>
    <w:rsid w:val="007342B3"/>
    <w:rsid w:val="0073520A"/>
    <w:rsid w:val="007352CE"/>
    <w:rsid w:val="00735833"/>
    <w:rsid w:val="00736252"/>
    <w:rsid w:val="00737042"/>
    <w:rsid w:val="00737440"/>
    <w:rsid w:val="007379FE"/>
    <w:rsid w:val="00741237"/>
    <w:rsid w:val="0074160D"/>
    <w:rsid w:val="0074192E"/>
    <w:rsid w:val="00742B0C"/>
    <w:rsid w:val="00743665"/>
    <w:rsid w:val="00743A95"/>
    <w:rsid w:val="00743D74"/>
    <w:rsid w:val="00744A5F"/>
    <w:rsid w:val="007467DF"/>
    <w:rsid w:val="007472B8"/>
    <w:rsid w:val="00747351"/>
    <w:rsid w:val="00747943"/>
    <w:rsid w:val="00747A2B"/>
    <w:rsid w:val="00747C84"/>
    <w:rsid w:val="00747E4A"/>
    <w:rsid w:val="00751269"/>
    <w:rsid w:val="0075246F"/>
    <w:rsid w:val="007526AF"/>
    <w:rsid w:val="00753072"/>
    <w:rsid w:val="007531F9"/>
    <w:rsid w:val="0075343B"/>
    <w:rsid w:val="00753854"/>
    <w:rsid w:val="0075491A"/>
    <w:rsid w:val="00754973"/>
    <w:rsid w:val="0075507A"/>
    <w:rsid w:val="0075550A"/>
    <w:rsid w:val="00755A04"/>
    <w:rsid w:val="00756331"/>
    <w:rsid w:val="00756DB7"/>
    <w:rsid w:val="00760212"/>
    <w:rsid w:val="00761863"/>
    <w:rsid w:val="007621A6"/>
    <w:rsid w:val="0076264C"/>
    <w:rsid w:val="007627AC"/>
    <w:rsid w:val="00763863"/>
    <w:rsid w:val="00763F64"/>
    <w:rsid w:val="00764BC4"/>
    <w:rsid w:val="00764D4B"/>
    <w:rsid w:val="00765528"/>
    <w:rsid w:val="00766E20"/>
    <w:rsid w:val="00767A52"/>
    <w:rsid w:val="00767A71"/>
    <w:rsid w:val="00767C9F"/>
    <w:rsid w:val="00767F24"/>
    <w:rsid w:val="00770311"/>
    <w:rsid w:val="00770BD9"/>
    <w:rsid w:val="007714FC"/>
    <w:rsid w:val="00771FC3"/>
    <w:rsid w:val="0077353A"/>
    <w:rsid w:val="007739C8"/>
    <w:rsid w:val="00774895"/>
    <w:rsid w:val="00775DA1"/>
    <w:rsid w:val="007761ED"/>
    <w:rsid w:val="00776430"/>
    <w:rsid w:val="007778A3"/>
    <w:rsid w:val="007807BE"/>
    <w:rsid w:val="00780AF9"/>
    <w:rsid w:val="0078197B"/>
    <w:rsid w:val="00781B8E"/>
    <w:rsid w:val="00782C37"/>
    <w:rsid w:val="00782E04"/>
    <w:rsid w:val="00783282"/>
    <w:rsid w:val="007834FE"/>
    <w:rsid w:val="00783644"/>
    <w:rsid w:val="00784449"/>
    <w:rsid w:val="0078563E"/>
    <w:rsid w:val="00786A4C"/>
    <w:rsid w:val="007876DF"/>
    <w:rsid w:val="00787838"/>
    <w:rsid w:val="00791333"/>
    <w:rsid w:val="007917BF"/>
    <w:rsid w:val="007920EA"/>
    <w:rsid w:val="00792F60"/>
    <w:rsid w:val="007933CB"/>
    <w:rsid w:val="00794B29"/>
    <w:rsid w:val="00795B8D"/>
    <w:rsid w:val="00795BE0"/>
    <w:rsid w:val="0079646A"/>
    <w:rsid w:val="007965D4"/>
    <w:rsid w:val="00796A53"/>
    <w:rsid w:val="00796C05"/>
    <w:rsid w:val="007A0646"/>
    <w:rsid w:val="007A087A"/>
    <w:rsid w:val="007A1200"/>
    <w:rsid w:val="007A1730"/>
    <w:rsid w:val="007A1B88"/>
    <w:rsid w:val="007A3983"/>
    <w:rsid w:val="007A39A9"/>
    <w:rsid w:val="007A3DEC"/>
    <w:rsid w:val="007A46DD"/>
    <w:rsid w:val="007A48B7"/>
    <w:rsid w:val="007A49C3"/>
    <w:rsid w:val="007A53B8"/>
    <w:rsid w:val="007A5803"/>
    <w:rsid w:val="007A625C"/>
    <w:rsid w:val="007A6275"/>
    <w:rsid w:val="007A7BF6"/>
    <w:rsid w:val="007B05EF"/>
    <w:rsid w:val="007B0783"/>
    <w:rsid w:val="007B0E34"/>
    <w:rsid w:val="007B10FD"/>
    <w:rsid w:val="007B145A"/>
    <w:rsid w:val="007B1536"/>
    <w:rsid w:val="007B1865"/>
    <w:rsid w:val="007B18ED"/>
    <w:rsid w:val="007B2457"/>
    <w:rsid w:val="007B2491"/>
    <w:rsid w:val="007B24F0"/>
    <w:rsid w:val="007B2C8A"/>
    <w:rsid w:val="007B4872"/>
    <w:rsid w:val="007B6019"/>
    <w:rsid w:val="007B6E09"/>
    <w:rsid w:val="007B73DE"/>
    <w:rsid w:val="007B76B5"/>
    <w:rsid w:val="007B7DB2"/>
    <w:rsid w:val="007C0052"/>
    <w:rsid w:val="007C0238"/>
    <w:rsid w:val="007C0591"/>
    <w:rsid w:val="007C16C4"/>
    <w:rsid w:val="007C2637"/>
    <w:rsid w:val="007C2665"/>
    <w:rsid w:val="007C27DA"/>
    <w:rsid w:val="007C31AB"/>
    <w:rsid w:val="007C3553"/>
    <w:rsid w:val="007C40C6"/>
    <w:rsid w:val="007C474A"/>
    <w:rsid w:val="007C49DD"/>
    <w:rsid w:val="007C523F"/>
    <w:rsid w:val="007C661F"/>
    <w:rsid w:val="007C6968"/>
    <w:rsid w:val="007C69A4"/>
    <w:rsid w:val="007C69C0"/>
    <w:rsid w:val="007C6F69"/>
    <w:rsid w:val="007C7850"/>
    <w:rsid w:val="007C7D22"/>
    <w:rsid w:val="007D23D7"/>
    <w:rsid w:val="007D2884"/>
    <w:rsid w:val="007D2971"/>
    <w:rsid w:val="007D3B43"/>
    <w:rsid w:val="007D3F82"/>
    <w:rsid w:val="007D4FBD"/>
    <w:rsid w:val="007D57BE"/>
    <w:rsid w:val="007D66EC"/>
    <w:rsid w:val="007D68E8"/>
    <w:rsid w:val="007E045D"/>
    <w:rsid w:val="007E1A53"/>
    <w:rsid w:val="007E29DB"/>
    <w:rsid w:val="007E36B9"/>
    <w:rsid w:val="007E401F"/>
    <w:rsid w:val="007E53E1"/>
    <w:rsid w:val="007E556E"/>
    <w:rsid w:val="007E5B21"/>
    <w:rsid w:val="007E5D88"/>
    <w:rsid w:val="007E78CC"/>
    <w:rsid w:val="007F026D"/>
    <w:rsid w:val="007F0990"/>
    <w:rsid w:val="007F11F4"/>
    <w:rsid w:val="007F1D04"/>
    <w:rsid w:val="007F2065"/>
    <w:rsid w:val="007F20E2"/>
    <w:rsid w:val="007F2110"/>
    <w:rsid w:val="007F238A"/>
    <w:rsid w:val="007F28B8"/>
    <w:rsid w:val="007F3783"/>
    <w:rsid w:val="007F3E9E"/>
    <w:rsid w:val="007F51B0"/>
    <w:rsid w:val="007F5490"/>
    <w:rsid w:val="007F5AE4"/>
    <w:rsid w:val="007F7E18"/>
    <w:rsid w:val="00800879"/>
    <w:rsid w:val="00800B7E"/>
    <w:rsid w:val="00800BCE"/>
    <w:rsid w:val="00801268"/>
    <w:rsid w:val="0080128F"/>
    <w:rsid w:val="00801F1D"/>
    <w:rsid w:val="008022DF"/>
    <w:rsid w:val="00802B34"/>
    <w:rsid w:val="00802E2C"/>
    <w:rsid w:val="00803267"/>
    <w:rsid w:val="008034A8"/>
    <w:rsid w:val="00803DD6"/>
    <w:rsid w:val="00805199"/>
    <w:rsid w:val="00805201"/>
    <w:rsid w:val="00805C89"/>
    <w:rsid w:val="00805D93"/>
    <w:rsid w:val="00805FB1"/>
    <w:rsid w:val="008068F9"/>
    <w:rsid w:val="00807B74"/>
    <w:rsid w:val="00811C1A"/>
    <w:rsid w:val="00812002"/>
    <w:rsid w:val="0081273D"/>
    <w:rsid w:val="0081348C"/>
    <w:rsid w:val="00813FDE"/>
    <w:rsid w:val="00815175"/>
    <w:rsid w:val="008176B0"/>
    <w:rsid w:val="00820E8B"/>
    <w:rsid w:val="00822290"/>
    <w:rsid w:val="008229FB"/>
    <w:rsid w:val="008237EE"/>
    <w:rsid w:val="00824293"/>
    <w:rsid w:val="00824661"/>
    <w:rsid w:val="00824A9E"/>
    <w:rsid w:val="00827DF4"/>
    <w:rsid w:val="00827F28"/>
    <w:rsid w:val="00830481"/>
    <w:rsid w:val="008306AD"/>
    <w:rsid w:val="0083247A"/>
    <w:rsid w:val="00834C1C"/>
    <w:rsid w:val="00835D8E"/>
    <w:rsid w:val="00836510"/>
    <w:rsid w:val="00837CBC"/>
    <w:rsid w:val="008419AE"/>
    <w:rsid w:val="00842DD0"/>
    <w:rsid w:val="008437F2"/>
    <w:rsid w:val="00843978"/>
    <w:rsid w:val="008455C9"/>
    <w:rsid w:val="00845F61"/>
    <w:rsid w:val="008509CF"/>
    <w:rsid w:val="0085115D"/>
    <w:rsid w:val="00851934"/>
    <w:rsid w:val="00852D4D"/>
    <w:rsid w:val="00852D94"/>
    <w:rsid w:val="00852F27"/>
    <w:rsid w:val="008536BB"/>
    <w:rsid w:val="00854BA4"/>
    <w:rsid w:val="00855620"/>
    <w:rsid w:val="00855AA1"/>
    <w:rsid w:val="00855DC5"/>
    <w:rsid w:val="00856470"/>
    <w:rsid w:val="00856E1A"/>
    <w:rsid w:val="00857276"/>
    <w:rsid w:val="00857351"/>
    <w:rsid w:val="0085740E"/>
    <w:rsid w:val="008574D3"/>
    <w:rsid w:val="00857515"/>
    <w:rsid w:val="00857C22"/>
    <w:rsid w:val="00857F02"/>
    <w:rsid w:val="00860877"/>
    <w:rsid w:val="00860972"/>
    <w:rsid w:val="00862218"/>
    <w:rsid w:val="00862EDE"/>
    <w:rsid w:val="008633F8"/>
    <w:rsid w:val="00863ACB"/>
    <w:rsid w:val="00864C81"/>
    <w:rsid w:val="00864D81"/>
    <w:rsid w:val="00866806"/>
    <w:rsid w:val="00867DE2"/>
    <w:rsid w:val="00867FE2"/>
    <w:rsid w:val="00870654"/>
    <w:rsid w:val="00870AA5"/>
    <w:rsid w:val="008710D9"/>
    <w:rsid w:val="00871162"/>
    <w:rsid w:val="008736DC"/>
    <w:rsid w:val="008749CB"/>
    <w:rsid w:val="00875F1E"/>
    <w:rsid w:val="00875FB0"/>
    <w:rsid w:val="008765AD"/>
    <w:rsid w:val="00877E08"/>
    <w:rsid w:val="00880B84"/>
    <w:rsid w:val="008810A4"/>
    <w:rsid w:val="00882248"/>
    <w:rsid w:val="00882D45"/>
    <w:rsid w:val="00884010"/>
    <w:rsid w:val="00884A86"/>
    <w:rsid w:val="00886280"/>
    <w:rsid w:val="008867D4"/>
    <w:rsid w:val="00886828"/>
    <w:rsid w:val="008868E1"/>
    <w:rsid w:val="0089338A"/>
    <w:rsid w:val="00894CC6"/>
    <w:rsid w:val="008A0A5A"/>
    <w:rsid w:val="008A13FE"/>
    <w:rsid w:val="008A1F3E"/>
    <w:rsid w:val="008A1F90"/>
    <w:rsid w:val="008A28CB"/>
    <w:rsid w:val="008A291C"/>
    <w:rsid w:val="008A2A2B"/>
    <w:rsid w:val="008A3854"/>
    <w:rsid w:val="008A3AF9"/>
    <w:rsid w:val="008A3BF9"/>
    <w:rsid w:val="008A4C1E"/>
    <w:rsid w:val="008A5CB3"/>
    <w:rsid w:val="008A63CF"/>
    <w:rsid w:val="008A64DB"/>
    <w:rsid w:val="008A69ED"/>
    <w:rsid w:val="008A70EB"/>
    <w:rsid w:val="008B09E8"/>
    <w:rsid w:val="008B21C9"/>
    <w:rsid w:val="008B239F"/>
    <w:rsid w:val="008B2786"/>
    <w:rsid w:val="008B39FC"/>
    <w:rsid w:val="008B5198"/>
    <w:rsid w:val="008B6317"/>
    <w:rsid w:val="008B6601"/>
    <w:rsid w:val="008B7925"/>
    <w:rsid w:val="008C09CA"/>
    <w:rsid w:val="008C175F"/>
    <w:rsid w:val="008C25EB"/>
    <w:rsid w:val="008C2CAB"/>
    <w:rsid w:val="008C3272"/>
    <w:rsid w:val="008C3637"/>
    <w:rsid w:val="008C44BB"/>
    <w:rsid w:val="008C547E"/>
    <w:rsid w:val="008C6FF0"/>
    <w:rsid w:val="008C7AEA"/>
    <w:rsid w:val="008D262D"/>
    <w:rsid w:val="008D36D9"/>
    <w:rsid w:val="008D37B3"/>
    <w:rsid w:val="008D3D47"/>
    <w:rsid w:val="008D3E3F"/>
    <w:rsid w:val="008D3E5A"/>
    <w:rsid w:val="008D4235"/>
    <w:rsid w:val="008D45AD"/>
    <w:rsid w:val="008D557B"/>
    <w:rsid w:val="008D58B6"/>
    <w:rsid w:val="008D6ADC"/>
    <w:rsid w:val="008D7929"/>
    <w:rsid w:val="008D7BA5"/>
    <w:rsid w:val="008E0F59"/>
    <w:rsid w:val="008E109A"/>
    <w:rsid w:val="008E11A2"/>
    <w:rsid w:val="008E186E"/>
    <w:rsid w:val="008E2270"/>
    <w:rsid w:val="008E2306"/>
    <w:rsid w:val="008E27A1"/>
    <w:rsid w:val="008E2D42"/>
    <w:rsid w:val="008E3279"/>
    <w:rsid w:val="008E329A"/>
    <w:rsid w:val="008E36D6"/>
    <w:rsid w:val="008E585E"/>
    <w:rsid w:val="008E65A8"/>
    <w:rsid w:val="008E6776"/>
    <w:rsid w:val="008E7334"/>
    <w:rsid w:val="008E7C04"/>
    <w:rsid w:val="008F04CC"/>
    <w:rsid w:val="008F0DDA"/>
    <w:rsid w:val="008F201C"/>
    <w:rsid w:val="008F2033"/>
    <w:rsid w:val="008F2064"/>
    <w:rsid w:val="008F36E1"/>
    <w:rsid w:val="008F4CCB"/>
    <w:rsid w:val="008F53F2"/>
    <w:rsid w:val="008F5524"/>
    <w:rsid w:val="008F6A94"/>
    <w:rsid w:val="008F6E79"/>
    <w:rsid w:val="008F748A"/>
    <w:rsid w:val="008F756D"/>
    <w:rsid w:val="008F7F9F"/>
    <w:rsid w:val="00900DE9"/>
    <w:rsid w:val="00901987"/>
    <w:rsid w:val="00901E66"/>
    <w:rsid w:val="00902E79"/>
    <w:rsid w:val="00903F70"/>
    <w:rsid w:val="00904355"/>
    <w:rsid w:val="00904814"/>
    <w:rsid w:val="0090615B"/>
    <w:rsid w:val="00906276"/>
    <w:rsid w:val="0090726A"/>
    <w:rsid w:val="00907DEE"/>
    <w:rsid w:val="00907E91"/>
    <w:rsid w:val="009108C6"/>
    <w:rsid w:val="009122FB"/>
    <w:rsid w:val="00913D59"/>
    <w:rsid w:val="009144C2"/>
    <w:rsid w:val="009158ED"/>
    <w:rsid w:val="009165DC"/>
    <w:rsid w:val="00917001"/>
    <w:rsid w:val="0091712F"/>
    <w:rsid w:val="00917B2E"/>
    <w:rsid w:val="00917ED2"/>
    <w:rsid w:val="00920E5E"/>
    <w:rsid w:val="00922F58"/>
    <w:rsid w:val="009234ED"/>
    <w:rsid w:val="00923542"/>
    <w:rsid w:val="0092457E"/>
    <w:rsid w:val="0092522E"/>
    <w:rsid w:val="00925D9B"/>
    <w:rsid w:val="00926E14"/>
    <w:rsid w:val="0092772B"/>
    <w:rsid w:val="0093025C"/>
    <w:rsid w:val="00930884"/>
    <w:rsid w:val="00930C64"/>
    <w:rsid w:val="00931579"/>
    <w:rsid w:val="00932270"/>
    <w:rsid w:val="00932643"/>
    <w:rsid w:val="0093268C"/>
    <w:rsid w:val="00932AFA"/>
    <w:rsid w:val="009333A9"/>
    <w:rsid w:val="0093478F"/>
    <w:rsid w:val="0093493D"/>
    <w:rsid w:val="009351D7"/>
    <w:rsid w:val="009359B6"/>
    <w:rsid w:val="00935BED"/>
    <w:rsid w:val="00936DF0"/>
    <w:rsid w:val="00937B37"/>
    <w:rsid w:val="00937B70"/>
    <w:rsid w:val="00940065"/>
    <w:rsid w:val="009406A2"/>
    <w:rsid w:val="0094160E"/>
    <w:rsid w:val="00941CFE"/>
    <w:rsid w:val="00945500"/>
    <w:rsid w:val="00946947"/>
    <w:rsid w:val="00947806"/>
    <w:rsid w:val="00950685"/>
    <w:rsid w:val="00950943"/>
    <w:rsid w:val="00951DD2"/>
    <w:rsid w:val="0095402E"/>
    <w:rsid w:val="009548B3"/>
    <w:rsid w:val="00955EF4"/>
    <w:rsid w:val="00956882"/>
    <w:rsid w:val="00956C4C"/>
    <w:rsid w:val="0095737F"/>
    <w:rsid w:val="00957B53"/>
    <w:rsid w:val="009602D6"/>
    <w:rsid w:val="009602E6"/>
    <w:rsid w:val="00960720"/>
    <w:rsid w:val="00963CC1"/>
    <w:rsid w:val="00964824"/>
    <w:rsid w:val="00964F95"/>
    <w:rsid w:val="009653B8"/>
    <w:rsid w:val="00966A66"/>
    <w:rsid w:val="009676FC"/>
    <w:rsid w:val="00967723"/>
    <w:rsid w:val="009708D5"/>
    <w:rsid w:val="00971A5D"/>
    <w:rsid w:val="00971C9C"/>
    <w:rsid w:val="009737C0"/>
    <w:rsid w:val="00973F76"/>
    <w:rsid w:val="00974346"/>
    <w:rsid w:val="00974384"/>
    <w:rsid w:val="00975847"/>
    <w:rsid w:val="00975C2D"/>
    <w:rsid w:val="0097641F"/>
    <w:rsid w:val="009767C8"/>
    <w:rsid w:val="00976DA4"/>
    <w:rsid w:val="00977029"/>
    <w:rsid w:val="0097751D"/>
    <w:rsid w:val="00980802"/>
    <w:rsid w:val="00980CED"/>
    <w:rsid w:val="009817A0"/>
    <w:rsid w:val="00981B4C"/>
    <w:rsid w:val="00981E66"/>
    <w:rsid w:val="009822FF"/>
    <w:rsid w:val="009828C3"/>
    <w:rsid w:val="00983503"/>
    <w:rsid w:val="009845EC"/>
    <w:rsid w:val="00984C42"/>
    <w:rsid w:val="00984E90"/>
    <w:rsid w:val="0098556C"/>
    <w:rsid w:val="00985734"/>
    <w:rsid w:val="00985AC7"/>
    <w:rsid w:val="00985D83"/>
    <w:rsid w:val="00985E94"/>
    <w:rsid w:val="00985EF3"/>
    <w:rsid w:val="0098692C"/>
    <w:rsid w:val="0098762E"/>
    <w:rsid w:val="009876BE"/>
    <w:rsid w:val="009902AE"/>
    <w:rsid w:val="0099066E"/>
    <w:rsid w:val="009907D6"/>
    <w:rsid w:val="00990907"/>
    <w:rsid w:val="00990B7F"/>
    <w:rsid w:val="0099138C"/>
    <w:rsid w:val="00991975"/>
    <w:rsid w:val="00991F58"/>
    <w:rsid w:val="0099227D"/>
    <w:rsid w:val="009936A2"/>
    <w:rsid w:val="009943C5"/>
    <w:rsid w:val="009954D2"/>
    <w:rsid w:val="00995633"/>
    <w:rsid w:val="009957AC"/>
    <w:rsid w:val="00996038"/>
    <w:rsid w:val="00996834"/>
    <w:rsid w:val="00997E1E"/>
    <w:rsid w:val="009A0127"/>
    <w:rsid w:val="009A0732"/>
    <w:rsid w:val="009A21C1"/>
    <w:rsid w:val="009A470A"/>
    <w:rsid w:val="009A4DBD"/>
    <w:rsid w:val="009A55B9"/>
    <w:rsid w:val="009A654F"/>
    <w:rsid w:val="009A6B49"/>
    <w:rsid w:val="009A7532"/>
    <w:rsid w:val="009B1717"/>
    <w:rsid w:val="009B1C6C"/>
    <w:rsid w:val="009B2587"/>
    <w:rsid w:val="009B2AAE"/>
    <w:rsid w:val="009B2B46"/>
    <w:rsid w:val="009B360B"/>
    <w:rsid w:val="009B40D4"/>
    <w:rsid w:val="009B4896"/>
    <w:rsid w:val="009B53D2"/>
    <w:rsid w:val="009B548C"/>
    <w:rsid w:val="009B5B45"/>
    <w:rsid w:val="009B7528"/>
    <w:rsid w:val="009B7BED"/>
    <w:rsid w:val="009B7CA4"/>
    <w:rsid w:val="009C11A4"/>
    <w:rsid w:val="009C1598"/>
    <w:rsid w:val="009C1D33"/>
    <w:rsid w:val="009C2024"/>
    <w:rsid w:val="009C2CAF"/>
    <w:rsid w:val="009C36EB"/>
    <w:rsid w:val="009C426C"/>
    <w:rsid w:val="009C69F8"/>
    <w:rsid w:val="009C713F"/>
    <w:rsid w:val="009D0678"/>
    <w:rsid w:val="009D08A1"/>
    <w:rsid w:val="009D1436"/>
    <w:rsid w:val="009D20F6"/>
    <w:rsid w:val="009D32DD"/>
    <w:rsid w:val="009D3F79"/>
    <w:rsid w:val="009D449C"/>
    <w:rsid w:val="009D47FF"/>
    <w:rsid w:val="009D4A7B"/>
    <w:rsid w:val="009D5943"/>
    <w:rsid w:val="009D628F"/>
    <w:rsid w:val="009D6386"/>
    <w:rsid w:val="009D6539"/>
    <w:rsid w:val="009E04BE"/>
    <w:rsid w:val="009E0CB0"/>
    <w:rsid w:val="009E2363"/>
    <w:rsid w:val="009E250E"/>
    <w:rsid w:val="009E2767"/>
    <w:rsid w:val="009E3D33"/>
    <w:rsid w:val="009E426B"/>
    <w:rsid w:val="009E5193"/>
    <w:rsid w:val="009E5BCE"/>
    <w:rsid w:val="009E68D3"/>
    <w:rsid w:val="009E7D84"/>
    <w:rsid w:val="009F091D"/>
    <w:rsid w:val="009F0C98"/>
    <w:rsid w:val="009F1F01"/>
    <w:rsid w:val="009F1F17"/>
    <w:rsid w:val="009F2319"/>
    <w:rsid w:val="009F2E24"/>
    <w:rsid w:val="009F30C5"/>
    <w:rsid w:val="009F3E29"/>
    <w:rsid w:val="009F604D"/>
    <w:rsid w:val="009F7B8C"/>
    <w:rsid w:val="00A004EF"/>
    <w:rsid w:val="00A005EA"/>
    <w:rsid w:val="00A0097E"/>
    <w:rsid w:val="00A00C63"/>
    <w:rsid w:val="00A01728"/>
    <w:rsid w:val="00A021BE"/>
    <w:rsid w:val="00A023A6"/>
    <w:rsid w:val="00A03690"/>
    <w:rsid w:val="00A03935"/>
    <w:rsid w:val="00A046E6"/>
    <w:rsid w:val="00A04803"/>
    <w:rsid w:val="00A0506A"/>
    <w:rsid w:val="00A054C4"/>
    <w:rsid w:val="00A06154"/>
    <w:rsid w:val="00A06FF4"/>
    <w:rsid w:val="00A07329"/>
    <w:rsid w:val="00A07515"/>
    <w:rsid w:val="00A07865"/>
    <w:rsid w:val="00A07CDA"/>
    <w:rsid w:val="00A07F45"/>
    <w:rsid w:val="00A100DB"/>
    <w:rsid w:val="00A1094D"/>
    <w:rsid w:val="00A10BB3"/>
    <w:rsid w:val="00A1174A"/>
    <w:rsid w:val="00A11AEE"/>
    <w:rsid w:val="00A11B39"/>
    <w:rsid w:val="00A12A5B"/>
    <w:rsid w:val="00A15C00"/>
    <w:rsid w:val="00A16527"/>
    <w:rsid w:val="00A168BA"/>
    <w:rsid w:val="00A16CDA"/>
    <w:rsid w:val="00A16DEE"/>
    <w:rsid w:val="00A16FD4"/>
    <w:rsid w:val="00A2004F"/>
    <w:rsid w:val="00A206C6"/>
    <w:rsid w:val="00A21595"/>
    <w:rsid w:val="00A21644"/>
    <w:rsid w:val="00A21E88"/>
    <w:rsid w:val="00A22122"/>
    <w:rsid w:val="00A224C9"/>
    <w:rsid w:val="00A22890"/>
    <w:rsid w:val="00A23B20"/>
    <w:rsid w:val="00A23C24"/>
    <w:rsid w:val="00A241DC"/>
    <w:rsid w:val="00A247E4"/>
    <w:rsid w:val="00A25036"/>
    <w:rsid w:val="00A2548A"/>
    <w:rsid w:val="00A25FCB"/>
    <w:rsid w:val="00A262B6"/>
    <w:rsid w:val="00A30066"/>
    <w:rsid w:val="00A320DF"/>
    <w:rsid w:val="00A32B1A"/>
    <w:rsid w:val="00A338D1"/>
    <w:rsid w:val="00A34068"/>
    <w:rsid w:val="00A34F80"/>
    <w:rsid w:val="00A35048"/>
    <w:rsid w:val="00A367A9"/>
    <w:rsid w:val="00A36B1B"/>
    <w:rsid w:val="00A36E40"/>
    <w:rsid w:val="00A36EE9"/>
    <w:rsid w:val="00A36FC2"/>
    <w:rsid w:val="00A37EF2"/>
    <w:rsid w:val="00A40523"/>
    <w:rsid w:val="00A40A64"/>
    <w:rsid w:val="00A41CB4"/>
    <w:rsid w:val="00A4363E"/>
    <w:rsid w:val="00A43E42"/>
    <w:rsid w:val="00A440DE"/>
    <w:rsid w:val="00A44AF9"/>
    <w:rsid w:val="00A44BF4"/>
    <w:rsid w:val="00A44D3A"/>
    <w:rsid w:val="00A46EC7"/>
    <w:rsid w:val="00A47038"/>
    <w:rsid w:val="00A47141"/>
    <w:rsid w:val="00A518CE"/>
    <w:rsid w:val="00A53FBB"/>
    <w:rsid w:val="00A54FDB"/>
    <w:rsid w:val="00A55D40"/>
    <w:rsid w:val="00A60891"/>
    <w:rsid w:val="00A625CC"/>
    <w:rsid w:val="00A62810"/>
    <w:rsid w:val="00A62907"/>
    <w:rsid w:val="00A63B72"/>
    <w:rsid w:val="00A65179"/>
    <w:rsid w:val="00A66997"/>
    <w:rsid w:val="00A67F79"/>
    <w:rsid w:val="00A712EB"/>
    <w:rsid w:val="00A72050"/>
    <w:rsid w:val="00A7217A"/>
    <w:rsid w:val="00A74354"/>
    <w:rsid w:val="00A74652"/>
    <w:rsid w:val="00A7547B"/>
    <w:rsid w:val="00A75B71"/>
    <w:rsid w:val="00A75C31"/>
    <w:rsid w:val="00A75FFA"/>
    <w:rsid w:val="00A7611B"/>
    <w:rsid w:val="00A766F7"/>
    <w:rsid w:val="00A768C7"/>
    <w:rsid w:val="00A769F6"/>
    <w:rsid w:val="00A77476"/>
    <w:rsid w:val="00A80196"/>
    <w:rsid w:val="00A80480"/>
    <w:rsid w:val="00A8049E"/>
    <w:rsid w:val="00A8072F"/>
    <w:rsid w:val="00A81441"/>
    <w:rsid w:val="00A835B0"/>
    <w:rsid w:val="00A858A4"/>
    <w:rsid w:val="00A86BCA"/>
    <w:rsid w:val="00A86F72"/>
    <w:rsid w:val="00A90154"/>
    <w:rsid w:val="00A90282"/>
    <w:rsid w:val="00A90A24"/>
    <w:rsid w:val="00A91564"/>
    <w:rsid w:val="00A9172E"/>
    <w:rsid w:val="00A928EE"/>
    <w:rsid w:val="00A92B18"/>
    <w:rsid w:val="00A92B77"/>
    <w:rsid w:val="00A93793"/>
    <w:rsid w:val="00A94AF1"/>
    <w:rsid w:val="00A95B42"/>
    <w:rsid w:val="00A9630C"/>
    <w:rsid w:val="00A96829"/>
    <w:rsid w:val="00A96FFE"/>
    <w:rsid w:val="00A9737E"/>
    <w:rsid w:val="00A97540"/>
    <w:rsid w:val="00A97688"/>
    <w:rsid w:val="00A97EC6"/>
    <w:rsid w:val="00AA1855"/>
    <w:rsid w:val="00AA19F0"/>
    <w:rsid w:val="00AA1F3C"/>
    <w:rsid w:val="00AA218A"/>
    <w:rsid w:val="00AA2511"/>
    <w:rsid w:val="00AA27D2"/>
    <w:rsid w:val="00AA2998"/>
    <w:rsid w:val="00AA2A85"/>
    <w:rsid w:val="00AA2ADE"/>
    <w:rsid w:val="00AA34D3"/>
    <w:rsid w:val="00AA38BC"/>
    <w:rsid w:val="00AA526A"/>
    <w:rsid w:val="00AA5D93"/>
    <w:rsid w:val="00AA612C"/>
    <w:rsid w:val="00AA6A08"/>
    <w:rsid w:val="00AA6A42"/>
    <w:rsid w:val="00AA789E"/>
    <w:rsid w:val="00AB266B"/>
    <w:rsid w:val="00AB2F44"/>
    <w:rsid w:val="00AB43A4"/>
    <w:rsid w:val="00AB49FB"/>
    <w:rsid w:val="00AB54E4"/>
    <w:rsid w:val="00AB6577"/>
    <w:rsid w:val="00AB6807"/>
    <w:rsid w:val="00AB6862"/>
    <w:rsid w:val="00AB6E6F"/>
    <w:rsid w:val="00AC1B82"/>
    <w:rsid w:val="00AC262D"/>
    <w:rsid w:val="00AC459C"/>
    <w:rsid w:val="00AC46CD"/>
    <w:rsid w:val="00AC6D09"/>
    <w:rsid w:val="00AD1C7D"/>
    <w:rsid w:val="00AD2632"/>
    <w:rsid w:val="00AD3E0E"/>
    <w:rsid w:val="00AD492E"/>
    <w:rsid w:val="00AD5866"/>
    <w:rsid w:val="00AD617E"/>
    <w:rsid w:val="00AD6885"/>
    <w:rsid w:val="00AD71E3"/>
    <w:rsid w:val="00AD7622"/>
    <w:rsid w:val="00AD77D0"/>
    <w:rsid w:val="00AD793C"/>
    <w:rsid w:val="00AE13C0"/>
    <w:rsid w:val="00AE239C"/>
    <w:rsid w:val="00AE2952"/>
    <w:rsid w:val="00AE2B13"/>
    <w:rsid w:val="00AE2C04"/>
    <w:rsid w:val="00AE3F36"/>
    <w:rsid w:val="00AE662A"/>
    <w:rsid w:val="00AE787F"/>
    <w:rsid w:val="00AE7ABA"/>
    <w:rsid w:val="00AF1562"/>
    <w:rsid w:val="00AF18A6"/>
    <w:rsid w:val="00AF20A8"/>
    <w:rsid w:val="00AF21AF"/>
    <w:rsid w:val="00AF28C9"/>
    <w:rsid w:val="00AF2F0E"/>
    <w:rsid w:val="00AF483E"/>
    <w:rsid w:val="00AF5D96"/>
    <w:rsid w:val="00AF68FE"/>
    <w:rsid w:val="00AF7358"/>
    <w:rsid w:val="00AF73B6"/>
    <w:rsid w:val="00B006F5"/>
    <w:rsid w:val="00B00704"/>
    <w:rsid w:val="00B01658"/>
    <w:rsid w:val="00B01DB9"/>
    <w:rsid w:val="00B01FFF"/>
    <w:rsid w:val="00B05EB7"/>
    <w:rsid w:val="00B06443"/>
    <w:rsid w:val="00B06CD1"/>
    <w:rsid w:val="00B07204"/>
    <w:rsid w:val="00B07D4F"/>
    <w:rsid w:val="00B10197"/>
    <w:rsid w:val="00B103FF"/>
    <w:rsid w:val="00B10A63"/>
    <w:rsid w:val="00B11C5F"/>
    <w:rsid w:val="00B12256"/>
    <w:rsid w:val="00B150A5"/>
    <w:rsid w:val="00B155DC"/>
    <w:rsid w:val="00B16AB1"/>
    <w:rsid w:val="00B202D1"/>
    <w:rsid w:val="00B21636"/>
    <w:rsid w:val="00B21B3C"/>
    <w:rsid w:val="00B237D6"/>
    <w:rsid w:val="00B23AA5"/>
    <w:rsid w:val="00B23B29"/>
    <w:rsid w:val="00B23D72"/>
    <w:rsid w:val="00B24869"/>
    <w:rsid w:val="00B257DF"/>
    <w:rsid w:val="00B26155"/>
    <w:rsid w:val="00B2664E"/>
    <w:rsid w:val="00B2692C"/>
    <w:rsid w:val="00B275B6"/>
    <w:rsid w:val="00B27739"/>
    <w:rsid w:val="00B31599"/>
    <w:rsid w:val="00B32232"/>
    <w:rsid w:val="00B32D08"/>
    <w:rsid w:val="00B34206"/>
    <w:rsid w:val="00B34A54"/>
    <w:rsid w:val="00B362C4"/>
    <w:rsid w:val="00B36780"/>
    <w:rsid w:val="00B3720D"/>
    <w:rsid w:val="00B37AB4"/>
    <w:rsid w:val="00B401D7"/>
    <w:rsid w:val="00B40C8B"/>
    <w:rsid w:val="00B41303"/>
    <w:rsid w:val="00B41E04"/>
    <w:rsid w:val="00B442F4"/>
    <w:rsid w:val="00B458A9"/>
    <w:rsid w:val="00B47597"/>
    <w:rsid w:val="00B47F63"/>
    <w:rsid w:val="00B5192D"/>
    <w:rsid w:val="00B52203"/>
    <w:rsid w:val="00B53839"/>
    <w:rsid w:val="00B53B99"/>
    <w:rsid w:val="00B54422"/>
    <w:rsid w:val="00B5567C"/>
    <w:rsid w:val="00B570C9"/>
    <w:rsid w:val="00B57C2C"/>
    <w:rsid w:val="00B60FF0"/>
    <w:rsid w:val="00B6141C"/>
    <w:rsid w:val="00B61626"/>
    <w:rsid w:val="00B61C50"/>
    <w:rsid w:val="00B624A7"/>
    <w:rsid w:val="00B62521"/>
    <w:rsid w:val="00B62664"/>
    <w:rsid w:val="00B626C4"/>
    <w:rsid w:val="00B626CD"/>
    <w:rsid w:val="00B63359"/>
    <w:rsid w:val="00B63F7F"/>
    <w:rsid w:val="00B6446B"/>
    <w:rsid w:val="00B64F76"/>
    <w:rsid w:val="00B656AF"/>
    <w:rsid w:val="00B65CC0"/>
    <w:rsid w:val="00B65E62"/>
    <w:rsid w:val="00B669EE"/>
    <w:rsid w:val="00B671D4"/>
    <w:rsid w:val="00B675A3"/>
    <w:rsid w:val="00B67C8C"/>
    <w:rsid w:val="00B67ED0"/>
    <w:rsid w:val="00B67F9D"/>
    <w:rsid w:val="00B70250"/>
    <w:rsid w:val="00B70DAB"/>
    <w:rsid w:val="00B72D82"/>
    <w:rsid w:val="00B7393F"/>
    <w:rsid w:val="00B73BF2"/>
    <w:rsid w:val="00B758E9"/>
    <w:rsid w:val="00B760B6"/>
    <w:rsid w:val="00B761C8"/>
    <w:rsid w:val="00B766F9"/>
    <w:rsid w:val="00B7742F"/>
    <w:rsid w:val="00B809CB"/>
    <w:rsid w:val="00B80E67"/>
    <w:rsid w:val="00B82067"/>
    <w:rsid w:val="00B840BF"/>
    <w:rsid w:val="00B851C9"/>
    <w:rsid w:val="00B85570"/>
    <w:rsid w:val="00B86736"/>
    <w:rsid w:val="00B86D28"/>
    <w:rsid w:val="00B86FB3"/>
    <w:rsid w:val="00B8763D"/>
    <w:rsid w:val="00B87F0B"/>
    <w:rsid w:val="00B90318"/>
    <w:rsid w:val="00B910C9"/>
    <w:rsid w:val="00B9170A"/>
    <w:rsid w:val="00B928D7"/>
    <w:rsid w:val="00B937C6"/>
    <w:rsid w:val="00B93C96"/>
    <w:rsid w:val="00B94031"/>
    <w:rsid w:val="00B94E49"/>
    <w:rsid w:val="00BA092F"/>
    <w:rsid w:val="00BA0DC3"/>
    <w:rsid w:val="00BA1100"/>
    <w:rsid w:val="00BA123A"/>
    <w:rsid w:val="00BA3A7B"/>
    <w:rsid w:val="00BA3BD7"/>
    <w:rsid w:val="00BA3BEE"/>
    <w:rsid w:val="00BA3DBC"/>
    <w:rsid w:val="00BA4785"/>
    <w:rsid w:val="00BA58B7"/>
    <w:rsid w:val="00BA5B1F"/>
    <w:rsid w:val="00BA687F"/>
    <w:rsid w:val="00BA6B6C"/>
    <w:rsid w:val="00BA7539"/>
    <w:rsid w:val="00BB0AF5"/>
    <w:rsid w:val="00BB0FA0"/>
    <w:rsid w:val="00BB0FC1"/>
    <w:rsid w:val="00BB172C"/>
    <w:rsid w:val="00BB2BE6"/>
    <w:rsid w:val="00BB33A0"/>
    <w:rsid w:val="00BB35AD"/>
    <w:rsid w:val="00BB51C2"/>
    <w:rsid w:val="00BB521B"/>
    <w:rsid w:val="00BB5231"/>
    <w:rsid w:val="00BB642F"/>
    <w:rsid w:val="00BB71B4"/>
    <w:rsid w:val="00BC0073"/>
    <w:rsid w:val="00BC01E3"/>
    <w:rsid w:val="00BC0274"/>
    <w:rsid w:val="00BC02A0"/>
    <w:rsid w:val="00BC0E2F"/>
    <w:rsid w:val="00BC117E"/>
    <w:rsid w:val="00BC263B"/>
    <w:rsid w:val="00BC29E2"/>
    <w:rsid w:val="00BC3990"/>
    <w:rsid w:val="00BC4D2D"/>
    <w:rsid w:val="00BC7122"/>
    <w:rsid w:val="00BD171D"/>
    <w:rsid w:val="00BD281A"/>
    <w:rsid w:val="00BD62C7"/>
    <w:rsid w:val="00BD6962"/>
    <w:rsid w:val="00BD696A"/>
    <w:rsid w:val="00BD70A5"/>
    <w:rsid w:val="00BD7733"/>
    <w:rsid w:val="00BE2010"/>
    <w:rsid w:val="00BE29BC"/>
    <w:rsid w:val="00BE353E"/>
    <w:rsid w:val="00BE3B97"/>
    <w:rsid w:val="00BE3D8A"/>
    <w:rsid w:val="00BE4B99"/>
    <w:rsid w:val="00BE4C3C"/>
    <w:rsid w:val="00BE501E"/>
    <w:rsid w:val="00BE539F"/>
    <w:rsid w:val="00BE5A22"/>
    <w:rsid w:val="00BE7FEE"/>
    <w:rsid w:val="00BF03E0"/>
    <w:rsid w:val="00BF08D5"/>
    <w:rsid w:val="00BF09D7"/>
    <w:rsid w:val="00BF0C11"/>
    <w:rsid w:val="00BF1190"/>
    <w:rsid w:val="00BF11B1"/>
    <w:rsid w:val="00BF1CC7"/>
    <w:rsid w:val="00BF2473"/>
    <w:rsid w:val="00BF2FC5"/>
    <w:rsid w:val="00BF32AF"/>
    <w:rsid w:val="00BF37BD"/>
    <w:rsid w:val="00BF4E27"/>
    <w:rsid w:val="00BF54AB"/>
    <w:rsid w:val="00BF57F8"/>
    <w:rsid w:val="00BF7A31"/>
    <w:rsid w:val="00BF7EB8"/>
    <w:rsid w:val="00BF7F9A"/>
    <w:rsid w:val="00C03572"/>
    <w:rsid w:val="00C05EC5"/>
    <w:rsid w:val="00C07202"/>
    <w:rsid w:val="00C07407"/>
    <w:rsid w:val="00C106F1"/>
    <w:rsid w:val="00C107E0"/>
    <w:rsid w:val="00C10844"/>
    <w:rsid w:val="00C116FA"/>
    <w:rsid w:val="00C1174F"/>
    <w:rsid w:val="00C123E8"/>
    <w:rsid w:val="00C128E2"/>
    <w:rsid w:val="00C13137"/>
    <w:rsid w:val="00C13A13"/>
    <w:rsid w:val="00C14833"/>
    <w:rsid w:val="00C14DB2"/>
    <w:rsid w:val="00C1509D"/>
    <w:rsid w:val="00C15467"/>
    <w:rsid w:val="00C157FB"/>
    <w:rsid w:val="00C1701B"/>
    <w:rsid w:val="00C1772D"/>
    <w:rsid w:val="00C208AF"/>
    <w:rsid w:val="00C20FA0"/>
    <w:rsid w:val="00C21270"/>
    <w:rsid w:val="00C2196A"/>
    <w:rsid w:val="00C246DE"/>
    <w:rsid w:val="00C266B2"/>
    <w:rsid w:val="00C268B3"/>
    <w:rsid w:val="00C27AD3"/>
    <w:rsid w:val="00C27D0E"/>
    <w:rsid w:val="00C30237"/>
    <w:rsid w:val="00C308CC"/>
    <w:rsid w:val="00C31348"/>
    <w:rsid w:val="00C31F94"/>
    <w:rsid w:val="00C3261D"/>
    <w:rsid w:val="00C32A3D"/>
    <w:rsid w:val="00C32C8B"/>
    <w:rsid w:val="00C32E44"/>
    <w:rsid w:val="00C3401C"/>
    <w:rsid w:val="00C34549"/>
    <w:rsid w:val="00C35C46"/>
    <w:rsid w:val="00C36E22"/>
    <w:rsid w:val="00C37B14"/>
    <w:rsid w:val="00C37FDF"/>
    <w:rsid w:val="00C40472"/>
    <w:rsid w:val="00C41BDE"/>
    <w:rsid w:val="00C4233C"/>
    <w:rsid w:val="00C42A50"/>
    <w:rsid w:val="00C43AAE"/>
    <w:rsid w:val="00C44382"/>
    <w:rsid w:val="00C444B0"/>
    <w:rsid w:val="00C44697"/>
    <w:rsid w:val="00C44A80"/>
    <w:rsid w:val="00C45D72"/>
    <w:rsid w:val="00C46379"/>
    <w:rsid w:val="00C46B3F"/>
    <w:rsid w:val="00C47770"/>
    <w:rsid w:val="00C50832"/>
    <w:rsid w:val="00C51A93"/>
    <w:rsid w:val="00C51E52"/>
    <w:rsid w:val="00C53636"/>
    <w:rsid w:val="00C536FA"/>
    <w:rsid w:val="00C539A5"/>
    <w:rsid w:val="00C53ACD"/>
    <w:rsid w:val="00C54223"/>
    <w:rsid w:val="00C5442E"/>
    <w:rsid w:val="00C54813"/>
    <w:rsid w:val="00C5482B"/>
    <w:rsid w:val="00C554FF"/>
    <w:rsid w:val="00C55E7A"/>
    <w:rsid w:val="00C55FB8"/>
    <w:rsid w:val="00C56055"/>
    <w:rsid w:val="00C5680A"/>
    <w:rsid w:val="00C56BC7"/>
    <w:rsid w:val="00C56DF8"/>
    <w:rsid w:val="00C6042F"/>
    <w:rsid w:val="00C60A95"/>
    <w:rsid w:val="00C60DE7"/>
    <w:rsid w:val="00C6119D"/>
    <w:rsid w:val="00C628AA"/>
    <w:rsid w:val="00C6350A"/>
    <w:rsid w:val="00C63590"/>
    <w:rsid w:val="00C64489"/>
    <w:rsid w:val="00C64D05"/>
    <w:rsid w:val="00C64DD7"/>
    <w:rsid w:val="00C6590D"/>
    <w:rsid w:val="00C65CA4"/>
    <w:rsid w:val="00C66765"/>
    <w:rsid w:val="00C66824"/>
    <w:rsid w:val="00C66B1F"/>
    <w:rsid w:val="00C700D2"/>
    <w:rsid w:val="00C71451"/>
    <w:rsid w:val="00C71790"/>
    <w:rsid w:val="00C72C1A"/>
    <w:rsid w:val="00C74B84"/>
    <w:rsid w:val="00C74C81"/>
    <w:rsid w:val="00C75B8A"/>
    <w:rsid w:val="00C75CAD"/>
    <w:rsid w:val="00C766F3"/>
    <w:rsid w:val="00C7777B"/>
    <w:rsid w:val="00C777BD"/>
    <w:rsid w:val="00C779E9"/>
    <w:rsid w:val="00C80922"/>
    <w:rsid w:val="00C8092D"/>
    <w:rsid w:val="00C81427"/>
    <w:rsid w:val="00C82766"/>
    <w:rsid w:val="00C83244"/>
    <w:rsid w:val="00C83E5C"/>
    <w:rsid w:val="00C84030"/>
    <w:rsid w:val="00C844F8"/>
    <w:rsid w:val="00C84A60"/>
    <w:rsid w:val="00C86316"/>
    <w:rsid w:val="00C8644B"/>
    <w:rsid w:val="00C865F5"/>
    <w:rsid w:val="00C87186"/>
    <w:rsid w:val="00C872E4"/>
    <w:rsid w:val="00C87488"/>
    <w:rsid w:val="00C90506"/>
    <w:rsid w:val="00C9103B"/>
    <w:rsid w:val="00C92B64"/>
    <w:rsid w:val="00C93A6B"/>
    <w:rsid w:val="00C93AB2"/>
    <w:rsid w:val="00C948C1"/>
    <w:rsid w:val="00C94BC0"/>
    <w:rsid w:val="00C9580F"/>
    <w:rsid w:val="00C959C9"/>
    <w:rsid w:val="00C95FEA"/>
    <w:rsid w:val="00C9691F"/>
    <w:rsid w:val="00C96DB6"/>
    <w:rsid w:val="00C97953"/>
    <w:rsid w:val="00CA0338"/>
    <w:rsid w:val="00CA03DF"/>
    <w:rsid w:val="00CA0698"/>
    <w:rsid w:val="00CA0DB0"/>
    <w:rsid w:val="00CA0F62"/>
    <w:rsid w:val="00CA1056"/>
    <w:rsid w:val="00CA276A"/>
    <w:rsid w:val="00CA2CE7"/>
    <w:rsid w:val="00CA396C"/>
    <w:rsid w:val="00CA5E1B"/>
    <w:rsid w:val="00CA5FD7"/>
    <w:rsid w:val="00CA6B6D"/>
    <w:rsid w:val="00CB04EA"/>
    <w:rsid w:val="00CB0650"/>
    <w:rsid w:val="00CB0ADF"/>
    <w:rsid w:val="00CB1289"/>
    <w:rsid w:val="00CB2CFB"/>
    <w:rsid w:val="00CB2D2A"/>
    <w:rsid w:val="00CB3C75"/>
    <w:rsid w:val="00CB3E07"/>
    <w:rsid w:val="00CB3FEA"/>
    <w:rsid w:val="00CB449C"/>
    <w:rsid w:val="00CB4D29"/>
    <w:rsid w:val="00CB6C9A"/>
    <w:rsid w:val="00CB7C00"/>
    <w:rsid w:val="00CC0F58"/>
    <w:rsid w:val="00CC146C"/>
    <w:rsid w:val="00CC16CD"/>
    <w:rsid w:val="00CC1C9E"/>
    <w:rsid w:val="00CC22DF"/>
    <w:rsid w:val="00CC246D"/>
    <w:rsid w:val="00CC4407"/>
    <w:rsid w:val="00CC4AA1"/>
    <w:rsid w:val="00CC4BFB"/>
    <w:rsid w:val="00CC4E3B"/>
    <w:rsid w:val="00CC5F16"/>
    <w:rsid w:val="00CC6AE9"/>
    <w:rsid w:val="00CC71CE"/>
    <w:rsid w:val="00CC7B22"/>
    <w:rsid w:val="00CD04D2"/>
    <w:rsid w:val="00CD090A"/>
    <w:rsid w:val="00CD116E"/>
    <w:rsid w:val="00CD195A"/>
    <w:rsid w:val="00CD2B4C"/>
    <w:rsid w:val="00CD2DCF"/>
    <w:rsid w:val="00CD3CFA"/>
    <w:rsid w:val="00CD555A"/>
    <w:rsid w:val="00CD6000"/>
    <w:rsid w:val="00CD6471"/>
    <w:rsid w:val="00CD7640"/>
    <w:rsid w:val="00CE02C2"/>
    <w:rsid w:val="00CE0C0F"/>
    <w:rsid w:val="00CE182C"/>
    <w:rsid w:val="00CE2324"/>
    <w:rsid w:val="00CE4568"/>
    <w:rsid w:val="00CE4A23"/>
    <w:rsid w:val="00CE4BCC"/>
    <w:rsid w:val="00CE4C88"/>
    <w:rsid w:val="00CE50D1"/>
    <w:rsid w:val="00CE6215"/>
    <w:rsid w:val="00CE64F7"/>
    <w:rsid w:val="00CE6A0B"/>
    <w:rsid w:val="00CE6EC3"/>
    <w:rsid w:val="00CE7484"/>
    <w:rsid w:val="00CE7F57"/>
    <w:rsid w:val="00CF0B57"/>
    <w:rsid w:val="00CF380B"/>
    <w:rsid w:val="00CF3EE8"/>
    <w:rsid w:val="00CF53BB"/>
    <w:rsid w:val="00CF5571"/>
    <w:rsid w:val="00CF57F1"/>
    <w:rsid w:val="00CF5CAC"/>
    <w:rsid w:val="00CF6E36"/>
    <w:rsid w:val="00CF6FA7"/>
    <w:rsid w:val="00D00ABA"/>
    <w:rsid w:val="00D0168C"/>
    <w:rsid w:val="00D01998"/>
    <w:rsid w:val="00D01E99"/>
    <w:rsid w:val="00D01EE3"/>
    <w:rsid w:val="00D037DF"/>
    <w:rsid w:val="00D03886"/>
    <w:rsid w:val="00D03C85"/>
    <w:rsid w:val="00D054B1"/>
    <w:rsid w:val="00D06419"/>
    <w:rsid w:val="00D0710F"/>
    <w:rsid w:val="00D078DC"/>
    <w:rsid w:val="00D078DE"/>
    <w:rsid w:val="00D078FA"/>
    <w:rsid w:val="00D103B5"/>
    <w:rsid w:val="00D11762"/>
    <w:rsid w:val="00D12680"/>
    <w:rsid w:val="00D13746"/>
    <w:rsid w:val="00D1480C"/>
    <w:rsid w:val="00D14AE5"/>
    <w:rsid w:val="00D15149"/>
    <w:rsid w:val="00D155DA"/>
    <w:rsid w:val="00D15BC1"/>
    <w:rsid w:val="00D16EEC"/>
    <w:rsid w:val="00D17D14"/>
    <w:rsid w:val="00D2119F"/>
    <w:rsid w:val="00D21657"/>
    <w:rsid w:val="00D220A1"/>
    <w:rsid w:val="00D22443"/>
    <w:rsid w:val="00D23182"/>
    <w:rsid w:val="00D234B5"/>
    <w:rsid w:val="00D24AA7"/>
    <w:rsid w:val="00D2537B"/>
    <w:rsid w:val="00D3023D"/>
    <w:rsid w:val="00D30413"/>
    <w:rsid w:val="00D30D80"/>
    <w:rsid w:val="00D30F71"/>
    <w:rsid w:val="00D3123B"/>
    <w:rsid w:val="00D312D1"/>
    <w:rsid w:val="00D314B2"/>
    <w:rsid w:val="00D31A89"/>
    <w:rsid w:val="00D322A7"/>
    <w:rsid w:val="00D32DA4"/>
    <w:rsid w:val="00D34B7C"/>
    <w:rsid w:val="00D34E55"/>
    <w:rsid w:val="00D35499"/>
    <w:rsid w:val="00D35DED"/>
    <w:rsid w:val="00D367C7"/>
    <w:rsid w:val="00D40CD8"/>
    <w:rsid w:val="00D41FCE"/>
    <w:rsid w:val="00D42568"/>
    <w:rsid w:val="00D4292C"/>
    <w:rsid w:val="00D42ACD"/>
    <w:rsid w:val="00D43AA4"/>
    <w:rsid w:val="00D43E2A"/>
    <w:rsid w:val="00D440AB"/>
    <w:rsid w:val="00D46048"/>
    <w:rsid w:val="00D463CB"/>
    <w:rsid w:val="00D46D84"/>
    <w:rsid w:val="00D4786B"/>
    <w:rsid w:val="00D47AEE"/>
    <w:rsid w:val="00D47C76"/>
    <w:rsid w:val="00D500E8"/>
    <w:rsid w:val="00D50A5D"/>
    <w:rsid w:val="00D50F7E"/>
    <w:rsid w:val="00D51304"/>
    <w:rsid w:val="00D55646"/>
    <w:rsid w:val="00D55E80"/>
    <w:rsid w:val="00D5620C"/>
    <w:rsid w:val="00D56892"/>
    <w:rsid w:val="00D56C4F"/>
    <w:rsid w:val="00D60874"/>
    <w:rsid w:val="00D61223"/>
    <w:rsid w:val="00D620D0"/>
    <w:rsid w:val="00D62387"/>
    <w:rsid w:val="00D628CD"/>
    <w:rsid w:val="00D62C22"/>
    <w:rsid w:val="00D62F51"/>
    <w:rsid w:val="00D631FA"/>
    <w:rsid w:val="00D64847"/>
    <w:rsid w:val="00D67FF4"/>
    <w:rsid w:val="00D71311"/>
    <w:rsid w:val="00D71CE6"/>
    <w:rsid w:val="00D72CD1"/>
    <w:rsid w:val="00D72F1E"/>
    <w:rsid w:val="00D730BF"/>
    <w:rsid w:val="00D73498"/>
    <w:rsid w:val="00D7358E"/>
    <w:rsid w:val="00D73947"/>
    <w:rsid w:val="00D73A40"/>
    <w:rsid w:val="00D7448E"/>
    <w:rsid w:val="00D747E3"/>
    <w:rsid w:val="00D74A85"/>
    <w:rsid w:val="00D74CA0"/>
    <w:rsid w:val="00D751BF"/>
    <w:rsid w:val="00D7602B"/>
    <w:rsid w:val="00D7746F"/>
    <w:rsid w:val="00D80A60"/>
    <w:rsid w:val="00D81054"/>
    <w:rsid w:val="00D8130A"/>
    <w:rsid w:val="00D816BD"/>
    <w:rsid w:val="00D818E8"/>
    <w:rsid w:val="00D81D67"/>
    <w:rsid w:val="00D81DD4"/>
    <w:rsid w:val="00D81E18"/>
    <w:rsid w:val="00D82C38"/>
    <w:rsid w:val="00D82F8E"/>
    <w:rsid w:val="00D8353C"/>
    <w:rsid w:val="00D842B5"/>
    <w:rsid w:val="00D844B7"/>
    <w:rsid w:val="00D86723"/>
    <w:rsid w:val="00D8721B"/>
    <w:rsid w:val="00D8722F"/>
    <w:rsid w:val="00D87BC3"/>
    <w:rsid w:val="00D87EB2"/>
    <w:rsid w:val="00D9060D"/>
    <w:rsid w:val="00D91410"/>
    <w:rsid w:val="00D91A76"/>
    <w:rsid w:val="00D91E27"/>
    <w:rsid w:val="00D946BE"/>
    <w:rsid w:val="00D9486D"/>
    <w:rsid w:val="00D94D2B"/>
    <w:rsid w:val="00D951E2"/>
    <w:rsid w:val="00D962DD"/>
    <w:rsid w:val="00D9652B"/>
    <w:rsid w:val="00D965D1"/>
    <w:rsid w:val="00D968F4"/>
    <w:rsid w:val="00D96A26"/>
    <w:rsid w:val="00D96E34"/>
    <w:rsid w:val="00D975BE"/>
    <w:rsid w:val="00DA01CB"/>
    <w:rsid w:val="00DA038F"/>
    <w:rsid w:val="00DA0601"/>
    <w:rsid w:val="00DA0664"/>
    <w:rsid w:val="00DA0EA4"/>
    <w:rsid w:val="00DA1568"/>
    <w:rsid w:val="00DA2757"/>
    <w:rsid w:val="00DA2EFE"/>
    <w:rsid w:val="00DA3232"/>
    <w:rsid w:val="00DA39A8"/>
    <w:rsid w:val="00DA3A22"/>
    <w:rsid w:val="00DA4031"/>
    <w:rsid w:val="00DA5036"/>
    <w:rsid w:val="00DA55EB"/>
    <w:rsid w:val="00DA5910"/>
    <w:rsid w:val="00DA776B"/>
    <w:rsid w:val="00DA796C"/>
    <w:rsid w:val="00DA799A"/>
    <w:rsid w:val="00DB0349"/>
    <w:rsid w:val="00DB29E0"/>
    <w:rsid w:val="00DB3CDB"/>
    <w:rsid w:val="00DB3E3F"/>
    <w:rsid w:val="00DB44A5"/>
    <w:rsid w:val="00DB49E3"/>
    <w:rsid w:val="00DB536F"/>
    <w:rsid w:val="00DB58A4"/>
    <w:rsid w:val="00DB62B8"/>
    <w:rsid w:val="00DB6DF2"/>
    <w:rsid w:val="00DC0558"/>
    <w:rsid w:val="00DC07F2"/>
    <w:rsid w:val="00DC1033"/>
    <w:rsid w:val="00DC1A51"/>
    <w:rsid w:val="00DC214E"/>
    <w:rsid w:val="00DC2B92"/>
    <w:rsid w:val="00DC355C"/>
    <w:rsid w:val="00DC4884"/>
    <w:rsid w:val="00DC518D"/>
    <w:rsid w:val="00DC56A6"/>
    <w:rsid w:val="00DC5850"/>
    <w:rsid w:val="00DC69A6"/>
    <w:rsid w:val="00DC7532"/>
    <w:rsid w:val="00DC79B6"/>
    <w:rsid w:val="00DD0551"/>
    <w:rsid w:val="00DD0624"/>
    <w:rsid w:val="00DD15CC"/>
    <w:rsid w:val="00DD2043"/>
    <w:rsid w:val="00DD4794"/>
    <w:rsid w:val="00DD49D1"/>
    <w:rsid w:val="00DD4B57"/>
    <w:rsid w:val="00DD4C46"/>
    <w:rsid w:val="00DD59F3"/>
    <w:rsid w:val="00DD5D6E"/>
    <w:rsid w:val="00DD5E9F"/>
    <w:rsid w:val="00DD63B7"/>
    <w:rsid w:val="00DD6A82"/>
    <w:rsid w:val="00DD6E90"/>
    <w:rsid w:val="00DD71DE"/>
    <w:rsid w:val="00DD7364"/>
    <w:rsid w:val="00DE04DC"/>
    <w:rsid w:val="00DE0BDF"/>
    <w:rsid w:val="00DE10F2"/>
    <w:rsid w:val="00DE2006"/>
    <w:rsid w:val="00DE354B"/>
    <w:rsid w:val="00DE4246"/>
    <w:rsid w:val="00DE424D"/>
    <w:rsid w:val="00DE4BDC"/>
    <w:rsid w:val="00DE5897"/>
    <w:rsid w:val="00DE5CEA"/>
    <w:rsid w:val="00DE61D8"/>
    <w:rsid w:val="00DE6E74"/>
    <w:rsid w:val="00DF0597"/>
    <w:rsid w:val="00DF0987"/>
    <w:rsid w:val="00DF0AA5"/>
    <w:rsid w:val="00DF3CD9"/>
    <w:rsid w:val="00DF3F47"/>
    <w:rsid w:val="00DF47A1"/>
    <w:rsid w:val="00DF5080"/>
    <w:rsid w:val="00DF6DC2"/>
    <w:rsid w:val="00DF73A7"/>
    <w:rsid w:val="00E02992"/>
    <w:rsid w:val="00E02D4B"/>
    <w:rsid w:val="00E046A3"/>
    <w:rsid w:val="00E047BD"/>
    <w:rsid w:val="00E04BAB"/>
    <w:rsid w:val="00E0552D"/>
    <w:rsid w:val="00E056EB"/>
    <w:rsid w:val="00E06713"/>
    <w:rsid w:val="00E06A2A"/>
    <w:rsid w:val="00E07CA2"/>
    <w:rsid w:val="00E10603"/>
    <w:rsid w:val="00E10F8E"/>
    <w:rsid w:val="00E1218E"/>
    <w:rsid w:val="00E123D0"/>
    <w:rsid w:val="00E127F3"/>
    <w:rsid w:val="00E129AB"/>
    <w:rsid w:val="00E136AF"/>
    <w:rsid w:val="00E136C6"/>
    <w:rsid w:val="00E14CDE"/>
    <w:rsid w:val="00E1587B"/>
    <w:rsid w:val="00E15A79"/>
    <w:rsid w:val="00E15E46"/>
    <w:rsid w:val="00E172AB"/>
    <w:rsid w:val="00E17B91"/>
    <w:rsid w:val="00E202AD"/>
    <w:rsid w:val="00E213BB"/>
    <w:rsid w:val="00E21494"/>
    <w:rsid w:val="00E22B8E"/>
    <w:rsid w:val="00E22D60"/>
    <w:rsid w:val="00E23427"/>
    <w:rsid w:val="00E23752"/>
    <w:rsid w:val="00E2461F"/>
    <w:rsid w:val="00E24CF5"/>
    <w:rsid w:val="00E24F55"/>
    <w:rsid w:val="00E26527"/>
    <w:rsid w:val="00E301FF"/>
    <w:rsid w:val="00E304F2"/>
    <w:rsid w:val="00E30EE5"/>
    <w:rsid w:val="00E311F5"/>
    <w:rsid w:val="00E31C4E"/>
    <w:rsid w:val="00E32605"/>
    <w:rsid w:val="00E32A35"/>
    <w:rsid w:val="00E32BD7"/>
    <w:rsid w:val="00E32BEB"/>
    <w:rsid w:val="00E33095"/>
    <w:rsid w:val="00E330B2"/>
    <w:rsid w:val="00E334B4"/>
    <w:rsid w:val="00E35861"/>
    <w:rsid w:val="00E3629C"/>
    <w:rsid w:val="00E36485"/>
    <w:rsid w:val="00E37023"/>
    <w:rsid w:val="00E41165"/>
    <w:rsid w:val="00E41228"/>
    <w:rsid w:val="00E4197C"/>
    <w:rsid w:val="00E42E9D"/>
    <w:rsid w:val="00E455F4"/>
    <w:rsid w:val="00E45ADB"/>
    <w:rsid w:val="00E45BF3"/>
    <w:rsid w:val="00E45D32"/>
    <w:rsid w:val="00E474AC"/>
    <w:rsid w:val="00E47799"/>
    <w:rsid w:val="00E50E15"/>
    <w:rsid w:val="00E51656"/>
    <w:rsid w:val="00E52263"/>
    <w:rsid w:val="00E527A5"/>
    <w:rsid w:val="00E5340D"/>
    <w:rsid w:val="00E54621"/>
    <w:rsid w:val="00E546FA"/>
    <w:rsid w:val="00E54B17"/>
    <w:rsid w:val="00E54C90"/>
    <w:rsid w:val="00E569FF"/>
    <w:rsid w:val="00E57170"/>
    <w:rsid w:val="00E604F4"/>
    <w:rsid w:val="00E61A0A"/>
    <w:rsid w:val="00E61A52"/>
    <w:rsid w:val="00E61BBE"/>
    <w:rsid w:val="00E63FC1"/>
    <w:rsid w:val="00E64A31"/>
    <w:rsid w:val="00E655F9"/>
    <w:rsid w:val="00E65648"/>
    <w:rsid w:val="00E66234"/>
    <w:rsid w:val="00E66267"/>
    <w:rsid w:val="00E67656"/>
    <w:rsid w:val="00E7037D"/>
    <w:rsid w:val="00E712BF"/>
    <w:rsid w:val="00E71FC2"/>
    <w:rsid w:val="00E73989"/>
    <w:rsid w:val="00E7475E"/>
    <w:rsid w:val="00E75E27"/>
    <w:rsid w:val="00E764BB"/>
    <w:rsid w:val="00E764D6"/>
    <w:rsid w:val="00E76911"/>
    <w:rsid w:val="00E76EDD"/>
    <w:rsid w:val="00E76FD4"/>
    <w:rsid w:val="00E809DF"/>
    <w:rsid w:val="00E81A09"/>
    <w:rsid w:val="00E82B15"/>
    <w:rsid w:val="00E860B1"/>
    <w:rsid w:val="00E861F0"/>
    <w:rsid w:val="00E87919"/>
    <w:rsid w:val="00E90635"/>
    <w:rsid w:val="00E92B89"/>
    <w:rsid w:val="00E9393A"/>
    <w:rsid w:val="00E978E1"/>
    <w:rsid w:val="00E97D99"/>
    <w:rsid w:val="00EA0E38"/>
    <w:rsid w:val="00EA1C9A"/>
    <w:rsid w:val="00EA22EF"/>
    <w:rsid w:val="00EA4EA1"/>
    <w:rsid w:val="00EA50D7"/>
    <w:rsid w:val="00EA5E21"/>
    <w:rsid w:val="00EA6E91"/>
    <w:rsid w:val="00EB14B2"/>
    <w:rsid w:val="00EB2588"/>
    <w:rsid w:val="00EB2B8A"/>
    <w:rsid w:val="00EB342B"/>
    <w:rsid w:val="00EB362A"/>
    <w:rsid w:val="00EB3748"/>
    <w:rsid w:val="00EB47EA"/>
    <w:rsid w:val="00EB48E3"/>
    <w:rsid w:val="00EB54C0"/>
    <w:rsid w:val="00EB5D6D"/>
    <w:rsid w:val="00EB6900"/>
    <w:rsid w:val="00EB7FDB"/>
    <w:rsid w:val="00EC0AE8"/>
    <w:rsid w:val="00EC1005"/>
    <w:rsid w:val="00EC1D55"/>
    <w:rsid w:val="00EC1FC8"/>
    <w:rsid w:val="00EC2491"/>
    <w:rsid w:val="00EC2492"/>
    <w:rsid w:val="00EC276B"/>
    <w:rsid w:val="00EC2D4A"/>
    <w:rsid w:val="00EC358D"/>
    <w:rsid w:val="00EC380D"/>
    <w:rsid w:val="00EC4A42"/>
    <w:rsid w:val="00EC56C6"/>
    <w:rsid w:val="00EC57D9"/>
    <w:rsid w:val="00EC5967"/>
    <w:rsid w:val="00EC7027"/>
    <w:rsid w:val="00ED1264"/>
    <w:rsid w:val="00ED27B4"/>
    <w:rsid w:val="00ED2C29"/>
    <w:rsid w:val="00ED32D6"/>
    <w:rsid w:val="00ED39A8"/>
    <w:rsid w:val="00ED39D7"/>
    <w:rsid w:val="00ED3E4C"/>
    <w:rsid w:val="00ED417E"/>
    <w:rsid w:val="00ED5039"/>
    <w:rsid w:val="00ED54C5"/>
    <w:rsid w:val="00ED5D98"/>
    <w:rsid w:val="00ED6A0B"/>
    <w:rsid w:val="00ED74F8"/>
    <w:rsid w:val="00ED75F4"/>
    <w:rsid w:val="00EE078C"/>
    <w:rsid w:val="00EE08A4"/>
    <w:rsid w:val="00EE1E2C"/>
    <w:rsid w:val="00EE2380"/>
    <w:rsid w:val="00EE279C"/>
    <w:rsid w:val="00EE370E"/>
    <w:rsid w:val="00EE42AA"/>
    <w:rsid w:val="00EE44B1"/>
    <w:rsid w:val="00EE46FC"/>
    <w:rsid w:val="00EE480C"/>
    <w:rsid w:val="00EE4814"/>
    <w:rsid w:val="00EE4A7C"/>
    <w:rsid w:val="00EE4BEE"/>
    <w:rsid w:val="00EE53C9"/>
    <w:rsid w:val="00EE5514"/>
    <w:rsid w:val="00EE5716"/>
    <w:rsid w:val="00EE5932"/>
    <w:rsid w:val="00EE5D6C"/>
    <w:rsid w:val="00EE6119"/>
    <w:rsid w:val="00EE68A4"/>
    <w:rsid w:val="00EE6929"/>
    <w:rsid w:val="00EE7185"/>
    <w:rsid w:val="00EE71B7"/>
    <w:rsid w:val="00EE7FC8"/>
    <w:rsid w:val="00EF00B4"/>
    <w:rsid w:val="00EF1550"/>
    <w:rsid w:val="00EF31AE"/>
    <w:rsid w:val="00EF3839"/>
    <w:rsid w:val="00EF3D6C"/>
    <w:rsid w:val="00EF56ED"/>
    <w:rsid w:val="00EF5B82"/>
    <w:rsid w:val="00EF5E70"/>
    <w:rsid w:val="00EF61F5"/>
    <w:rsid w:val="00EF672D"/>
    <w:rsid w:val="00EF6C0D"/>
    <w:rsid w:val="00EF711D"/>
    <w:rsid w:val="00F00C93"/>
    <w:rsid w:val="00F01228"/>
    <w:rsid w:val="00F012BA"/>
    <w:rsid w:val="00F0173A"/>
    <w:rsid w:val="00F02D5A"/>
    <w:rsid w:val="00F030E9"/>
    <w:rsid w:val="00F03270"/>
    <w:rsid w:val="00F045F6"/>
    <w:rsid w:val="00F048E1"/>
    <w:rsid w:val="00F04EC5"/>
    <w:rsid w:val="00F05F7A"/>
    <w:rsid w:val="00F0610C"/>
    <w:rsid w:val="00F06351"/>
    <w:rsid w:val="00F06831"/>
    <w:rsid w:val="00F06AA0"/>
    <w:rsid w:val="00F06DC2"/>
    <w:rsid w:val="00F07584"/>
    <w:rsid w:val="00F077FA"/>
    <w:rsid w:val="00F11585"/>
    <w:rsid w:val="00F11739"/>
    <w:rsid w:val="00F11DF5"/>
    <w:rsid w:val="00F11E6F"/>
    <w:rsid w:val="00F12552"/>
    <w:rsid w:val="00F127A8"/>
    <w:rsid w:val="00F12917"/>
    <w:rsid w:val="00F12AAD"/>
    <w:rsid w:val="00F135EF"/>
    <w:rsid w:val="00F137F0"/>
    <w:rsid w:val="00F145DE"/>
    <w:rsid w:val="00F14602"/>
    <w:rsid w:val="00F14EB9"/>
    <w:rsid w:val="00F152F0"/>
    <w:rsid w:val="00F15493"/>
    <w:rsid w:val="00F15DBD"/>
    <w:rsid w:val="00F15F8C"/>
    <w:rsid w:val="00F2047C"/>
    <w:rsid w:val="00F20DE8"/>
    <w:rsid w:val="00F22725"/>
    <w:rsid w:val="00F23243"/>
    <w:rsid w:val="00F24454"/>
    <w:rsid w:val="00F247AF"/>
    <w:rsid w:val="00F25489"/>
    <w:rsid w:val="00F258CD"/>
    <w:rsid w:val="00F27D84"/>
    <w:rsid w:val="00F302CF"/>
    <w:rsid w:val="00F32856"/>
    <w:rsid w:val="00F34535"/>
    <w:rsid w:val="00F34808"/>
    <w:rsid w:val="00F34882"/>
    <w:rsid w:val="00F36513"/>
    <w:rsid w:val="00F36CF3"/>
    <w:rsid w:val="00F37148"/>
    <w:rsid w:val="00F37354"/>
    <w:rsid w:val="00F37E70"/>
    <w:rsid w:val="00F4027F"/>
    <w:rsid w:val="00F40502"/>
    <w:rsid w:val="00F40678"/>
    <w:rsid w:val="00F417BA"/>
    <w:rsid w:val="00F4215E"/>
    <w:rsid w:val="00F425BE"/>
    <w:rsid w:val="00F432BC"/>
    <w:rsid w:val="00F44A7E"/>
    <w:rsid w:val="00F4635F"/>
    <w:rsid w:val="00F463AB"/>
    <w:rsid w:val="00F46D48"/>
    <w:rsid w:val="00F477A0"/>
    <w:rsid w:val="00F504CC"/>
    <w:rsid w:val="00F51912"/>
    <w:rsid w:val="00F523DA"/>
    <w:rsid w:val="00F52551"/>
    <w:rsid w:val="00F55ED8"/>
    <w:rsid w:val="00F55FB8"/>
    <w:rsid w:val="00F56988"/>
    <w:rsid w:val="00F56F9A"/>
    <w:rsid w:val="00F5725F"/>
    <w:rsid w:val="00F572B1"/>
    <w:rsid w:val="00F57757"/>
    <w:rsid w:val="00F579D0"/>
    <w:rsid w:val="00F57A43"/>
    <w:rsid w:val="00F60DA4"/>
    <w:rsid w:val="00F60F0D"/>
    <w:rsid w:val="00F63BE0"/>
    <w:rsid w:val="00F64229"/>
    <w:rsid w:val="00F658C4"/>
    <w:rsid w:val="00F65A9D"/>
    <w:rsid w:val="00F6746C"/>
    <w:rsid w:val="00F67AC0"/>
    <w:rsid w:val="00F70E09"/>
    <w:rsid w:val="00F72120"/>
    <w:rsid w:val="00F7224E"/>
    <w:rsid w:val="00F72ED5"/>
    <w:rsid w:val="00F72F43"/>
    <w:rsid w:val="00F7350C"/>
    <w:rsid w:val="00F73797"/>
    <w:rsid w:val="00F738AA"/>
    <w:rsid w:val="00F73B63"/>
    <w:rsid w:val="00F74818"/>
    <w:rsid w:val="00F74A42"/>
    <w:rsid w:val="00F74A57"/>
    <w:rsid w:val="00F74B55"/>
    <w:rsid w:val="00F74D97"/>
    <w:rsid w:val="00F763AB"/>
    <w:rsid w:val="00F7660E"/>
    <w:rsid w:val="00F76ACD"/>
    <w:rsid w:val="00F76D26"/>
    <w:rsid w:val="00F77584"/>
    <w:rsid w:val="00F80759"/>
    <w:rsid w:val="00F8102C"/>
    <w:rsid w:val="00F829C1"/>
    <w:rsid w:val="00F82E9C"/>
    <w:rsid w:val="00F8343E"/>
    <w:rsid w:val="00F83D52"/>
    <w:rsid w:val="00F8567B"/>
    <w:rsid w:val="00F85A99"/>
    <w:rsid w:val="00F873B2"/>
    <w:rsid w:val="00F87BAE"/>
    <w:rsid w:val="00F904EF"/>
    <w:rsid w:val="00F9073C"/>
    <w:rsid w:val="00F92568"/>
    <w:rsid w:val="00F931AE"/>
    <w:rsid w:val="00F93ADC"/>
    <w:rsid w:val="00F9404A"/>
    <w:rsid w:val="00F94737"/>
    <w:rsid w:val="00F955E2"/>
    <w:rsid w:val="00F95DFB"/>
    <w:rsid w:val="00FA06CE"/>
    <w:rsid w:val="00FA1BB8"/>
    <w:rsid w:val="00FA24DD"/>
    <w:rsid w:val="00FA25BD"/>
    <w:rsid w:val="00FA2909"/>
    <w:rsid w:val="00FA2B0B"/>
    <w:rsid w:val="00FA442E"/>
    <w:rsid w:val="00FA4F17"/>
    <w:rsid w:val="00FA6630"/>
    <w:rsid w:val="00FA6AAB"/>
    <w:rsid w:val="00FA6E82"/>
    <w:rsid w:val="00FA7286"/>
    <w:rsid w:val="00FA7377"/>
    <w:rsid w:val="00FB0345"/>
    <w:rsid w:val="00FB03AF"/>
    <w:rsid w:val="00FB12C4"/>
    <w:rsid w:val="00FB1808"/>
    <w:rsid w:val="00FB1BFB"/>
    <w:rsid w:val="00FB1E45"/>
    <w:rsid w:val="00FB22A1"/>
    <w:rsid w:val="00FB23F6"/>
    <w:rsid w:val="00FB2F73"/>
    <w:rsid w:val="00FB4297"/>
    <w:rsid w:val="00FB6CDB"/>
    <w:rsid w:val="00FB6FE2"/>
    <w:rsid w:val="00FB6FF7"/>
    <w:rsid w:val="00FB7D7E"/>
    <w:rsid w:val="00FC0334"/>
    <w:rsid w:val="00FC05FC"/>
    <w:rsid w:val="00FC0B68"/>
    <w:rsid w:val="00FC53F5"/>
    <w:rsid w:val="00FC7065"/>
    <w:rsid w:val="00FD0438"/>
    <w:rsid w:val="00FD1109"/>
    <w:rsid w:val="00FD47B3"/>
    <w:rsid w:val="00FD4FC8"/>
    <w:rsid w:val="00FD5AC9"/>
    <w:rsid w:val="00FD5CAA"/>
    <w:rsid w:val="00FD5E1D"/>
    <w:rsid w:val="00FE14EE"/>
    <w:rsid w:val="00FE191F"/>
    <w:rsid w:val="00FE204F"/>
    <w:rsid w:val="00FE456D"/>
    <w:rsid w:val="00FE4B7E"/>
    <w:rsid w:val="00FE51F4"/>
    <w:rsid w:val="00FE53D7"/>
    <w:rsid w:val="00FE5413"/>
    <w:rsid w:val="00FE608D"/>
    <w:rsid w:val="00FE6BE2"/>
    <w:rsid w:val="00FE7057"/>
    <w:rsid w:val="00FE78C5"/>
    <w:rsid w:val="00FE7A5A"/>
    <w:rsid w:val="00FF024A"/>
    <w:rsid w:val="00FF0BCF"/>
    <w:rsid w:val="00FF1C7A"/>
    <w:rsid w:val="00FF2390"/>
    <w:rsid w:val="00FF24C7"/>
    <w:rsid w:val="00FF4BE2"/>
    <w:rsid w:val="00FF5FC0"/>
    <w:rsid w:val="00FF63CC"/>
    <w:rsid w:val="00FF6631"/>
    <w:rsid w:val="00FF7A74"/>
    <w:rsid w:val="00F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F7A74"/>
    <w:rPr>
      <w:sz w:val="24"/>
      <w:szCs w:val="24"/>
    </w:rPr>
  </w:style>
  <w:style w:type="paragraph" w:styleId="Heading1">
    <w:name w:val="heading 1"/>
    <w:basedOn w:val="Normal"/>
    <w:next w:val="Normal"/>
    <w:link w:val="Heading1Char"/>
    <w:uiPriority w:val="99"/>
    <w:qFormat/>
    <w:rsid w:val="005A2DBA"/>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FF7A74"/>
    <w:pPr>
      <w:spacing w:before="100" w:beforeAutospacing="1" w:after="100" w:afterAutospacing="1"/>
      <w:jc w:val="center"/>
      <w:outlineLvl w:val="1"/>
    </w:pPr>
    <w:rPr>
      <w:b/>
      <w:bCs/>
      <w:sz w:val="32"/>
      <w:szCs w:val="32"/>
      <w:u w:val="single"/>
    </w:rPr>
  </w:style>
  <w:style w:type="paragraph" w:styleId="Heading3">
    <w:name w:val="heading 3"/>
    <w:basedOn w:val="Normal"/>
    <w:next w:val="Normal"/>
    <w:link w:val="Heading3Char"/>
    <w:uiPriority w:val="99"/>
    <w:qFormat/>
    <w:rsid w:val="00542CD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90506"/>
    <w:pPr>
      <w:keepNext/>
      <w:keepLines/>
      <w:spacing w:before="120" w:after="240"/>
      <w:outlineLvl w:val="3"/>
    </w:pPr>
    <w:rPr>
      <w:bCs/>
      <w:i/>
      <w:szCs w:val="28"/>
    </w:rPr>
  </w:style>
  <w:style w:type="paragraph" w:styleId="Heading5">
    <w:name w:val="heading 5"/>
    <w:basedOn w:val="Normal"/>
    <w:next w:val="Normal"/>
    <w:link w:val="Heading5Char"/>
    <w:uiPriority w:val="99"/>
    <w:qFormat/>
    <w:rsid w:val="00C90506"/>
    <w:pPr>
      <w:spacing w:before="240" w:after="60"/>
      <w:outlineLvl w:val="4"/>
    </w:pPr>
    <w:rPr>
      <w:b/>
      <w:bCs/>
      <w:i/>
      <w:iCs/>
      <w:sz w:val="26"/>
      <w:szCs w:val="26"/>
    </w:rPr>
  </w:style>
  <w:style w:type="paragraph" w:styleId="Heading6">
    <w:name w:val="heading 6"/>
    <w:basedOn w:val="Normal"/>
    <w:next w:val="Normal"/>
    <w:link w:val="Heading6Char"/>
    <w:uiPriority w:val="99"/>
    <w:qFormat/>
    <w:rsid w:val="00C90506"/>
    <w:pPr>
      <w:spacing w:before="240" w:after="60"/>
      <w:outlineLvl w:val="5"/>
    </w:pPr>
    <w:rPr>
      <w:b/>
      <w:bCs/>
      <w:sz w:val="22"/>
      <w:szCs w:val="22"/>
    </w:rPr>
  </w:style>
  <w:style w:type="paragraph" w:styleId="Heading7">
    <w:name w:val="heading 7"/>
    <w:basedOn w:val="Normal"/>
    <w:next w:val="Normal"/>
    <w:link w:val="Heading7Char"/>
    <w:uiPriority w:val="99"/>
    <w:qFormat/>
    <w:rsid w:val="00C90506"/>
    <w:pPr>
      <w:spacing w:before="240" w:after="60"/>
      <w:outlineLvl w:val="6"/>
    </w:pPr>
  </w:style>
  <w:style w:type="paragraph" w:styleId="Heading8">
    <w:name w:val="heading 8"/>
    <w:basedOn w:val="Normal"/>
    <w:next w:val="Normal"/>
    <w:link w:val="Heading8Char"/>
    <w:uiPriority w:val="99"/>
    <w:qFormat/>
    <w:rsid w:val="00C90506"/>
    <w:pPr>
      <w:spacing w:before="240" w:after="60"/>
      <w:outlineLvl w:val="7"/>
    </w:pPr>
    <w:rPr>
      <w:i/>
      <w:iCs/>
    </w:rPr>
  </w:style>
  <w:style w:type="paragraph" w:styleId="Heading9">
    <w:name w:val="heading 9"/>
    <w:basedOn w:val="Normal"/>
    <w:next w:val="Normal"/>
    <w:link w:val="Heading9Char"/>
    <w:uiPriority w:val="99"/>
    <w:qFormat/>
    <w:rsid w:val="00C9050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53F2"/>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A74"/>
    <w:rPr>
      <w:rFonts w:cs="Times New Roman"/>
      <w:b/>
      <w:bCs/>
      <w:sz w:val="32"/>
      <w:szCs w:val="32"/>
      <w:u w:val="single"/>
      <w:lang w:val="en-US" w:eastAsia="en-US" w:bidi="ar-SA"/>
    </w:rPr>
  </w:style>
  <w:style w:type="character" w:customStyle="1" w:styleId="Heading3Char">
    <w:name w:val="Heading 3 Char"/>
    <w:basedOn w:val="DefaultParagraphFont"/>
    <w:link w:val="Heading3"/>
    <w:uiPriority w:val="99"/>
    <w:semiHidden/>
    <w:locked/>
    <w:rsid w:val="008F53F2"/>
    <w:rPr>
      <w:rFonts w:ascii="Cambria" w:hAnsi="Cambria" w:cs="Times New Roman"/>
      <w:b/>
      <w:bCs/>
      <w:sz w:val="26"/>
      <w:szCs w:val="26"/>
    </w:rPr>
  </w:style>
  <w:style w:type="character" w:customStyle="1" w:styleId="Heading4Char">
    <w:name w:val="Heading 4 Char"/>
    <w:basedOn w:val="DefaultParagraphFont"/>
    <w:link w:val="Heading4"/>
    <w:uiPriority w:val="99"/>
    <w:locked/>
    <w:rsid w:val="00C90506"/>
    <w:rPr>
      <w:rFonts w:cs="Times New Roman"/>
      <w:bCs/>
      <w:i/>
      <w:sz w:val="28"/>
      <w:szCs w:val="28"/>
    </w:rPr>
  </w:style>
  <w:style w:type="character" w:customStyle="1" w:styleId="Heading5Char">
    <w:name w:val="Heading 5 Char"/>
    <w:basedOn w:val="DefaultParagraphFont"/>
    <w:link w:val="Heading5"/>
    <w:uiPriority w:val="99"/>
    <w:locked/>
    <w:rsid w:val="00C90506"/>
    <w:rPr>
      <w:rFonts w:cs="Times New Roman"/>
      <w:b/>
      <w:bCs/>
      <w:i/>
      <w:iCs/>
      <w:sz w:val="26"/>
      <w:szCs w:val="26"/>
    </w:rPr>
  </w:style>
  <w:style w:type="character" w:customStyle="1" w:styleId="Heading6Char">
    <w:name w:val="Heading 6 Char"/>
    <w:basedOn w:val="DefaultParagraphFont"/>
    <w:link w:val="Heading6"/>
    <w:uiPriority w:val="99"/>
    <w:locked/>
    <w:rsid w:val="00C90506"/>
    <w:rPr>
      <w:rFonts w:cs="Times New Roman"/>
      <w:b/>
      <w:bCs/>
      <w:sz w:val="22"/>
      <w:szCs w:val="22"/>
    </w:rPr>
  </w:style>
  <w:style w:type="character" w:customStyle="1" w:styleId="Heading7Char">
    <w:name w:val="Heading 7 Char"/>
    <w:basedOn w:val="DefaultParagraphFont"/>
    <w:link w:val="Heading7"/>
    <w:uiPriority w:val="99"/>
    <w:locked/>
    <w:rsid w:val="00C90506"/>
    <w:rPr>
      <w:rFonts w:cs="Times New Roman"/>
      <w:sz w:val="24"/>
      <w:szCs w:val="24"/>
    </w:rPr>
  </w:style>
  <w:style w:type="character" w:customStyle="1" w:styleId="Heading8Char">
    <w:name w:val="Heading 8 Char"/>
    <w:basedOn w:val="DefaultParagraphFont"/>
    <w:link w:val="Heading8"/>
    <w:uiPriority w:val="99"/>
    <w:locked/>
    <w:rsid w:val="00C90506"/>
    <w:rPr>
      <w:rFonts w:cs="Times New Roman"/>
      <w:i/>
      <w:iCs/>
      <w:sz w:val="24"/>
      <w:szCs w:val="24"/>
    </w:rPr>
  </w:style>
  <w:style w:type="character" w:customStyle="1" w:styleId="Heading9Char">
    <w:name w:val="Heading 9 Char"/>
    <w:basedOn w:val="DefaultParagraphFont"/>
    <w:link w:val="Heading9"/>
    <w:uiPriority w:val="99"/>
    <w:locked/>
    <w:rsid w:val="00C90506"/>
    <w:rPr>
      <w:rFonts w:ascii="Arial" w:hAnsi="Arial" w:cs="Arial"/>
      <w:sz w:val="22"/>
      <w:szCs w:val="22"/>
    </w:rPr>
  </w:style>
  <w:style w:type="paragraph" w:styleId="Footer">
    <w:name w:val="footer"/>
    <w:basedOn w:val="Normal"/>
    <w:link w:val="FooterChar"/>
    <w:uiPriority w:val="99"/>
    <w:rsid w:val="00FF7A74"/>
    <w:pPr>
      <w:tabs>
        <w:tab w:val="center" w:pos="4320"/>
        <w:tab w:val="right" w:pos="8640"/>
      </w:tabs>
    </w:pPr>
  </w:style>
  <w:style w:type="character" w:customStyle="1" w:styleId="FooterChar">
    <w:name w:val="Footer Char"/>
    <w:basedOn w:val="DefaultParagraphFont"/>
    <w:link w:val="Footer"/>
    <w:uiPriority w:val="99"/>
    <w:locked/>
    <w:rsid w:val="008F53F2"/>
    <w:rPr>
      <w:rFonts w:cs="Times New Roman"/>
      <w:sz w:val="24"/>
      <w:szCs w:val="24"/>
    </w:rPr>
  </w:style>
  <w:style w:type="character" w:styleId="PageNumber">
    <w:name w:val="page number"/>
    <w:basedOn w:val="DefaultParagraphFont"/>
    <w:uiPriority w:val="99"/>
    <w:rsid w:val="00FF7A74"/>
    <w:rPr>
      <w:rFonts w:cs="Times New Roman"/>
    </w:rPr>
  </w:style>
  <w:style w:type="character" w:styleId="Hyperlink">
    <w:name w:val="Hyperlink"/>
    <w:basedOn w:val="DefaultParagraphFont"/>
    <w:uiPriority w:val="99"/>
    <w:rsid w:val="00FF7A74"/>
    <w:rPr>
      <w:rFonts w:cs="Times New Roman"/>
      <w:color w:val="0000FF"/>
      <w:u w:val="single"/>
    </w:rPr>
  </w:style>
  <w:style w:type="paragraph" w:styleId="Header">
    <w:name w:val="header"/>
    <w:basedOn w:val="Normal"/>
    <w:link w:val="HeaderChar"/>
    <w:rsid w:val="00FF7A74"/>
    <w:pPr>
      <w:tabs>
        <w:tab w:val="center" w:pos="4320"/>
        <w:tab w:val="right" w:pos="8640"/>
      </w:tabs>
    </w:pPr>
  </w:style>
  <w:style w:type="character" w:customStyle="1" w:styleId="HeaderChar">
    <w:name w:val="Header Char"/>
    <w:basedOn w:val="DefaultParagraphFont"/>
    <w:link w:val="Header"/>
    <w:locked/>
    <w:rsid w:val="008F53F2"/>
    <w:rPr>
      <w:rFonts w:cs="Times New Roman"/>
      <w:sz w:val="24"/>
      <w:szCs w:val="24"/>
    </w:rPr>
  </w:style>
  <w:style w:type="paragraph" w:styleId="TOC2">
    <w:name w:val="toc 2"/>
    <w:basedOn w:val="Normal"/>
    <w:next w:val="Normal"/>
    <w:autoRedefine/>
    <w:uiPriority w:val="99"/>
    <w:rsid w:val="004530B9"/>
    <w:pPr>
      <w:tabs>
        <w:tab w:val="right" w:leader="dot" w:pos="8630"/>
      </w:tabs>
      <w:ind w:left="240"/>
    </w:pPr>
    <w:rPr>
      <w:noProof/>
      <w:color w:val="000000"/>
      <w:sz w:val="22"/>
      <w:szCs w:val="22"/>
    </w:rPr>
  </w:style>
  <w:style w:type="paragraph" w:styleId="TOC3">
    <w:name w:val="toc 3"/>
    <w:basedOn w:val="Normal"/>
    <w:next w:val="Normal"/>
    <w:autoRedefine/>
    <w:uiPriority w:val="99"/>
    <w:rsid w:val="00E54621"/>
    <w:pPr>
      <w:tabs>
        <w:tab w:val="right" w:leader="dot" w:pos="8630"/>
      </w:tabs>
      <w:ind w:left="480"/>
      <w:jc w:val="right"/>
    </w:pPr>
    <w:rPr>
      <w:rFonts w:ascii="Times New Roman Bold" w:hAnsi="Times New Roman Bold"/>
      <w:noProof/>
    </w:rPr>
  </w:style>
  <w:style w:type="paragraph" w:styleId="TableofFigures">
    <w:name w:val="table of figures"/>
    <w:basedOn w:val="Normal"/>
    <w:next w:val="Normal"/>
    <w:link w:val="TableofFiguresChar"/>
    <w:autoRedefine/>
    <w:uiPriority w:val="99"/>
    <w:rsid w:val="00707343"/>
    <w:pPr>
      <w:tabs>
        <w:tab w:val="right" w:leader="dot" w:pos="8630"/>
      </w:tabs>
    </w:pPr>
    <w:rPr>
      <w:bCs/>
      <w:iCs/>
      <w:noProof/>
    </w:rPr>
  </w:style>
  <w:style w:type="paragraph" w:styleId="Title">
    <w:name w:val="Title"/>
    <w:basedOn w:val="Normal"/>
    <w:link w:val="TitleChar"/>
    <w:qFormat/>
    <w:rsid w:val="00FF7A74"/>
    <w:pPr>
      <w:jc w:val="center"/>
    </w:pPr>
    <w:rPr>
      <w:b/>
      <w:bCs/>
    </w:rPr>
  </w:style>
  <w:style w:type="character" w:customStyle="1" w:styleId="TitleChar">
    <w:name w:val="Title Char"/>
    <w:basedOn w:val="DefaultParagraphFont"/>
    <w:link w:val="Title"/>
    <w:locked/>
    <w:rsid w:val="008F53F2"/>
    <w:rPr>
      <w:rFonts w:ascii="Cambria" w:hAnsi="Cambria" w:cs="Times New Roman"/>
      <w:b/>
      <w:bCs/>
      <w:kern w:val="28"/>
      <w:sz w:val="32"/>
      <w:szCs w:val="32"/>
    </w:rPr>
  </w:style>
  <w:style w:type="paragraph" w:styleId="Subtitle">
    <w:name w:val="Subtitle"/>
    <w:basedOn w:val="Normal"/>
    <w:link w:val="SubtitleChar"/>
    <w:qFormat/>
    <w:rsid w:val="00FF7A74"/>
    <w:pPr>
      <w:jc w:val="center"/>
    </w:pPr>
    <w:rPr>
      <w:sz w:val="28"/>
    </w:rPr>
  </w:style>
  <w:style w:type="character" w:customStyle="1" w:styleId="SubtitleChar">
    <w:name w:val="Subtitle Char"/>
    <w:basedOn w:val="DefaultParagraphFont"/>
    <w:link w:val="Subtitle"/>
    <w:locked/>
    <w:rsid w:val="008F53F2"/>
    <w:rPr>
      <w:rFonts w:ascii="Cambria" w:hAnsi="Cambria" w:cs="Times New Roman"/>
      <w:sz w:val="24"/>
      <w:szCs w:val="24"/>
    </w:rPr>
  </w:style>
  <w:style w:type="paragraph" w:styleId="FootnoteText">
    <w:name w:val="footnote text"/>
    <w:aliases w:val="fn,single space,FOOTNOTES,Footnote,Fußnote,FSR footnote,lábléc,Footnote Text Char Char Char Char Char Char,Footnote Text Char,Footnote Text Char2 Char,Footnote Text Char1 Char Char,Footnote Text Char Char Char Char,text"/>
    <w:basedOn w:val="Normal"/>
    <w:link w:val="FootnoteTextChar2"/>
    <w:autoRedefine/>
    <w:uiPriority w:val="99"/>
    <w:rsid w:val="00437FA4"/>
    <w:pPr>
      <w:jc w:val="both"/>
    </w:pPr>
    <w:rPr>
      <w:sz w:val="20"/>
      <w:szCs w:val="20"/>
    </w:rPr>
  </w:style>
  <w:style w:type="character" w:customStyle="1" w:styleId="FootnoteTextChar1">
    <w:name w:val="Footnote Text Char1"/>
    <w:aliases w:val="fn Char,single space Char,FOOTNOTES Char,Footnote Char,Fußnote Char,FSR footnote Char,lábléc Char,Footnote Text Char Char Char Char Char Char Char,Footnote Text Char Char,Footnote Text Char2 Char Char,text Char"/>
    <w:basedOn w:val="DefaultParagraphFont"/>
    <w:uiPriority w:val="99"/>
    <w:locked/>
    <w:rsid w:val="008F53F2"/>
    <w:rPr>
      <w:rFonts w:cs="Times New Roman"/>
      <w:sz w:val="20"/>
      <w:szCs w:val="20"/>
    </w:rPr>
  </w:style>
  <w:style w:type="character" w:customStyle="1" w:styleId="FootnoteTextChar2">
    <w:name w:val="Footnote Text Char2"/>
    <w:aliases w:val="fn Char1,single space Char1,FOOTNOTES Char1,Footnote Char1,Fußnote Char1,FSR footnote Char1,lábléc Char1,Footnote Text Char Char Char Char Char Char Char1,Footnote Text Char Char1,Footnote Text Char2 Char Char1,text Char1"/>
    <w:basedOn w:val="DefaultParagraphFont"/>
    <w:link w:val="FootnoteText"/>
    <w:uiPriority w:val="99"/>
    <w:locked/>
    <w:rsid w:val="00437FA4"/>
  </w:style>
  <w:style w:type="character" w:styleId="FootnoteReference">
    <w:name w:val="footnote reference"/>
    <w:aliases w:val="Footnote Reference Number,Footnote Reference_LVL6,Footnote Reference_LVL61,Footnote Reference_LVL62,Footnote Reference_LVL63,Footnote Reference_LVL64,ftref,Знак сноски-FN,Char Char Char Char Car Char,Ref,de nota al pie,16 Point,fr"/>
    <w:basedOn w:val="DefaultParagraphFont"/>
    <w:uiPriority w:val="99"/>
    <w:rsid w:val="00E41228"/>
    <w:rPr>
      <w:rFonts w:cs="Times New Roman"/>
      <w:vertAlign w:val="superscript"/>
    </w:rPr>
  </w:style>
  <w:style w:type="paragraph" w:customStyle="1" w:styleId="Sub-Para1underX">
    <w:name w:val="Sub-Para 1 under X."/>
    <w:basedOn w:val="Normal"/>
    <w:uiPriority w:val="99"/>
    <w:rsid w:val="00E41228"/>
    <w:pPr>
      <w:tabs>
        <w:tab w:val="num" w:pos="1080"/>
      </w:tabs>
      <w:spacing w:after="240"/>
      <w:ind w:left="720" w:hanging="360"/>
      <w:outlineLvl w:val="2"/>
    </w:pPr>
  </w:style>
  <w:style w:type="paragraph" w:styleId="NormalWeb">
    <w:name w:val="Normal (Web)"/>
    <w:basedOn w:val="Normal"/>
    <w:uiPriority w:val="99"/>
    <w:rsid w:val="00E41228"/>
    <w:pPr>
      <w:numPr>
        <w:numId w:val="1"/>
      </w:numPr>
      <w:spacing w:before="100" w:beforeAutospacing="1" w:after="100" w:afterAutospacing="1" w:line="360" w:lineRule="auto"/>
    </w:pPr>
    <w:rPr>
      <w:lang w:eastAsia="cs-CZ"/>
    </w:rPr>
  </w:style>
  <w:style w:type="paragraph" w:styleId="BodyText">
    <w:name w:val="Body Text"/>
    <w:basedOn w:val="Normal"/>
    <w:link w:val="BodyTextChar"/>
    <w:uiPriority w:val="99"/>
    <w:rsid w:val="00E41228"/>
    <w:pPr>
      <w:spacing w:before="60" w:after="120" w:line="360" w:lineRule="auto"/>
      <w:jc w:val="both"/>
    </w:pPr>
    <w:rPr>
      <w:lang w:eastAsia="cs-CZ"/>
    </w:rPr>
  </w:style>
  <w:style w:type="character" w:customStyle="1" w:styleId="BodyTextChar">
    <w:name w:val="Body Text Char"/>
    <w:basedOn w:val="DefaultParagraphFont"/>
    <w:link w:val="BodyText"/>
    <w:uiPriority w:val="99"/>
    <w:semiHidden/>
    <w:locked/>
    <w:rsid w:val="008F53F2"/>
    <w:rPr>
      <w:rFonts w:cs="Times New Roman"/>
      <w:sz w:val="24"/>
      <w:szCs w:val="24"/>
    </w:rPr>
  </w:style>
  <w:style w:type="paragraph" w:styleId="BodyTextIndent">
    <w:name w:val="Body Text Indent"/>
    <w:basedOn w:val="Normal"/>
    <w:link w:val="BodyTextIndentChar"/>
    <w:uiPriority w:val="99"/>
    <w:rsid w:val="00E41228"/>
    <w:pPr>
      <w:numPr>
        <w:ilvl w:val="2"/>
        <w:numId w:val="1"/>
      </w:numPr>
      <w:spacing w:after="120"/>
      <w:ind w:left="360"/>
    </w:pPr>
  </w:style>
  <w:style w:type="character" w:customStyle="1" w:styleId="BodyTextIndentChar">
    <w:name w:val="Body Text Indent Char"/>
    <w:basedOn w:val="DefaultParagraphFont"/>
    <w:link w:val="BodyTextIndent"/>
    <w:uiPriority w:val="99"/>
    <w:semiHidden/>
    <w:locked/>
    <w:rsid w:val="008F53F2"/>
    <w:rPr>
      <w:rFonts w:cs="Times New Roman"/>
      <w:sz w:val="24"/>
      <w:szCs w:val="24"/>
    </w:rPr>
  </w:style>
  <w:style w:type="character" w:customStyle="1" w:styleId="StylSeznamsodrkami11bChar">
    <w:name w:val="Styl Seznam s odrážkami + 11 b. Char"/>
    <w:basedOn w:val="DefaultParagraphFont"/>
    <w:uiPriority w:val="99"/>
    <w:rsid w:val="00E41228"/>
    <w:rPr>
      <w:rFonts w:cs="Times New Roman"/>
      <w:sz w:val="24"/>
      <w:szCs w:val="24"/>
      <w:lang w:val="en-US" w:eastAsia="ar-SA" w:bidi="ar-SA"/>
    </w:rPr>
  </w:style>
  <w:style w:type="paragraph" w:customStyle="1" w:styleId="ParagraphNumbering">
    <w:name w:val="Paragraph Numbering"/>
    <w:basedOn w:val="Normal"/>
    <w:link w:val="ParagraphNumberingChar"/>
    <w:uiPriority w:val="99"/>
    <w:rsid w:val="00E41228"/>
    <w:pPr>
      <w:numPr>
        <w:ilvl w:val="4"/>
        <w:numId w:val="1"/>
      </w:numPr>
      <w:spacing w:after="240" w:line="264" w:lineRule="auto"/>
    </w:pPr>
  </w:style>
  <w:style w:type="character" w:customStyle="1" w:styleId="ParagraphNumberingChar">
    <w:name w:val="Paragraph Numbering Char"/>
    <w:basedOn w:val="DefaultParagraphFont"/>
    <w:link w:val="ParagraphNumbering"/>
    <w:uiPriority w:val="99"/>
    <w:locked/>
    <w:rsid w:val="00E41228"/>
    <w:rPr>
      <w:rFonts w:cs="Times New Roman"/>
      <w:sz w:val="24"/>
      <w:szCs w:val="24"/>
      <w:lang w:val="en-US" w:eastAsia="en-US" w:bidi="ar-SA"/>
    </w:rPr>
  </w:style>
  <w:style w:type="table" w:styleId="TableGrid">
    <w:name w:val="Table Grid"/>
    <w:basedOn w:val="TableNormal"/>
    <w:rsid w:val="00BF2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4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53F2"/>
    <w:rPr>
      <w:rFonts w:cs="Times New Roman"/>
      <w:sz w:val="2"/>
    </w:rPr>
  </w:style>
  <w:style w:type="character" w:styleId="FollowedHyperlink">
    <w:name w:val="FollowedHyperlink"/>
    <w:basedOn w:val="DefaultParagraphFont"/>
    <w:uiPriority w:val="99"/>
    <w:rsid w:val="000C2698"/>
    <w:rPr>
      <w:rFonts w:cs="Times New Roman"/>
      <w:color w:val="606420"/>
      <w:u w:val="single"/>
    </w:rPr>
  </w:style>
  <w:style w:type="character" w:customStyle="1" w:styleId="fnChar2">
    <w:name w:val="fn Char2"/>
    <w:aliases w:val="single space Char2,footnote text Char,FOOTNOTES Char Char"/>
    <w:basedOn w:val="DefaultParagraphFont"/>
    <w:uiPriority w:val="99"/>
    <w:rsid w:val="00A47038"/>
    <w:rPr>
      <w:rFonts w:ascii="Tahoma" w:hAnsi="Tahoma" w:cs="Tahoma"/>
      <w:sz w:val="16"/>
      <w:szCs w:val="16"/>
      <w:lang w:val="en-US" w:eastAsia="en-US" w:bidi="ar-SA"/>
    </w:rPr>
  </w:style>
  <w:style w:type="character" w:customStyle="1" w:styleId="ParagraphNumberingCar">
    <w:name w:val="Paragraph Numbering Car"/>
    <w:basedOn w:val="DefaultParagraphFont"/>
    <w:uiPriority w:val="99"/>
    <w:rsid w:val="006D3915"/>
    <w:rPr>
      <w:rFonts w:cs="Times New Roman"/>
      <w:sz w:val="24"/>
      <w:szCs w:val="24"/>
      <w:lang w:val="en-US" w:eastAsia="en-US" w:bidi="ar-SA"/>
    </w:rPr>
  </w:style>
  <w:style w:type="character" w:styleId="CommentReference">
    <w:name w:val="annotation reference"/>
    <w:basedOn w:val="DefaultParagraphFont"/>
    <w:uiPriority w:val="99"/>
    <w:rsid w:val="00087189"/>
    <w:rPr>
      <w:rFonts w:cs="Times New Roman"/>
      <w:sz w:val="16"/>
      <w:szCs w:val="16"/>
    </w:rPr>
  </w:style>
  <w:style w:type="paragraph" w:styleId="CommentText">
    <w:name w:val="annotation text"/>
    <w:basedOn w:val="Normal"/>
    <w:link w:val="CommentTextChar"/>
    <w:uiPriority w:val="99"/>
    <w:rsid w:val="00087189"/>
    <w:rPr>
      <w:sz w:val="20"/>
      <w:szCs w:val="20"/>
    </w:rPr>
  </w:style>
  <w:style w:type="character" w:customStyle="1" w:styleId="CommentTextChar">
    <w:name w:val="Comment Text Char"/>
    <w:basedOn w:val="DefaultParagraphFont"/>
    <w:link w:val="CommentText"/>
    <w:uiPriority w:val="99"/>
    <w:locked/>
    <w:rsid w:val="008F53F2"/>
    <w:rPr>
      <w:rFonts w:cs="Times New Roman"/>
      <w:sz w:val="20"/>
      <w:szCs w:val="20"/>
    </w:rPr>
  </w:style>
  <w:style w:type="paragraph" w:styleId="CommentSubject">
    <w:name w:val="annotation subject"/>
    <w:basedOn w:val="CommentText"/>
    <w:next w:val="CommentText"/>
    <w:link w:val="CommentSubjectChar"/>
    <w:uiPriority w:val="99"/>
    <w:semiHidden/>
    <w:rsid w:val="00087189"/>
    <w:rPr>
      <w:b/>
      <w:bCs/>
    </w:rPr>
  </w:style>
  <w:style w:type="character" w:customStyle="1" w:styleId="CommentSubjectChar">
    <w:name w:val="Comment Subject Char"/>
    <w:basedOn w:val="CommentTextChar"/>
    <w:link w:val="CommentSubject"/>
    <w:uiPriority w:val="99"/>
    <w:semiHidden/>
    <w:locked/>
    <w:rsid w:val="008F53F2"/>
    <w:rPr>
      <w:rFonts w:cs="Times New Roman"/>
      <w:b/>
      <w:bCs/>
      <w:sz w:val="20"/>
      <w:szCs w:val="20"/>
    </w:rPr>
  </w:style>
  <w:style w:type="character" w:styleId="Strong">
    <w:name w:val="Strong"/>
    <w:basedOn w:val="DefaultParagraphFont"/>
    <w:uiPriority w:val="99"/>
    <w:qFormat/>
    <w:rsid w:val="008A64DB"/>
    <w:rPr>
      <w:rFonts w:cs="Times New Roman"/>
      <w:b/>
      <w:bCs/>
    </w:rPr>
  </w:style>
  <w:style w:type="paragraph" w:styleId="TOC1">
    <w:name w:val="toc 1"/>
    <w:basedOn w:val="Normal"/>
    <w:next w:val="Normal"/>
    <w:autoRedefine/>
    <w:uiPriority w:val="39"/>
    <w:rsid w:val="00E604F4"/>
    <w:pPr>
      <w:tabs>
        <w:tab w:val="left" w:pos="450"/>
        <w:tab w:val="right" w:leader="dot" w:pos="8630"/>
      </w:tabs>
    </w:pPr>
  </w:style>
  <w:style w:type="paragraph" w:styleId="Caption">
    <w:name w:val="caption"/>
    <w:basedOn w:val="Normal"/>
    <w:next w:val="Normal"/>
    <w:uiPriority w:val="99"/>
    <w:qFormat/>
    <w:rsid w:val="00200DF9"/>
    <w:rPr>
      <w:b/>
      <w:bCs/>
      <w:sz w:val="20"/>
      <w:szCs w:val="20"/>
    </w:rPr>
  </w:style>
  <w:style w:type="paragraph" w:styleId="TOCHeading">
    <w:name w:val="TOC Heading"/>
    <w:basedOn w:val="Heading1"/>
    <w:next w:val="Normal"/>
    <w:uiPriority w:val="99"/>
    <w:qFormat/>
    <w:rsid w:val="003B552E"/>
    <w:pPr>
      <w:keepLines/>
      <w:spacing w:before="480" w:after="0" w:line="276" w:lineRule="auto"/>
      <w:outlineLvl w:val="9"/>
    </w:pPr>
    <w:rPr>
      <w:rFonts w:ascii="Cambria" w:hAnsi="Cambria" w:cs="Times New Roman"/>
      <w:color w:val="365F91"/>
      <w:kern w:val="0"/>
      <w:sz w:val="28"/>
      <w:szCs w:val="28"/>
    </w:rPr>
  </w:style>
  <w:style w:type="paragraph" w:styleId="DocumentMap">
    <w:name w:val="Document Map"/>
    <w:basedOn w:val="Normal"/>
    <w:link w:val="DocumentMapChar"/>
    <w:uiPriority w:val="99"/>
    <w:rsid w:val="00712F8D"/>
    <w:rPr>
      <w:rFonts w:ascii="Tahoma" w:hAnsi="Tahoma" w:cs="Tahoma"/>
      <w:sz w:val="16"/>
      <w:szCs w:val="16"/>
    </w:rPr>
  </w:style>
  <w:style w:type="character" w:customStyle="1" w:styleId="DocumentMapChar">
    <w:name w:val="Document Map Char"/>
    <w:basedOn w:val="DefaultParagraphFont"/>
    <w:link w:val="DocumentMap"/>
    <w:uiPriority w:val="99"/>
    <w:locked/>
    <w:rsid w:val="00712F8D"/>
    <w:rPr>
      <w:rFonts w:ascii="Tahoma" w:hAnsi="Tahoma" w:cs="Tahoma"/>
      <w:sz w:val="16"/>
      <w:szCs w:val="16"/>
    </w:rPr>
  </w:style>
  <w:style w:type="paragraph" w:styleId="Revision">
    <w:name w:val="Revision"/>
    <w:hidden/>
    <w:uiPriority w:val="99"/>
    <w:semiHidden/>
    <w:rsid w:val="0040706B"/>
    <w:rPr>
      <w:sz w:val="24"/>
      <w:szCs w:val="24"/>
    </w:rPr>
  </w:style>
  <w:style w:type="table" w:customStyle="1" w:styleId="LightShading1">
    <w:name w:val="Light Shading1"/>
    <w:uiPriority w:val="99"/>
    <w:rsid w:val="00324F2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6044A"/>
    <w:pPr>
      <w:ind w:left="720"/>
    </w:pPr>
  </w:style>
  <w:style w:type="table" w:customStyle="1" w:styleId="MediumShading21">
    <w:name w:val="Medium Shading 21"/>
    <w:uiPriority w:val="99"/>
    <w:rsid w:val="00981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TableofFiguresChar">
    <w:name w:val="Table of Figures Char"/>
    <w:basedOn w:val="DefaultParagraphFont"/>
    <w:link w:val="TableofFigures"/>
    <w:uiPriority w:val="99"/>
    <w:locked/>
    <w:rsid w:val="00707343"/>
    <w:rPr>
      <w:rFonts w:cs="Times New Roman"/>
      <w:bCs/>
      <w:iCs/>
      <w:noProof/>
    </w:rPr>
  </w:style>
  <w:style w:type="paragraph" w:customStyle="1" w:styleId="CAMBRIAHEADING1">
    <w:name w:val="CAMBRIA HEADING 1"/>
    <w:basedOn w:val="Normal"/>
    <w:link w:val="CAMBRIAHEADING1Char"/>
    <w:uiPriority w:val="99"/>
    <w:rsid w:val="004242AA"/>
    <w:pPr>
      <w:keepNext/>
      <w:spacing w:before="240" w:after="240"/>
      <w:ind w:left="720"/>
      <w:jc w:val="both"/>
      <w:outlineLvl w:val="0"/>
    </w:pPr>
    <w:rPr>
      <w:rFonts w:ascii="Cambria" w:hAnsi="Cambria"/>
      <w:b/>
      <w:iCs/>
      <w:smallCaps/>
      <w:sz w:val="36"/>
      <w:szCs w:val="28"/>
      <w:lang w:val="es-CO"/>
    </w:rPr>
  </w:style>
  <w:style w:type="character" w:customStyle="1" w:styleId="CAMBRIAHEADING1Char">
    <w:name w:val="CAMBRIA HEADING 1 Char"/>
    <w:basedOn w:val="DefaultParagraphFont"/>
    <w:link w:val="CAMBRIAHEADING1"/>
    <w:uiPriority w:val="99"/>
    <w:locked/>
    <w:rsid w:val="004242AA"/>
    <w:rPr>
      <w:rFonts w:ascii="Cambria" w:hAnsi="Cambria" w:cs="Times New Roman"/>
      <w:b/>
      <w:iCs/>
      <w:smallCaps/>
      <w:sz w:val="28"/>
      <w:szCs w:val="28"/>
      <w:lang w:val="es-CO"/>
    </w:rPr>
  </w:style>
  <w:style w:type="paragraph" w:customStyle="1" w:styleId="CAMBRIAHeading2">
    <w:name w:val="CAMBRIA Heading 2"/>
    <w:basedOn w:val="Normal"/>
    <w:link w:val="CAMBRIAHeading2Char"/>
    <w:uiPriority w:val="99"/>
    <w:rsid w:val="004242AA"/>
    <w:pPr>
      <w:keepNext/>
      <w:keepLines/>
      <w:spacing w:before="120" w:after="240"/>
      <w:outlineLvl w:val="1"/>
    </w:pPr>
    <w:rPr>
      <w:rFonts w:cs="Arial"/>
      <w:b/>
      <w:bCs/>
      <w:iCs/>
      <w:smallCaps/>
      <w:sz w:val="26"/>
      <w:szCs w:val="28"/>
    </w:rPr>
  </w:style>
  <w:style w:type="character" w:customStyle="1" w:styleId="CAMBRIAHeading2Char">
    <w:name w:val="CAMBRIA Heading 2 Char"/>
    <w:basedOn w:val="DefaultParagraphFont"/>
    <w:link w:val="CAMBRIAHeading2"/>
    <w:uiPriority w:val="99"/>
    <w:locked/>
    <w:rsid w:val="004242AA"/>
    <w:rPr>
      <w:rFonts w:cs="Arial"/>
      <w:b/>
      <w:bCs/>
      <w:iCs/>
      <w:smallCaps/>
      <w:sz w:val="28"/>
      <w:szCs w:val="28"/>
    </w:rPr>
  </w:style>
  <w:style w:type="paragraph" w:customStyle="1" w:styleId="Default">
    <w:name w:val="Default"/>
    <w:uiPriority w:val="99"/>
    <w:rsid w:val="00B37AB4"/>
    <w:pPr>
      <w:autoSpaceDE w:val="0"/>
      <w:autoSpaceDN w:val="0"/>
      <w:adjustRightInd w:val="0"/>
    </w:pPr>
    <w:rPr>
      <w:color w:val="000000"/>
      <w:sz w:val="24"/>
      <w:szCs w:val="24"/>
    </w:rPr>
  </w:style>
  <w:style w:type="character" w:customStyle="1" w:styleId="apple-style-span">
    <w:name w:val="apple-style-span"/>
    <w:basedOn w:val="DefaultParagraphFont"/>
    <w:uiPriority w:val="99"/>
    <w:rsid w:val="00B52203"/>
    <w:rPr>
      <w:rFonts w:cs="Times New Roman"/>
    </w:rPr>
  </w:style>
  <w:style w:type="character" w:customStyle="1" w:styleId="A3">
    <w:name w:val="A3"/>
    <w:uiPriority w:val="99"/>
    <w:rsid w:val="00283E3E"/>
    <w:rPr>
      <w:rFonts w:cs="Neutraface 2 Text Ligh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F7A74"/>
    <w:rPr>
      <w:sz w:val="24"/>
      <w:szCs w:val="24"/>
    </w:rPr>
  </w:style>
  <w:style w:type="paragraph" w:styleId="Heading1">
    <w:name w:val="heading 1"/>
    <w:basedOn w:val="Normal"/>
    <w:next w:val="Normal"/>
    <w:link w:val="Heading1Char"/>
    <w:uiPriority w:val="99"/>
    <w:qFormat/>
    <w:rsid w:val="005A2DBA"/>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FF7A74"/>
    <w:pPr>
      <w:spacing w:before="100" w:beforeAutospacing="1" w:after="100" w:afterAutospacing="1"/>
      <w:jc w:val="center"/>
      <w:outlineLvl w:val="1"/>
    </w:pPr>
    <w:rPr>
      <w:b/>
      <w:bCs/>
      <w:sz w:val="32"/>
      <w:szCs w:val="32"/>
      <w:u w:val="single"/>
    </w:rPr>
  </w:style>
  <w:style w:type="paragraph" w:styleId="Heading3">
    <w:name w:val="heading 3"/>
    <w:basedOn w:val="Normal"/>
    <w:next w:val="Normal"/>
    <w:link w:val="Heading3Char"/>
    <w:uiPriority w:val="99"/>
    <w:qFormat/>
    <w:rsid w:val="00542CD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90506"/>
    <w:pPr>
      <w:keepNext/>
      <w:keepLines/>
      <w:spacing w:before="120" w:after="240"/>
      <w:outlineLvl w:val="3"/>
    </w:pPr>
    <w:rPr>
      <w:bCs/>
      <w:i/>
      <w:szCs w:val="28"/>
    </w:rPr>
  </w:style>
  <w:style w:type="paragraph" w:styleId="Heading5">
    <w:name w:val="heading 5"/>
    <w:basedOn w:val="Normal"/>
    <w:next w:val="Normal"/>
    <w:link w:val="Heading5Char"/>
    <w:uiPriority w:val="99"/>
    <w:qFormat/>
    <w:rsid w:val="00C90506"/>
    <w:pPr>
      <w:spacing w:before="240" w:after="60"/>
      <w:outlineLvl w:val="4"/>
    </w:pPr>
    <w:rPr>
      <w:b/>
      <w:bCs/>
      <w:i/>
      <w:iCs/>
      <w:sz w:val="26"/>
      <w:szCs w:val="26"/>
    </w:rPr>
  </w:style>
  <w:style w:type="paragraph" w:styleId="Heading6">
    <w:name w:val="heading 6"/>
    <w:basedOn w:val="Normal"/>
    <w:next w:val="Normal"/>
    <w:link w:val="Heading6Char"/>
    <w:uiPriority w:val="99"/>
    <w:qFormat/>
    <w:rsid w:val="00C90506"/>
    <w:pPr>
      <w:spacing w:before="240" w:after="60"/>
      <w:outlineLvl w:val="5"/>
    </w:pPr>
    <w:rPr>
      <w:b/>
      <w:bCs/>
      <w:sz w:val="22"/>
      <w:szCs w:val="22"/>
    </w:rPr>
  </w:style>
  <w:style w:type="paragraph" w:styleId="Heading7">
    <w:name w:val="heading 7"/>
    <w:basedOn w:val="Normal"/>
    <w:next w:val="Normal"/>
    <w:link w:val="Heading7Char"/>
    <w:uiPriority w:val="99"/>
    <w:qFormat/>
    <w:rsid w:val="00C90506"/>
    <w:pPr>
      <w:spacing w:before="240" w:after="60"/>
      <w:outlineLvl w:val="6"/>
    </w:pPr>
  </w:style>
  <w:style w:type="paragraph" w:styleId="Heading8">
    <w:name w:val="heading 8"/>
    <w:basedOn w:val="Normal"/>
    <w:next w:val="Normal"/>
    <w:link w:val="Heading8Char"/>
    <w:uiPriority w:val="99"/>
    <w:qFormat/>
    <w:rsid w:val="00C90506"/>
    <w:pPr>
      <w:spacing w:before="240" w:after="60"/>
      <w:outlineLvl w:val="7"/>
    </w:pPr>
    <w:rPr>
      <w:i/>
      <w:iCs/>
    </w:rPr>
  </w:style>
  <w:style w:type="paragraph" w:styleId="Heading9">
    <w:name w:val="heading 9"/>
    <w:basedOn w:val="Normal"/>
    <w:next w:val="Normal"/>
    <w:link w:val="Heading9Char"/>
    <w:uiPriority w:val="99"/>
    <w:qFormat/>
    <w:rsid w:val="00C9050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53F2"/>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A74"/>
    <w:rPr>
      <w:rFonts w:cs="Times New Roman"/>
      <w:b/>
      <w:bCs/>
      <w:sz w:val="32"/>
      <w:szCs w:val="32"/>
      <w:u w:val="single"/>
      <w:lang w:val="en-US" w:eastAsia="en-US" w:bidi="ar-SA"/>
    </w:rPr>
  </w:style>
  <w:style w:type="character" w:customStyle="1" w:styleId="Heading3Char">
    <w:name w:val="Heading 3 Char"/>
    <w:basedOn w:val="DefaultParagraphFont"/>
    <w:link w:val="Heading3"/>
    <w:uiPriority w:val="99"/>
    <w:semiHidden/>
    <w:locked/>
    <w:rsid w:val="008F53F2"/>
    <w:rPr>
      <w:rFonts w:ascii="Cambria" w:hAnsi="Cambria" w:cs="Times New Roman"/>
      <w:b/>
      <w:bCs/>
      <w:sz w:val="26"/>
      <w:szCs w:val="26"/>
    </w:rPr>
  </w:style>
  <w:style w:type="character" w:customStyle="1" w:styleId="Heading4Char">
    <w:name w:val="Heading 4 Char"/>
    <w:basedOn w:val="DefaultParagraphFont"/>
    <w:link w:val="Heading4"/>
    <w:uiPriority w:val="99"/>
    <w:locked/>
    <w:rsid w:val="00C90506"/>
    <w:rPr>
      <w:rFonts w:cs="Times New Roman"/>
      <w:bCs/>
      <w:i/>
      <w:sz w:val="28"/>
      <w:szCs w:val="28"/>
    </w:rPr>
  </w:style>
  <w:style w:type="character" w:customStyle="1" w:styleId="Heading5Char">
    <w:name w:val="Heading 5 Char"/>
    <w:basedOn w:val="DefaultParagraphFont"/>
    <w:link w:val="Heading5"/>
    <w:uiPriority w:val="99"/>
    <w:locked/>
    <w:rsid w:val="00C90506"/>
    <w:rPr>
      <w:rFonts w:cs="Times New Roman"/>
      <w:b/>
      <w:bCs/>
      <w:i/>
      <w:iCs/>
      <w:sz w:val="26"/>
      <w:szCs w:val="26"/>
    </w:rPr>
  </w:style>
  <w:style w:type="character" w:customStyle="1" w:styleId="Heading6Char">
    <w:name w:val="Heading 6 Char"/>
    <w:basedOn w:val="DefaultParagraphFont"/>
    <w:link w:val="Heading6"/>
    <w:uiPriority w:val="99"/>
    <w:locked/>
    <w:rsid w:val="00C90506"/>
    <w:rPr>
      <w:rFonts w:cs="Times New Roman"/>
      <w:b/>
      <w:bCs/>
      <w:sz w:val="22"/>
      <w:szCs w:val="22"/>
    </w:rPr>
  </w:style>
  <w:style w:type="character" w:customStyle="1" w:styleId="Heading7Char">
    <w:name w:val="Heading 7 Char"/>
    <w:basedOn w:val="DefaultParagraphFont"/>
    <w:link w:val="Heading7"/>
    <w:uiPriority w:val="99"/>
    <w:locked/>
    <w:rsid w:val="00C90506"/>
    <w:rPr>
      <w:rFonts w:cs="Times New Roman"/>
      <w:sz w:val="24"/>
      <w:szCs w:val="24"/>
    </w:rPr>
  </w:style>
  <w:style w:type="character" w:customStyle="1" w:styleId="Heading8Char">
    <w:name w:val="Heading 8 Char"/>
    <w:basedOn w:val="DefaultParagraphFont"/>
    <w:link w:val="Heading8"/>
    <w:uiPriority w:val="99"/>
    <w:locked/>
    <w:rsid w:val="00C90506"/>
    <w:rPr>
      <w:rFonts w:cs="Times New Roman"/>
      <w:i/>
      <w:iCs/>
      <w:sz w:val="24"/>
      <w:szCs w:val="24"/>
    </w:rPr>
  </w:style>
  <w:style w:type="character" w:customStyle="1" w:styleId="Heading9Char">
    <w:name w:val="Heading 9 Char"/>
    <w:basedOn w:val="DefaultParagraphFont"/>
    <w:link w:val="Heading9"/>
    <w:uiPriority w:val="99"/>
    <w:locked/>
    <w:rsid w:val="00C90506"/>
    <w:rPr>
      <w:rFonts w:ascii="Arial" w:hAnsi="Arial" w:cs="Arial"/>
      <w:sz w:val="22"/>
      <w:szCs w:val="22"/>
    </w:rPr>
  </w:style>
  <w:style w:type="paragraph" w:styleId="Footer">
    <w:name w:val="footer"/>
    <w:basedOn w:val="Normal"/>
    <w:link w:val="FooterChar"/>
    <w:uiPriority w:val="99"/>
    <w:rsid w:val="00FF7A74"/>
    <w:pPr>
      <w:tabs>
        <w:tab w:val="center" w:pos="4320"/>
        <w:tab w:val="right" w:pos="8640"/>
      </w:tabs>
    </w:pPr>
  </w:style>
  <w:style w:type="character" w:customStyle="1" w:styleId="FooterChar">
    <w:name w:val="Footer Char"/>
    <w:basedOn w:val="DefaultParagraphFont"/>
    <w:link w:val="Footer"/>
    <w:uiPriority w:val="99"/>
    <w:locked/>
    <w:rsid w:val="008F53F2"/>
    <w:rPr>
      <w:rFonts w:cs="Times New Roman"/>
      <w:sz w:val="24"/>
      <w:szCs w:val="24"/>
    </w:rPr>
  </w:style>
  <w:style w:type="character" w:styleId="PageNumber">
    <w:name w:val="page number"/>
    <w:basedOn w:val="DefaultParagraphFont"/>
    <w:uiPriority w:val="99"/>
    <w:rsid w:val="00FF7A74"/>
    <w:rPr>
      <w:rFonts w:cs="Times New Roman"/>
    </w:rPr>
  </w:style>
  <w:style w:type="character" w:styleId="Hyperlink">
    <w:name w:val="Hyperlink"/>
    <w:basedOn w:val="DefaultParagraphFont"/>
    <w:uiPriority w:val="99"/>
    <w:rsid w:val="00FF7A74"/>
    <w:rPr>
      <w:rFonts w:cs="Times New Roman"/>
      <w:color w:val="0000FF"/>
      <w:u w:val="single"/>
    </w:rPr>
  </w:style>
  <w:style w:type="paragraph" w:styleId="Header">
    <w:name w:val="header"/>
    <w:basedOn w:val="Normal"/>
    <w:link w:val="HeaderChar"/>
    <w:rsid w:val="00FF7A74"/>
    <w:pPr>
      <w:tabs>
        <w:tab w:val="center" w:pos="4320"/>
        <w:tab w:val="right" w:pos="8640"/>
      </w:tabs>
    </w:pPr>
  </w:style>
  <w:style w:type="character" w:customStyle="1" w:styleId="HeaderChar">
    <w:name w:val="Header Char"/>
    <w:basedOn w:val="DefaultParagraphFont"/>
    <w:link w:val="Header"/>
    <w:locked/>
    <w:rsid w:val="008F53F2"/>
    <w:rPr>
      <w:rFonts w:cs="Times New Roman"/>
      <w:sz w:val="24"/>
      <w:szCs w:val="24"/>
    </w:rPr>
  </w:style>
  <w:style w:type="paragraph" w:styleId="TOC2">
    <w:name w:val="toc 2"/>
    <w:basedOn w:val="Normal"/>
    <w:next w:val="Normal"/>
    <w:autoRedefine/>
    <w:uiPriority w:val="99"/>
    <w:rsid w:val="004530B9"/>
    <w:pPr>
      <w:tabs>
        <w:tab w:val="right" w:leader="dot" w:pos="8630"/>
      </w:tabs>
      <w:ind w:left="240"/>
    </w:pPr>
    <w:rPr>
      <w:noProof/>
      <w:color w:val="000000"/>
      <w:sz w:val="22"/>
      <w:szCs w:val="22"/>
    </w:rPr>
  </w:style>
  <w:style w:type="paragraph" w:styleId="TOC3">
    <w:name w:val="toc 3"/>
    <w:basedOn w:val="Normal"/>
    <w:next w:val="Normal"/>
    <w:autoRedefine/>
    <w:uiPriority w:val="99"/>
    <w:rsid w:val="00E54621"/>
    <w:pPr>
      <w:tabs>
        <w:tab w:val="right" w:leader="dot" w:pos="8630"/>
      </w:tabs>
      <w:ind w:left="480"/>
      <w:jc w:val="right"/>
    </w:pPr>
    <w:rPr>
      <w:rFonts w:ascii="Times New Roman Bold" w:hAnsi="Times New Roman Bold"/>
      <w:noProof/>
    </w:rPr>
  </w:style>
  <w:style w:type="paragraph" w:styleId="TableofFigures">
    <w:name w:val="table of figures"/>
    <w:basedOn w:val="Normal"/>
    <w:next w:val="Normal"/>
    <w:link w:val="TableofFiguresChar"/>
    <w:autoRedefine/>
    <w:uiPriority w:val="99"/>
    <w:rsid w:val="00707343"/>
    <w:pPr>
      <w:tabs>
        <w:tab w:val="right" w:leader="dot" w:pos="8630"/>
      </w:tabs>
    </w:pPr>
    <w:rPr>
      <w:bCs/>
      <w:iCs/>
      <w:noProof/>
    </w:rPr>
  </w:style>
  <w:style w:type="paragraph" w:styleId="Title">
    <w:name w:val="Title"/>
    <w:basedOn w:val="Normal"/>
    <w:link w:val="TitleChar"/>
    <w:qFormat/>
    <w:rsid w:val="00FF7A74"/>
    <w:pPr>
      <w:jc w:val="center"/>
    </w:pPr>
    <w:rPr>
      <w:b/>
      <w:bCs/>
    </w:rPr>
  </w:style>
  <w:style w:type="character" w:customStyle="1" w:styleId="TitleChar">
    <w:name w:val="Title Char"/>
    <w:basedOn w:val="DefaultParagraphFont"/>
    <w:link w:val="Title"/>
    <w:locked/>
    <w:rsid w:val="008F53F2"/>
    <w:rPr>
      <w:rFonts w:ascii="Cambria" w:hAnsi="Cambria" w:cs="Times New Roman"/>
      <w:b/>
      <w:bCs/>
      <w:kern w:val="28"/>
      <w:sz w:val="32"/>
      <w:szCs w:val="32"/>
    </w:rPr>
  </w:style>
  <w:style w:type="paragraph" w:styleId="Subtitle">
    <w:name w:val="Subtitle"/>
    <w:basedOn w:val="Normal"/>
    <w:link w:val="SubtitleChar"/>
    <w:qFormat/>
    <w:rsid w:val="00FF7A74"/>
    <w:pPr>
      <w:jc w:val="center"/>
    </w:pPr>
    <w:rPr>
      <w:sz w:val="28"/>
    </w:rPr>
  </w:style>
  <w:style w:type="character" w:customStyle="1" w:styleId="SubtitleChar">
    <w:name w:val="Subtitle Char"/>
    <w:basedOn w:val="DefaultParagraphFont"/>
    <w:link w:val="Subtitle"/>
    <w:locked/>
    <w:rsid w:val="008F53F2"/>
    <w:rPr>
      <w:rFonts w:ascii="Cambria" w:hAnsi="Cambria" w:cs="Times New Roman"/>
      <w:sz w:val="24"/>
      <w:szCs w:val="24"/>
    </w:rPr>
  </w:style>
  <w:style w:type="paragraph" w:styleId="FootnoteText">
    <w:name w:val="footnote text"/>
    <w:aliases w:val="fn,single space,FOOTNOTES,Footnote,Fußnote,FSR footnote,lábléc,Footnote Text Char Char Char Char Char Char,Footnote Text Char,Footnote Text Char2 Char,Footnote Text Char1 Char Char,Footnote Text Char Char Char Char,text"/>
    <w:basedOn w:val="Normal"/>
    <w:link w:val="FootnoteTextChar2"/>
    <w:autoRedefine/>
    <w:uiPriority w:val="99"/>
    <w:rsid w:val="00437FA4"/>
    <w:pPr>
      <w:jc w:val="both"/>
    </w:pPr>
    <w:rPr>
      <w:sz w:val="20"/>
      <w:szCs w:val="20"/>
    </w:rPr>
  </w:style>
  <w:style w:type="character" w:customStyle="1" w:styleId="FootnoteTextChar1">
    <w:name w:val="Footnote Text Char1"/>
    <w:aliases w:val="fn Char,single space Char,FOOTNOTES Char,Footnote Char,Fußnote Char,FSR footnote Char,lábléc Char,Footnote Text Char Char Char Char Char Char Char,Footnote Text Char Char,Footnote Text Char2 Char Char,text Char"/>
    <w:basedOn w:val="DefaultParagraphFont"/>
    <w:uiPriority w:val="99"/>
    <w:locked/>
    <w:rsid w:val="008F53F2"/>
    <w:rPr>
      <w:rFonts w:cs="Times New Roman"/>
      <w:sz w:val="20"/>
      <w:szCs w:val="20"/>
    </w:rPr>
  </w:style>
  <w:style w:type="character" w:customStyle="1" w:styleId="FootnoteTextChar2">
    <w:name w:val="Footnote Text Char2"/>
    <w:aliases w:val="fn Char1,single space Char1,FOOTNOTES Char1,Footnote Char1,Fußnote Char1,FSR footnote Char1,lábléc Char1,Footnote Text Char Char Char Char Char Char Char1,Footnote Text Char Char1,Footnote Text Char2 Char Char1,text Char1"/>
    <w:basedOn w:val="DefaultParagraphFont"/>
    <w:link w:val="FootnoteText"/>
    <w:uiPriority w:val="99"/>
    <w:locked/>
    <w:rsid w:val="00437FA4"/>
  </w:style>
  <w:style w:type="character" w:styleId="FootnoteReference">
    <w:name w:val="footnote reference"/>
    <w:aliases w:val="Footnote Reference Number,Footnote Reference_LVL6,Footnote Reference_LVL61,Footnote Reference_LVL62,Footnote Reference_LVL63,Footnote Reference_LVL64,ftref,Знак сноски-FN,Char Char Char Char Car Char,Ref,de nota al pie,16 Point,fr"/>
    <w:basedOn w:val="DefaultParagraphFont"/>
    <w:uiPriority w:val="99"/>
    <w:rsid w:val="00E41228"/>
    <w:rPr>
      <w:rFonts w:cs="Times New Roman"/>
      <w:vertAlign w:val="superscript"/>
    </w:rPr>
  </w:style>
  <w:style w:type="paragraph" w:customStyle="1" w:styleId="Sub-Para1underX">
    <w:name w:val="Sub-Para 1 under X."/>
    <w:basedOn w:val="Normal"/>
    <w:uiPriority w:val="99"/>
    <w:rsid w:val="00E41228"/>
    <w:pPr>
      <w:tabs>
        <w:tab w:val="num" w:pos="1080"/>
      </w:tabs>
      <w:spacing w:after="240"/>
      <w:ind w:left="720" w:hanging="360"/>
      <w:outlineLvl w:val="2"/>
    </w:pPr>
  </w:style>
  <w:style w:type="paragraph" w:styleId="NormalWeb">
    <w:name w:val="Normal (Web)"/>
    <w:basedOn w:val="Normal"/>
    <w:uiPriority w:val="99"/>
    <w:rsid w:val="00E41228"/>
    <w:pPr>
      <w:numPr>
        <w:numId w:val="1"/>
      </w:numPr>
      <w:spacing w:before="100" w:beforeAutospacing="1" w:after="100" w:afterAutospacing="1" w:line="360" w:lineRule="auto"/>
    </w:pPr>
    <w:rPr>
      <w:lang w:eastAsia="cs-CZ"/>
    </w:rPr>
  </w:style>
  <w:style w:type="paragraph" w:styleId="BodyText">
    <w:name w:val="Body Text"/>
    <w:basedOn w:val="Normal"/>
    <w:link w:val="BodyTextChar"/>
    <w:uiPriority w:val="99"/>
    <w:rsid w:val="00E41228"/>
    <w:pPr>
      <w:spacing w:before="60" w:after="120" w:line="360" w:lineRule="auto"/>
      <w:jc w:val="both"/>
    </w:pPr>
    <w:rPr>
      <w:lang w:eastAsia="cs-CZ"/>
    </w:rPr>
  </w:style>
  <w:style w:type="character" w:customStyle="1" w:styleId="BodyTextChar">
    <w:name w:val="Body Text Char"/>
    <w:basedOn w:val="DefaultParagraphFont"/>
    <w:link w:val="BodyText"/>
    <w:uiPriority w:val="99"/>
    <w:semiHidden/>
    <w:locked/>
    <w:rsid w:val="008F53F2"/>
    <w:rPr>
      <w:rFonts w:cs="Times New Roman"/>
      <w:sz w:val="24"/>
      <w:szCs w:val="24"/>
    </w:rPr>
  </w:style>
  <w:style w:type="paragraph" w:styleId="BodyTextIndent">
    <w:name w:val="Body Text Indent"/>
    <w:basedOn w:val="Normal"/>
    <w:link w:val="BodyTextIndentChar"/>
    <w:uiPriority w:val="99"/>
    <w:rsid w:val="00E41228"/>
    <w:pPr>
      <w:numPr>
        <w:ilvl w:val="2"/>
        <w:numId w:val="1"/>
      </w:numPr>
      <w:spacing w:after="120"/>
      <w:ind w:left="360"/>
    </w:pPr>
  </w:style>
  <w:style w:type="character" w:customStyle="1" w:styleId="BodyTextIndentChar">
    <w:name w:val="Body Text Indent Char"/>
    <w:basedOn w:val="DefaultParagraphFont"/>
    <w:link w:val="BodyTextIndent"/>
    <w:uiPriority w:val="99"/>
    <w:semiHidden/>
    <w:locked/>
    <w:rsid w:val="008F53F2"/>
    <w:rPr>
      <w:rFonts w:cs="Times New Roman"/>
      <w:sz w:val="24"/>
      <w:szCs w:val="24"/>
    </w:rPr>
  </w:style>
  <w:style w:type="character" w:customStyle="1" w:styleId="StylSeznamsodrkami11bChar">
    <w:name w:val="Styl Seznam s odrážkami + 11 b. Char"/>
    <w:basedOn w:val="DefaultParagraphFont"/>
    <w:uiPriority w:val="99"/>
    <w:rsid w:val="00E41228"/>
    <w:rPr>
      <w:rFonts w:cs="Times New Roman"/>
      <w:sz w:val="24"/>
      <w:szCs w:val="24"/>
      <w:lang w:val="en-US" w:eastAsia="ar-SA" w:bidi="ar-SA"/>
    </w:rPr>
  </w:style>
  <w:style w:type="paragraph" w:customStyle="1" w:styleId="ParagraphNumbering">
    <w:name w:val="Paragraph Numbering"/>
    <w:basedOn w:val="Normal"/>
    <w:link w:val="ParagraphNumberingChar"/>
    <w:uiPriority w:val="99"/>
    <w:rsid w:val="00E41228"/>
    <w:pPr>
      <w:numPr>
        <w:ilvl w:val="4"/>
        <w:numId w:val="1"/>
      </w:numPr>
      <w:spacing w:after="240" w:line="264" w:lineRule="auto"/>
    </w:pPr>
  </w:style>
  <w:style w:type="character" w:customStyle="1" w:styleId="ParagraphNumberingChar">
    <w:name w:val="Paragraph Numbering Char"/>
    <w:basedOn w:val="DefaultParagraphFont"/>
    <w:link w:val="ParagraphNumbering"/>
    <w:uiPriority w:val="99"/>
    <w:locked/>
    <w:rsid w:val="00E41228"/>
    <w:rPr>
      <w:rFonts w:cs="Times New Roman"/>
      <w:sz w:val="24"/>
      <w:szCs w:val="24"/>
      <w:lang w:val="en-US" w:eastAsia="en-US" w:bidi="ar-SA"/>
    </w:rPr>
  </w:style>
  <w:style w:type="table" w:styleId="TableGrid">
    <w:name w:val="Table Grid"/>
    <w:basedOn w:val="TableNormal"/>
    <w:rsid w:val="00BF2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4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53F2"/>
    <w:rPr>
      <w:rFonts w:cs="Times New Roman"/>
      <w:sz w:val="2"/>
    </w:rPr>
  </w:style>
  <w:style w:type="character" w:styleId="FollowedHyperlink">
    <w:name w:val="FollowedHyperlink"/>
    <w:basedOn w:val="DefaultParagraphFont"/>
    <w:uiPriority w:val="99"/>
    <w:rsid w:val="000C2698"/>
    <w:rPr>
      <w:rFonts w:cs="Times New Roman"/>
      <w:color w:val="606420"/>
      <w:u w:val="single"/>
    </w:rPr>
  </w:style>
  <w:style w:type="character" w:customStyle="1" w:styleId="fnChar2">
    <w:name w:val="fn Char2"/>
    <w:aliases w:val="single space Char2,footnote text Char,FOOTNOTES Char Char"/>
    <w:basedOn w:val="DefaultParagraphFont"/>
    <w:uiPriority w:val="99"/>
    <w:rsid w:val="00A47038"/>
    <w:rPr>
      <w:rFonts w:ascii="Tahoma" w:hAnsi="Tahoma" w:cs="Tahoma"/>
      <w:sz w:val="16"/>
      <w:szCs w:val="16"/>
      <w:lang w:val="en-US" w:eastAsia="en-US" w:bidi="ar-SA"/>
    </w:rPr>
  </w:style>
  <w:style w:type="character" w:customStyle="1" w:styleId="ParagraphNumberingCar">
    <w:name w:val="Paragraph Numbering Car"/>
    <w:basedOn w:val="DefaultParagraphFont"/>
    <w:uiPriority w:val="99"/>
    <w:rsid w:val="006D3915"/>
    <w:rPr>
      <w:rFonts w:cs="Times New Roman"/>
      <w:sz w:val="24"/>
      <w:szCs w:val="24"/>
      <w:lang w:val="en-US" w:eastAsia="en-US" w:bidi="ar-SA"/>
    </w:rPr>
  </w:style>
  <w:style w:type="character" w:styleId="CommentReference">
    <w:name w:val="annotation reference"/>
    <w:basedOn w:val="DefaultParagraphFont"/>
    <w:uiPriority w:val="99"/>
    <w:rsid w:val="00087189"/>
    <w:rPr>
      <w:rFonts w:cs="Times New Roman"/>
      <w:sz w:val="16"/>
      <w:szCs w:val="16"/>
    </w:rPr>
  </w:style>
  <w:style w:type="paragraph" w:styleId="CommentText">
    <w:name w:val="annotation text"/>
    <w:basedOn w:val="Normal"/>
    <w:link w:val="CommentTextChar"/>
    <w:uiPriority w:val="99"/>
    <w:rsid w:val="00087189"/>
    <w:rPr>
      <w:sz w:val="20"/>
      <w:szCs w:val="20"/>
    </w:rPr>
  </w:style>
  <w:style w:type="character" w:customStyle="1" w:styleId="CommentTextChar">
    <w:name w:val="Comment Text Char"/>
    <w:basedOn w:val="DefaultParagraphFont"/>
    <w:link w:val="CommentText"/>
    <w:uiPriority w:val="99"/>
    <w:locked/>
    <w:rsid w:val="008F53F2"/>
    <w:rPr>
      <w:rFonts w:cs="Times New Roman"/>
      <w:sz w:val="20"/>
      <w:szCs w:val="20"/>
    </w:rPr>
  </w:style>
  <w:style w:type="paragraph" w:styleId="CommentSubject">
    <w:name w:val="annotation subject"/>
    <w:basedOn w:val="CommentText"/>
    <w:next w:val="CommentText"/>
    <w:link w:val="CommentSubjectChar"/>
    <w:uiPriority w:val="99"/>
    <w:semiHidden/>
    <w:rsid w:val="00087189"/>
    <w:rPr>
      <w:b/>
      <w:bCs/>
    </w:rPr>
  </w:style>
  <w:style w:type="character" w:customStyle="1" w:styleId="CommentSubjectChar">
    <w:name w:val="Comment Subject Char"/>
    <w:basedOn w:val="CommentTextChar"/>
    <w:link w:val="CommentSubject"/>
    <w:uiPriority w:val="99"/>
    <w:semiHidden/>
    <w:locked/>
    <w:rsid w:val="008F53F2"/>
    <w:rPr>
      <w:rFonts w:cs="Times New Roman"/>
      <w:b/>
      <w:bCs/>
      <w:sz w:val="20"/>
      <w:szCs w:val="20"/>
    </w:rPr>
  </w:style>
  <w:style w:type="character" w:styleId="Strong">
    <w:name w:val="Strong"/>
    <w:basedOn w:val="DefaultParagraphFont"/>
    <w:uiPriority w:val="99"/>
    <w:qFormat/>
    <w:rsid w:val="008A64DB"/>
    <w:rPr>
      <w:rFonts w:cs="Times New Roman"/>
      <w:b/>
      <w:bCs/>
    </w:rPr>
  </w:style>
  <w:style w:type="paragraph" w:styleId="TOC1">
    <w:name w:val="toc 1"/>
    <w:basedOn w:val="Normal"/>
    <w:next w:val="Normal"/>
    <w:autoRedefine/>
    <w:uiPriority w:val="39"/>
    <w:rsid w:val="00E604F4"/>
    <w:pPr>
      <w:tabs>
        <w:tab w:val="left" w:pos="450"/>
        <w:tab w:val="right" w:leader="dot" w:pos="8630"/>
      </w:tabs>
    </w:pPr>
  </w:style>
  <w:style w:type="paragraph" w:styleId="Caption">
    <w:name w:val="caption"/>
    <w:basedOn w:val="Normal"/>
    <w:next w:val="Normal"/>
    <w:uiPriority w:val="99"/>
    <w:qFormat/>
    <w:rsid w:val="00200DF9"/>
    <w:rPr>
      <w:b/>
      <w:bCs/>
      <w:sz w:val="20"/>
      <w:szCs w:val="20"/>
    </w:rPr>
  </w:style>
  <w:style w:type="paragraph" w:styleId="TOCHeading">
    <w:name w:val="TOC Heading"/>
    <w:basedOn w:val="Heading1"/>
    <w:next w:val="Normal"/>
    <w:uiPriority w:val="99"/>
    <w:qFormat/>
    <w:rsid w:val="003B552E"/>
    <w:pPr>
      <w:keepLines/>
      <w:spacing w:before="480" w:after="0" w:line="276" w:lineRule="auto"/>
      <w:outlineLvl w:val="9"/>
    </w:pPr>
    <w:rPr>
      <w:rFonts w:ascii="Cambria" w:hAnsi="Cambria" w:cs="Times New Roman"/>
      <w:color w:val="365F91"/>
      <w:kern w:val="0"/>
      <w:sz w:val="28"/>
      <w:szCs w:val="28"/>
    </w:rPr>
  </w:style>
  <w:style w:type="paragraph" w:styleId="DocumentMap">
    <w:name w:val="Document Map"/>
    <w:basedOn w:val="Normal"/>
    <w:link w:val="DocumentMapChar"/>
    <w:uiPriority w:val="99"/>
    <w:rsid w:val="00712F8D"/>
    <w:rPr>
      <w:rFonts w:ascii="Tahoma" w:hAnsi="Tahoma" w:cs="Tahoma"/>
      <w:sz w:val="16"/>
      <w:szCs w:val="16"/>
    </w:rPr>
  </w:style>
  <w:style w:type="character" w:customStyle="1" w:styleId="DocumentMapChar">
    <w:name w:val="Document Map Char"/>
    <w:basedOn w:val="DefaultParagraphFont"/>
    <w:link w:val="DocumentMap"/>
    <w:uiPriority w:val="99"/>
    <w:locked/>
    <w:rsid w:val="00712F8D"/>
    <w:rPr>
      <w:rFonts w:ascii="Tahoma" w:hAnsi="Tahoma" w:cs="Tahoma"/>
      <w:sz w:val="16"/>
      <w:szCs w:val="16"/>
    </w:rPr>
  </w:style>
  <w:style w:type="paragraph" w:styleId="Revision">
    <w:name w:val="Revision"/>
    <w:hidden/>
    <w:uiPriority w:val="99"/>
    <w:semiHidden/>
    <w:rsid w:val="0040706B"/>
    <w:rPr>
      <w:sz w:val="24"/>
      <w:szCs w:val="24"/>
    </w:rPr>
  </w:style>
  <w:style w:type="table" w:customStyle="1" w:styleId="LightShading1">
    <w:name w:val="Light Shading1"/>
    <w:uiPriority w:val="99"/>
    <w:rsid w:val="00324F2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6044A"/>
    <w:pPr>
      <w:ind w:left="720"/>
    </w:pPr>
  </w:style>
  <w:style w:type="table" w:customStyle="1" w:styleId="MediumShading21">
    <w:name w:val="Medium Shading 21"/>
    <w:uiPriority w:val="99"/>
    <w:rsid w:val="00981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TableofFiguresChar">
    <w:name w:val="Table of Figures Char"/>
    <w:basedOn w:val="DefaultParagraphFont"/>
    <w:link w:val="TableofFigures"/>
    <w:uiPriority w:val="99"/>
    <w:locked/>
    <w:rsid w:val="00707343"/>
    <w:rPr>
      <w:rFonts w:cs="Times New Roman"/>
      <w:bCs/>
      <w:iCs/>
      <w:noProof/>
    </w:rPr>
  </w:style>
  <w:style w:type="paragraph" w:customStyle="1" w:styleId="CAMBRIAHEADING1">
    <w:name w:val="CAMBRIA HEADING 1"/>
    <w:basedOn w:val="Normal"/>
    <w:link w:val="CAMBRIAHEADING1Char"/>
    <w:uiPriority w:val="99"/>
    <w:rsid w:val="004242AA"/>
    <w:pPr>
      <w:keepNext/>
      <w:spacing w:before="240" w:after="240"/>
      <w:ind w:left="720"/>
      <w:jc w:val="both"/>
      <w:outlineLvl w:val="0"/>
    </w:pPr>
    <w:rPr>
      <w:rFonts w:ascii="Cambria" w:hAnsi="Cambria"/>
      <w:b/>
      <w:iCs/>
      <w:smallCaps/>
      <w:sz w:val="36"/>
      <w:szCs w:val="28"/>
      <w:lang w:val="es-CO"/>
    </w:rPr>
  </w:style>
  <w:style w:type="character" w:customStyle="1" w:styleId="CAMBRIAHEADING1Char">
    <w:name w:val="CAMBRIA HEADING 1 Char"/>
    <w:basedOn w:val="DefaultParagraphFont"/>
    <w:link w:val="CAMBRIAHEADING1"/>
    <w:uiPriority w:val="99"/>
    <w:locked/>
    <w:rsid w:val="004242AA"/>
    <w:rPr>
      <w:rFonts w:ascii="Cambria" w:hAnsi="Cambria" w:cs="Times New Roman"/>
      <w:b/>
      <w:iCs/>
      <w:smallCaps/>
      <w:sz w:val="28"/>
      <w:szCs w:val="28"/>
      <w:lang w:val="es-CO"/>
    </w:rPr>
  </w:style>
  <w:style w:type="paragraph" w:customStyle="1" w:styleId="CAMBRIAHeading2">
    <w:name w:val="CAMBRIA Heading 2"/>
    <w:basedOn w:val="Normal"/>
    <w:link w:val="CAMBRIAHeading2Char"/>
    <w:uiPriority w:val="99"/>
    <w:rsid w:val="004242AA"/>
    <w:pPr>
      <w:keepNext/>
      <w:keepLines/>
      <w:spacing w:before="120" w:after="240"/>
      <w:outlineLvl w:val="1"/>
    </w:pPr>
    <w:rPr>
      <w:rFonts w:cs="Arial"/>
      <w:b/>
      <w:bCs/>
      <w:iCs/>
      <w:smallCaps/>
      <w:sz w:val="26"/>
      <w:szCs w:val="28"/>
    </w:rPr>
  </w:style>
  <w:style w:type="character" w:customStyle="1" w:styleId="CAMBRIAHeading2Char">
    <w:name w:val="CAMBRIA Heading 2 Char"/>
    <w:basedOn w:val="DefaultParagraphFont"/>
    <w:link w:val="CAMBRIAHeading2"/>
    <w:uiPriority w:val="99"/>
    <w:locked/>
    <w:rsid w:val="004242AA"/>
    <w:rPr>
      <w:rFonts w:cs="Arial"/>
      <w:b/>
      <w:bCs/>
      <w:iCs/>
      <w:smallCaps/>
      <w:sz w:val="28"/>
      <w:szCs w:val="28"/>
    </w:rPr>
  </w:style>
  <w:style w:type="paragraph" w:customStyle="1" w:styleId="Default">
    <w:name w:val="Default"/>
    <w:uiPriority w:val="99"/>
    <w:rsid w:val="00B37AB4"/>
    <w:pPr>
      <w:autoSpaceDE w:val="0"/>
      <w:autoSpaceDN w:val="0"/>
      <w:adjustRightInd w:val="0"/>
    </w:pPr>
    <w:rPr>
      <w:color w:val="000000"/>
      <w:sz w:val="24"/>
      <w:szCs w:val="24"/>
    </w:rPr>
  </w:style>
  <w:style w:type="character" w:customStyle="1" w:styleId="apple-style-span">
    <w:name w:val="apple-style-span"/>
    <w:basedOn w:val="DefaultParagraphFont"/>
    <w:uiPriority w:val="99"/>
    <w:rsid w:val="00B52203"/>
    <w:rPr>
      <w:rFonts w:cs="Times New Roman"/>
    </w:rPr>
  </w:style>
  <w:style w:type="character" w:customStyle="1" w:styleId="A3">
    <w:name w:val="A3"/>
    <w:uiPriority w:val="99"/>
    <w:rsid w:val="00283E3E"/>
    <w:rPr>
      <w:rFonts w:cs="Neutraface 2 Text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63924">
      <w:marLeft w:val="0"/>
      <w:marRight w:val="0"/>
      <w:marTop w:val="0"/>
      <w:marBottom w:val="0"/>
      <w:divBdr>
        <w:top w:val="none" w:sz="0" w:space="0" w:color="auto"/>
        <w:left w:val="none" w:sz="0" w:space="0" w:color="auto"/>
        <w:bottom w:val="none" w:sz="0" w:space="0" w:color="auto"/>
        <w:right w:val="none" w:sz="0" w:space="0" w:color="auto"/>
      </w:divBdr>
    </w:div>
    <w:div w:id="944963925">
      <w:marLeft w:val="0"/>
      <w:marRight w:val="0"/>
      <w:marTop w:val="0"/>
      <w:marBottom w:val="0"/>
      <w:divBdr>
        <w:top w:val="none" w:sz="0" w:space="0" w:color="auto"/>
        <w:left w:val="none" w:sz="0" w:space="0" w:color="auto"/>
        <w:bottom w:val="none" w:sz="0" w:space="0" w:color="auto"/>
        <w:right w:val="none" w:sz="0" w:space="0" w:color="auto"/>
      </w:divBdr>
    </w:div>
    <w:div w:id="944963926">
      <w:marLeft w:val="0"/>
      <w:marRight w:val="0"/>
      <w:marTop w:val="0"/>
      <w:marBottom w:val="0"/>
      <w:divBdr>
        <w:top w:val="none" w:sz="0" w:space="0" w:color="auto"/>
        <w:left w:val="none" w:sz="0" w:space="0" w:color="auto"/>
        <w:bottom w:val="none" w:sz="0" w:space="0" w:color="auto"/>
        <w:right w:val="none" w:sz="0" w:space="0" w:color="auto"/>
      </w:divBdr>
    </w:div>
    <w:div w:id="944963927">
      <w:marLeft w:val="0"/>
      <w:marRight w:val="0"/>
      <w:marTop w:val="0"/>
      <w:marBottom w:val="0"/>
      <w:divBdr>
        <w:top w:val="none" w:sz="0" w:space="0" w:color="auto"/>
        <w:left w:val="none" w:sz="0" w:space="0" w:color="auto"/>
        <w:bottom w:val="none" w:sz="0" w:space="0" w:color="auto"/>
        <w:right w:val="none" w:sz="0" w:space="0" w:color="auto"/>
      </w:divBdr>
    </w:div>
    <w:div w:id="944963928">
      <w:marLeft w:val="0"/>
      <w:marRight w:val="0"/>
      <w:marTop w:val="0"/>
      <w:marBottom w:val="0"/>
      <w:divBdr>
        <w:top w:val="none" w:sz="0" w:space="0" w:color="auto"/>
        <w:left w:val="none" w:sz="0" w:space="0" w:color="auto"/>
        <w:bottom w:val="none" w:sz="0" w:space="0" w:color="auto"/>
        <w:right w:val="none" w:sz="0" w:space="0" w:color="auto"/>
      </w:divBdr>
    </w:div>
    <w:div w:id="944963929">
      <w:marLeft w:val="0"/>
      <w:marRight w:val="0"/>
      <w:marTop w:val="0"/>
      <w:marBottom w:val="0"/>
      <w:divBdr>
        <w:top w:val="none" w:sz="0" w:space="0" w:color="auto"/>
        <w:left w:val="none" w:sz="0" w:space="0" w:color="auto"/>
        <w:bottom w:val="none" w:sz="0" w:space="0" w:color="auto"/>
        <w:right w:val="none" w:sz="0" w:space="0" w:color="auto"/>
      </w:divBdr>
    </w:div>
    <w:div w:id="944963930">
      <w:marLeft w:val="0"/>
      <w:marRight w:val="0"/>
      <w:marTop w:val="0"/>
      <w:marBottom w:val="0"/>
      <w:divBdr>
        <w:top w:val="none" w:sz="0" w:space="0" w:color="auto"/>
        <w:left w:val="none" w:sz="0" w:space="0" w:color="auto"/>
        <w:bottom w:val="none" w:sz="0" w:space="0" w:color="auto"/>
        <w:right w:val="none" w:sz="0" w:space="0" w:color="auto"/>
      </w:divBdr>
    </w:div>
    <w:div w:id="944963931">
      <w:marLeft w:val="0"/>
      <w:marRight w:val="0"/>
      <w:marTop w:val="0"/>
      <w:marBottom w:val="0"/>
      <w:divBdr>
        <w:top w:val="none" w:sz="0" w:space="0" w:color="auto"/>
        <w:left w:val="none" w:sz="0" w:space="0" w:color="auto"/>
        <w:bottom w:val="none" w:sz="0" w:space="0" w:color="auto"/>
        <w:right w:val="none" w:sz="0" w:space="0" w:color="auto"/>
      </w:divBdr>
    </w:div>
    <w:div w:id="944963932">
      <w:marLeft w:val="0"/>
      <w:marRight w:val="0"/>
      <w:marTop w:val="0"/>
      <w:marBottom w:val="0"/>
      <w:divBdr>
        <w:top w:val="none" w:sz="0" w:space="0" w:color="auto"/>
        <w:left w:val="none" w:sz="0" w:space="0" w:color="auto"/>
        <w:bottom w:val="none" w:sz="0" w:space="0" w:color="auto"/>
        <w:right w:val="none" w:sz="0" w:space="0" w:color="auto"/>
      </w:divBdr>
    </w:div>
    <w:div w:id="944963933">
      <w:marLeft w:val="0"/>
      <w:marRight w:val="0"/>
      <w:marTop w:val="0"/>
      <w:marBottom w:val="0"/>
      <w:divBdr>
        <w:top w:val="none" w:sz="0" w:space="0" w:color="auto"/>
        <w:left w:val="none" w:sz="0" w:space="0" w:color="auto"/>
        <w:bottom w:val="none" w:sz="0" w:space="0" w:color="auto"/>
        <w:right w:val="none" w:sz="0" w:space="0" w:color="auto"/>
      </w:divBdr>
    </w:div>
    <w:div w:id="944963934">
      <w:marLeft w:val="0"/>
      <w:marRight w:val="0"/>
      <w:marTop w:val="0"/>
      <w:marBottom w:val="0"/>
      <w:divBdr>
        <w:top w:val="none" w:sz="0" w:space="0" w:color="auto"/>
        <w:left w:val="none" w:sz="0" w:space="0" w:color="auto"/>
        <w:bottom w:val="none" w:sz="0" w:space="0" w:color="auto"/>
        <w:right w:val="none" w:sz="0" w:space="0" w:color="auto"/>
      </w:divBdr>
    </w:div>
    <w:div w:id="18774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http://gsd.worldbank.org/download/wbcube-m.gi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cid:0__=0ABBF0BBDFC6656E8f9e8a93df@worldbank.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bs.gob.pe" TargetMode="External"/><Relationship Id="rId1" Type="http://schemas.openxmlformats.org/officeDocument/2006/relationships/hyperlink" Target="http://www.worldbank.org/consumer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B3466-282F-493A-B0C0-293E333E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15412</Words>
  <Characters>87850</Characters>
  <Application>Microsoft Office Word</Application>
  <DocSecurity>0</DocSecurity>
  <Lines>732</Lines>
  <Paragraphs>206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DRAFT</vt:lpstr>
      <vt:lpstr>DRAFT</vt:lpstr>
    </vt:vector>
  </TitlesOfParts>
  <Company>The World Bank Group</Company>
  <LinksUpToDate>false</LinksUpToDate>
  <CharactersWithSpaces>103056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Tomáš Prouza</dc:creator>
  <cp:lastModifiedBy>Jeannette Marie Smith</cp:lastModifiedBy>
  <cp:revision>3</cp:revision>
  <cp:lastPrinted>2012-08-18T10:32:00Z</cp:lastPrinted>
  <dcterms:created xsi:type="dcterms:W3CDTF">2013-03-28T21:04:00Z</dcterms:created>
  <dcterms:modified xsi:type="dcterms:W3CDTF">2013-03-29T19:23:00Z</dcterms:modified>
</cp:coreProperties>
</file>