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36" w:rsidRPr="00EC121C" w:rsidRDefault="00C03014" w:rsidP="00C03014">
      <w:pPr>
        <w:pStyle w:val="Title"/>
        <w:rPr>
          <w:rFonts w:ascii="Garamond" w:hAnsi="Garamond"/>
          <w:sz w:val="40"/>
          <w:szCs w:val="40"/>
        </w:rPr>
      </w:pPr>
      <w:r w:rsidRPr="00EC121C">
        <w:rPr>
          <w:rFonts w:ascii="Garamond" w:hAnsi="Garamond"/>
          <w:sz w:val="40"/>
          <w:szCs w:val="40"/>
        </w:rPr>
        <w:t xml:space="preserve">Small area estimates of </w:t>
      </w:r>
      <w:r w:rsidR="00394ABD">
        <w:rPr>
          <w:rFonts w:ascii="Garamond" w:hAnsi="Garamond"/>
          <w:sz w:val="40"/>
          <w:szCs w:val="40"/>
        </w:rPr>
        <w:t xml:space="preserve">income </w:t>
      </w:r>
      <w:r w:rsidRPr="00EC121C">
        <w:rPr>
          <w:rFonts w:ascii="Garamond" w:hAnsi="Garamond"/>
          <w:sz w:val="40"/>
          <w:szCs w:val="40"/>
        </w:rPr>
        <w:t>poverty in Croatia: methodological report</w:t>
      </w:r>
      <w:r w:rsidR="00394ABD">
        <w:rPr>
          <w:rFonts w:ascii="Garamond" w:hAnsi="Garamond"/>
          <w:sz w:val="40"/>
          <w:szCs w:val="40"/>
        </w:rPr>
        <w:t xml:space="preserve"> </w:t>
      </w:r>
    </w:p>
    <w:p w:rsidR="00C03014" w:rsidRPr="00EC121C" w:rsidRDefault="00C03014" w:rsidP="00C03014">
      <w:pPr>
        <w:rPr>
          <w:rFonts w:ascii="Garamond" w:hAnsi="Garamond"/>
        </w:rPr>
      </w:pPr>
    </w:p>
    <w:p w:rsidR="00C03014" w:rsidRDefault="00C03014" w:rsidP="00CC0F6B">
      <w:pPr>
        <w:pStyle w:val="Heading1"/>
        <w:rPr>
          <w:rStyle w:val="Strong"/>
          <w:rFonts w:ascii="Garamond" w:hAnsi="Garamond"/>
        </w:rPr>
      </w:pPr>
      <w:r w:rsidRPr="00CC0F6B">
        <w:rPr>
          <w:rStyle w:val="Strong"/>
          <w:rFonts w:ascii="Garamond" w:hAnsi="Garamond"/>
        </w:rPr>
        <w:t>Introduction</w:t>
      </w:r>
    </w:p>
    <w:p w:rsidR="00CC0F6B" w:rsidRPr="00CC0F6B" w:rsidRDefault="00CC0F6B" w:rsidP="00CC0F6B"/>
    <w:p w:rsidR="00C03014" w:rsidRDefault="00C03014" w:rsidP="00C36306">
      <w:pPr>
        <w:spacing w:line="360" w:lineRule="auto"/>
        <w:jc w:val="both"/>
        <w:rPr>
          <w:rStyle w:val="Strong"/>
          <w:rFonts w:ascii="Garamond" w:hAnsi="Garamond"/>
          <w:b w:val="0"/>
        </w:rPr>
      </w:pPr>
      <w:r w:rsidRPr="00EC121C">
        <w:rPr>
          <w:rStyle w:val="Strong"/>
          <w:rFonts w:ascii="Garamond" w:hAnsi="Garamond"/>
          <w:b w:val="0"/>
        </w:rPr>
        <w:t>The At-Risk-of-Poverty (AROP) rate indicates the percentage of individuals</w:t>
      </w:r>
      <w:r w:rsidR="00A5437C" w:rsidRPr="00EC121C">
        <w:rPr>
          <w:rStyle w:val="Strong"/>
          <w:rFonts w:ascii="Garamond" w:hAnsi="Garamond"/>
          <w:b w:val="0"/>
        </w:rPr>
        <w:t xml:space="preserve"> within a country</w:t>
      </w:r>
      <w:r w:rsidRPr="00EC121C">
        <w:rPr>
          <w:rStyle w:val="Strong"/>
          <w:rFonts w:ascii="Garamond" w:hAnsi="Garamond"/>
          <w:b w:val="0"/>
        </w:rPr>
        <w:t xml:space="preserve"> who </w:t>
      </w:r>
      <w:r w:rsidR="00A5437C" w:rsidRPr="00EC121C">
        <w:rPr>
          <w:rStyle w:val="Strong"/>
          <w:rFonts w:ascii="Garamond" w:hAnsi="Garamond"/>
          <w:b w:val="0"/>
        </w:rPr>
        <w:t xml:space="preserve">live on less than 60 percent of the median national equivalized disposable income after social transfers. It is one of the main indicators derived from the European Union Statistics on Income and Living Conditions Survey (EU-SILC). </w:t>
      </w:r>
      <w:r w:rsidR="0051194B" w:rsidRPr="00EC121C">
        <w:rPr>
          <w:rStyle w:val="Strong"/>
          <w:rFonts w:ascii="Garamond" w:hAnsi="Garamond"/>
          <w:b w:val="0"/>
        </w:rPr>
        <w:t>In Croatia the EU-SILC is representative at the NUTS</w:t>
      </w:r>
      <w:r w:rsidR="0051194B" w:rsidRPr="00EC121C">
        <w:rPr>
          <w:rStyle w:val="FootnoteReference"/>
          <w:rFonts w:ascii="Garamond" w:hAnsi="Garamond"/>
          <w:bCs/>
        </w:rPr>
        <w:footnoteReference w:id="1"/>
      </w:r>
      <w:r w:rsidR="00056D5F">
        <w:rPr>
          <w:rStyle w:val="Strong"/>
          <w:rFonts w:ascii="Garamond" w:hAnsi="Garamond"/>
          <w:b w:val="0"/>
        </w:rPr>
        <w:t>-</w:t>
      </w:r>
      <w:r w:rsidR="00FD0E4F">
        <w:rPr>
          <w:rStyle w:val="Strong"/>
          <w:rFonts w:ascii="Garamond" w:hAnsi="Garamond"/>
          <w:b w:val="0"/>
        </w:rPr>
        <w:t>1 level as well as at the NUTS-</w:t>
      </w:r>
      <w:r w:rsidR="00EC3EB9" w:rsidRPr="00EC121C">
        <w:rPr>
          <w:rStyle w:val="Strong"/>
          <w:rFonts w:ascii="Garamond" w:hAnsi="Garamond"/>
          <w:b w:val="0"/>
        </w:rPr>
        <w:t>2. The National at-risk-of poverty rate for 201</w:t>
      </w:r>
      <w:r w:rsidR="00BE5DAF" w:rsidRPr="00EC121C">
        <w:rPr>
          <w:rStyle w:val="Strong"/>
          <w:rFonts w:ascii="Garamond" w:hAnsi="Garamond"/>
          <w:b w:val="0"/>
        </w:rPr>
        <w:t>2</w:t>
      </w:r>
      <w:r w:rsidR="00BE5DAF" w:rsidRPr="00EC121C">
        <w:rPr>
          <w:rStyle w:val="FootnoteReference"/>
          <w:rFonts w:ascii="Garamond" w:hAnsi="Garamond"/>
          <w:bCs/>
        </w:rPr>
        <w:footnoteReference w:id="2"/>
      </w:r>
      <w:r w:rsidR="00EC3EB9" w:rsidRPr="00EC121C">
        <w:rPr>
          <w:rStyle w:val="Strong"/>
          <w:rFonts w:ascii="Garamond" w:hAnsi="Garamond"/>
          <w:b w:val="0"/>
        </w:rPr>
        <w:t xml:space="preserve"> in Croatia is 20.4 percent</w:t>
      </w:r>
      <w:r w:rsidR="00BE5DAF" w:rsidRPr="00EC121C">
        <w:rPr>
          <w:rStyle w:val="Strong"/>
          <w:rFonts w:ascii="Garamond" w:hAnsi="Garamond"/>
          <w:b w:val="0"/>
        </w:rPr>
        <w:t xml:space="preserve">. While regional poverty rates are </w:t>
      </w:r>
      <w:r w:rsidR="00056D5F">
        <w:rPr>
          <w:rStyle w:val="Strong"/>
          <w:rFonts w:ascii="Garamond" w:hAnsi="Garamond"/>
          <w:b w:val="0"/>
        </w:rPr>
        <w:t>considerably different</w:t>
      </w:r>
      <w:r w:rsidR="00BE5DAF" w:rsidRPr="00EC121C">
        <w:rPr>
          <w:rStyle w:val="Strong"/>
          <w:rFonts w:ascii="Garamond" w:hAnsi="Garamond"/>
          <w:b w:val="0"/>
        </w:rPr>
        <w:t xml:space="preserve"> between </w:t>
      </w:r>
      <w:r w:rsidR="00056D5F">
        <w:rPr>
          <w:rStyle w:val="Strong"/>
          <w:rFonts w:ascii="Garamond" w:hAnsi="Garamond"/>
          <w:b w:val="0"/>
        </w:rPr>
        <w:t>Continental</w:t>
      </w:r>
      <w:r w:rsidR="00BE5DAF" w:rsidRPr="00EC121C">
        <w:rPr>
          <w:rStyle w:val="Strong"/>
          <w:rFonts w:ascii="Garamond" w:hAnsi="Garamond"/>
          <w:b w:val="0"/>
        </w:rPr>
        <w:t xml:space="preserve"> and Adriatic Croatia, </w:t>
      </w:r>
      <w:r w:rsidR="00056D5F">
        <w:rPr>
          <w:rStyle w:val="Strong"/>
          <w:rFonts w:ascii="Garamond" w:hAnsi="Garamond"/>
          <w:b w:val="0"/>
        </w:rPr>
        <w:t>22 and 17 percent respectively. Nevertheless it is possible that poverty levels within NUTS-2</w:t>
      </w:r>
      <w:r w:rsidR="00BE5DAF" w:rsidRPr="00EC121C">
        <w:rPr>
          <w:rStyle w:val="FootnoteReference"/>
          <w:rFonts w:ascii="Garamond" w:hAnsi="Garamond"/>
          <w:bCs/>
        </w:rPr>
        <w:footnoteReference w:id="3"/>
      </w:r>
      <w:r w:rsidR="002B2DA9" w:rsidRPr="00EC121C">
        <w:rPr>
          <w:rStyle w:val="Strong"/>
          <w:rFonts w:ascii="Garamond" w:hAnsi="Garamond"/>
          <w:b w:val="0"/>
        </w:rPr>
        <w:t xml:space="preserve"> </w:t>
      </w:r>
      <w:r w:rsidR="00056D5F">
        <w:rPr>
          <w:rStyle w:val="Strong"/>
          <w:rFonts w:ascii="Garamond" w:hAnsi="Garamond"/>
          <w:b w:val="0"/>
        </w:rPr>
        <w:t xml:space="preserve">spatial units, differ considerably. </w:t>
      </w:r>
    </w:p>
    <w:p w:rsidR="00747CE8" w:rsidRDefault="00747CE8" w:rsidP="00747CE8">
      <w:pPr>
        <w:spacing w:line="360" w:lineRule="auto"/>
        <w:jc w:val="center"/>
        <w:rPr>
          <w:rStyle w:val="Strong"/>
          <w:rFonts w:ascii="Garamond" w:hAnsi="Garamond"/>
        </w:rPr>
      </w:pPr>
      <w:r>
        <w:rPr>
          <w:rStyle w:val="Strong"/>
          <w:rFonts w:ascii="Garamond" w:hAnsi="Garamond"/>
        </w:rPr>
        <w:t>Figure 1: EU-SILC poverty map at level of representativeness</w:t>
      </w:r>
    </w:p>
    <w:p w:rsidR="00747CE8" w:rsidRPr="00747CE8" w:rsidRDefault="00FD1933" w:rsidP="00747CE8">
      <w:pPr>
        <w:spacing w:line="360" w:lineRule="auto"/>
        <w:jc w:val="center"/>
        <w:rPr>
          <w:rStyle w:val="Strong"/>
          <w:rFonts w:ascii="Garamond" w:hAnsi="Garamond"/>
        </w:rPr>
      </w:pPr>
      <w:r>
        <w:rPr>
          <w:rStyle w:val="Strong"/>
          <w:rFonts w:ascii="Garamond" w:hAnsi="Garamond"/>
          <w:noProof/>
        </w:rPr>
        <w:drawing>
          <wp:inline distT="0" distB="0" distL="0" distR="0">
            <wp:extent cx="3444877" cy="326257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817" cy="3267258"/>
                    </a:xfrm>
                    <a:prstGeom prst="rect">
                      <a:avLst/>
                    </a:prstGeom>
                    <a:noFill/>
                    <a:ln>
                      <a:noFill/>
                    </a:ln>
                  </pic:spPr>
                </pic:pic>
              </a:graphicData>
            </a:graphic>
          </wp:inline>
        </w:drawing>
      </w:r>
    </w:p>
    <w:p w:rsidR="00BE5DAF" w:rsidRPr="00EC121C" w:rsidRDefault="00BE5DAF" w:rsidP="00C36306">
      <w:pPr>
        <w:spacing w:line="360" w:lineRule="auto"/>
        <w:jc w:val="both"/>
        <w:rPr>
          <w:rStyle w:val="Strong"/>
          <w:rFonts w:ascii="Garamond" w:hAnsi="Garamond"/>
          <w:b w:val="0"/>
        </w:rPr>
      </w:pPr>
      <w:r w:rsidRPr="00EC121C">
        <w:rPr>
          <w:rStyle w:val="Strong"/>
          <w:rFonts w:ascii="Garamond" w:hAnsi="Garamond"/>
          <w:b w:val="0"/>
        </w:rPr>
        <w:lastRenderedPageBreak/>
        <w:t>Poverty figures at lower levels o</w:t>
      </w:r>
      <w:r w:rsidR="00056D5F">
        <w:rPr>
          <w:rStyle w:val="Strong"/>
          <w:rFonts w:ascii="Garamond" w:hAnsi="Garamond"/>
          <w:b w:val="0"/>
        </w:rPr>
        <w:t>f aggregation (for example NUTS-</w:t>
      </w:r>
      <w:r w:rsidRPr="00EC121C">
        <w:rPr>
          <w:rStyle w:val="Strong"/>
          <w:rFonts w:ascii="Garamond" w:hAnsi="Garamond"/>
          <w:b w:val="0"/>
        </w:rPr>
        <w:t>3</w:t>
      </w:r>
      <w:r w:rsidR="00056D5F">
        <w:rPr>
          <w:rStyle w:val="Strong"/>
          <w:rFonts w:ascii="Garamond" w:hAnsi="Garamond"/>
          <w:b w:val="0"/>
        </w:rPr>
        <w:t>, LAU-1, or LAU-</w:t>
      </w:r>
      <w:r w:rsidR="009B0F7F" w:rsidRPr="00EC121C">
        <w:rPr>
          <w:rStyle w:val="Strong"/>
          <w:rFonts w:ascii="Garamond" w:hAnsi="Garamond"/>
          <w:b w:val="0"/>
        </w:rPr>
        <w:t>2</w:t>
      </w:r>
      <w:r w:rsidRPr="00EC121C">
        <w:rPr>
          <w:rStyle w:val="Strong"/>
          <w:rFonts w:ascii="Garamond" w:hAnsi="Garamond"/>
          <w:b w:val="0"/>
        </w:rPr>
        <w:t xml:space="preserve">) for Croatia are not possible with the EU-SILC. </w:t>
      </w:r>
      <w:r w:rsidR="00CC0F6B">
        <w:rPr>
          <w:rFonts w:ascii="Garamond" w:hAnsi="Garamond"/>
        </w:rPr>
        <w:t xml:space="preserve">Geographical levels at which direct estimates lack the required precision are referred to as small areas (Guadarrama et al., 2015). Small area estimation (SAE) methods are those which seek to overcome the lack of precision.  SAE methods achieve this by incorporating data sources with larger coverage. </w:t>
      </w:r>
      <w:r w:rsidR="009B0F7F" w:rsidRPr="00EC121C">
        <w:rPr>
          <w:rStyle w:val="Strong"/>
          <w:rFonts w:ascii="Garamond" w:hAnsi="Garamond"/>
          <w:b w:val="0"/>
        </w:rPr>
        <w:t>These methods present a way to circumvent the low representativeness of household survey methods</w:t>
      </w:r>
      <w:r w:rsidR="00AB01F0" w:rsidRPr="00EC121C">
        <w:rPr>
          <w:rStyle w:val="Strong"/>
          <w:rFonts w:ascii="Garamond" w:hAnsi="Garamond"/>
          <w:b w:val="0"/>
        </w:rPr>
        <w:t xml:space="preserve"> by taking advantage of larger coverage surveys such as a census. In practice household surveys provide a satisfactory measure of welfare but </w:t>
      </w:r>
      <w:r w:rsidR="00CC0F6B">
        <w:rPr>
          <w:rStyle w:val="Strong"/>
          <w:rFonts w:ascii="Garamond" w:hAnsi="Garamond"/>
          <w:b w:val="0"/>
        </w:rPr>
        <w:t xml:space="preserve">possess </w:t>
      </w:r>
      <w:r w:rsidR="00AB01F0" w:rsidRPr="00EC121C">
        <w:rPr>
          <w:rStyle w:val="Strong"/>
          <w:rFonts w:ascii="Garamond" w:hAnsi="Garamond"/>
          <w:b w:val="0"/>
        </w:rPr>
        <w:t xml:space="preserve">low coverage, while the census has the coverage but lacks a suitable welfare measure. SAE methods take advantage of the best attributes of each data source in order to obtain welfare measures at levels of aggregation </w:t>
      </w:r>
      <w:r w:rsidR="003D1256" w:rsidRPr="00EC121C">
        <w:rPr>
          <w:rStyle w:val="Strong"/>
          <w:rFonts w:ascii="Garamond" w:hAnsi="Garamond"/>
          <w:b w:val="0"/>
        </w:rPr>
        <w:t xml:space="preserve">below those of the household survey’s representativeness. The use of SAE methods provides estimates of higher precision for small areas than those obtained </w:t>
      </w:r>
      <w:r w:rsidR="00AB01F0" w:rsidRPr="00EC121C">
        <w:rPr>
          <w:rStyle w:val="Strong"/>
          <w:rFonts w:ascii="Garamond" w:hAnsi="Garamond"/>
          <w:b w:val="0"/>
        </w:rPr>
        <w:t>using a household survey alone.</w:t>
      </w:r>
      <w:r w:rsidR="003D1256" w:rsidRPr="00EC121C">
        <w:rPr>
          <w:rStyle w:val="Strong"/>
          <w:rFonts w:ascii="Garamond" w:hAnsi="Garamond"/>
          <w:b w:val="0"/>
        </w:rPr>
        <w:t xml:space="preserve"> Higher precision of welfare for smaller areas allows policy makers to </w:t>
      </w:r>
      <w:r w:rsidR="00B241BD" w:rsidRPr="00EC121C">
        <w:rPr>
          <w:rStyle w:val="Strong"/>
          <w:rFonts w:ascii="Garamond" w:hAnsi="Garamond"/>
          <w:b w:val="0"/>
        </w:rPr>
        <w:t>better target assistance and interventions to the most disadvantaged communities.</w:t>
      </w:r>
    </w:p>
    <w:p w:rsidR="004B2B2A" w:rsidRPr="00EC121C" w:rsidRDefault="00F369E5" w:rsidP="00C36306">
      <w:pPr>
        <w:spacing w:line="360" w:lineRule="auto"/>
        <w:jc w:val="both"/>
        <w:rPr>
          <w:rStyle w:val="Strong"/>
          <w:rFonts w:ascii="Garamond" w:hAnsi="Garamond"/>
          <w:b w:val="0"/>
        </w:rPr>
      </w:pPr>
      <w:r w:rsidRPr="00EC121C">
        <w:rPr>
          <w:rStyle w:val="Strong"/>
          <w:rFonts w:ascii="Garamond" w:hAnsi="Garamond"/>
          <w:b w:val="0"/>
        </w:rPr>
        <w:t xml:space="preserve">The Census of Population, Households and Dwellings of 2011 for the Republic of Croatia when combined with the 2012 EU-SILC facilitates the estimation of welfare at the household level. </w:t>
      </w:r>
      <w:r w:rsidR="009A1130" w:rsidRPr="00EC121C">
        <w:rPr>
          <w:rStyle w:val="Strong"/>
          <w:rFonts w:ascii="Garamond" w:hAnsi="Garamond"/>
          <w:b w:val="0"/>
        </w:rPr>
        <w:t xml:space="preserve">This makes obtaining poverty rates for areas below those of the EU-SILC’s representativeness possible. The small area estimation methodology used to obtain the estimates follows the one proposed by Elbers, Lanjouw, and Lanjouw </w:t>
      </w:r>
      <w:r w:rsidR="00B63616" w:rsidRPr="00EC121C">
        <w:rPr>
          <w:rStyle w:val="Strong"/>
          <w:rFonts w:ascii="Garamond" w:hAnsi="Garamond"/>
          <w:b w:val="0"/>
        </w:rPr>
        <w:t xml:space="preserve">(ELL) </w:t>
      </w:r>
      <w:r w:rsidR="009A1130" w:rsidRPr="00EC121C">
        <w:rPr>
          <w:rStyle w:val="Strong"/>
          <w:rFonts w:ascii="Garamond" w:hAnsi="Garamond"/>
          <w:b w:val="0"/>
        </w:rPr>
        <w:t>(2003).</w:t>
      </w:r>
      <w:r w:rsidR="003D1256" w:rsidRPr="00EC121C">
        <w:rPr>
          <w:rStyle w:val="FootnoteReference"/>
          <w:rFonts w:ascii="Garamond" w:hAnsi="Garamond"/>
          <w:bCs/>
        </w:rPr>
        <w:footnoteReference w:id="4"/>
      </w:r>
      <w:r w:rsidR="009A1130" w:rsidRPr="00EC121C">
        <w:rPr>
          <w:rStyle w:val="Strong"/>
          <w:rFonts w:ascii="Garamond" w:hAnsi="Garamond"/>
          <w:b w:val="0"/>
        </w:rPr>
        <w:t xml:space="preserve"> </w:t>
      </w:r>
      <w:r w:rsidR="003D1256" w:rsidRPr="00EC121C">
        <w:rPr>
          <w:rStyle w:val="Strong"/>
          <w:rFonts w:ascii="Garamond" w:hAnsi="Garamond"/>
          <w:b w:val="0"/>
        </w:rPr>
        <w:t>The methodology is perhaps the most widely used</w:t>
      </w:r>
      <w:r w:rsidR="00B241BD" w:rsidRPr="00EC121C">
        <w:rPr>
          <w:rStyle w:val="Strong"/>
          <w:rFonts w:ascii="Garamond" w:hAnsi="Garamond"/>
          <w:b w:val="0"/>
        </w:rPr>
        <w:t xml:space="preserve"> for small area estimation</w:t>
      </w:r>
      <w:r w:rsidR="003D1256" w:rsidRPr="00EC121C">
        <w:rPr>
          <w:rStyle w:val="Strong"/>
          <w:rFonts w:ascii="Garamond" w:hAnsi="Garamond"/>
          <w:b w:val="0"/>
        </w:rPr>
        <w:t>,</w:t>
      </w:r>
      <w:r w:rsidR="00B241BD" w:rsidRPr="00EC121C">
        <w:rPr>
          <w:rStyle w:val="Strong"/>
          <w:rFonts w:ascii="Garamond" w:hAnsi="Garamond"/>
          <w:b w:val="0"/>
        </w:rPr>
        <w:t xml:space="preserve"> and has been applied to develop poverty maps in numerous countries across the globe. </w:t>
      </w:r>
      <w:r w:rsidR="00FC2F2A" w:rsidRPr="00EC121C">
        <w:rPr>
          <w:rStyle w:val="Strong"/>
          <w:rFonts w:ascii="Garamond" w:hAnsi="Garamond"/>
          <w:b w:val="0"/>
        </w:rPr>
        <w:t>Through the application of the analysis pred</w:t>
      </w:r>
      <w:r w:rsidR="008225FC">
        <w:rPr>
          <w:rStyle w:val="Strong"/>
          <w:rFonts w:ascii="Garamond" w:hAnsi="Garamond"/>
          <w:b w:val="0"/>
        </w:rPr>
        <w:t>icted poverty rates at the NUTS-</w:t>
      </w:r>
      <w:r w:rsidR="00FC2F2A" w:rsidRPr="00EC121C">
        <w:rPr>
          <w:rStyle w:val="Strong"/>
          <w:rFonts w:ascii="Garamond" w:hAnsi="Garamond"/>
          <w:b w:val="0"/>
        </w:rPr>
        <w:t>3,</w:t>
      </w:r>
      <w:r w:rsidR="00FC2F2A" w:rsidRPr="00EC121C">
        <w:rPr>
          <w:rStyle w:val="FootnoteReference"/>
          <w:rFonts w:ascii="Garamond" w:hAnsi="Garamond"/>
          <w:bCs/>
        </w:rPr>
        <w:footnoteReference w:id="5"/>
      </w:r>
      <w:r w:rsidR="008225FC">
        <w:rPr>
          <w:rStyle w:val="Strong"/>
          <w:rFonts w:ascii="Garamond" w:hAnsi="Garamond"/>
          <w:b w:val="0"/>
        </w:rPr>
        <w:t xml:space="preserve"> as well as at the LAU-</w:t>
      </w:r>
      <w:r w:rsidR="00FC2F2A" w:rsidRPr="00EC121C">
        <w:rPr>
          <w:rStyle w:val="Strong"/>
          <w:rFonts w:ascii="Garamond" w:hAnsi="Garamond"/>
          <w:b w:val="0"/>
        </w:rPr>
        <w:t>2</w:t>
      </w:r>
      <w:r w:rsidR="00FC2F2A" w:rsidRPr="00EC121C">
        <w:rPr>
          <w:rStyle w:val="FootnoteReference"/>
          <w:rFonts w:ascii="Garamond" w:hAnsi="Garamond"/>
          <w:bCs/>
        </w:rPr>
        <w:footnoteReference w:id="6"/>
      </w:r>
      <w:r w:rsidR="00FC2F2A" w:rsidRPr="00EC121C">
        <w:rPr>
          <w:rStyle w:val="Strong"/>
          <w:rFonts w:ascii="Garamond" w:hAnsi="Garamond"/>
          <w:b w:val="0"/>
        </w:rPr>
        <w:t xml:space="preserve"> levels are obtained.</w:t>
      </w:r>
    </w:p>
    <w:p w:rsidR="00FC2F2A" w:rsidRPr="00EC121C" w:rsidRDefault="00FC2F2A" w:rsidP="00C36306">
      <w:pPr>
        <w:spacing w:line="360" w:lineRule="auto"/>
        <w:jc w:val="both"/>
        <w:rPr>
          <w:rStyle w:val="Strong"/>
          <w:rFonts w:ascii="Garamond" w:hAnsi="Garamond"/>
          <w:b w:val="0"/>
        </w:rPr>
      </w:pPr>
    </w:p>
    <w:p w:rsidR="00B241BD" w:rsidRDefault="00E03267" w:rsidP="00CC0F6B">
      <w:pPr>
        <w:pStyle w:val="Heading1"/>
        <w:rPr>
          <w:rStyle w:val="Strong"/>
          <w:rFonts w:ascii="Garamond" w:hAnsi="Garamond"/>
        </w:rPr>
      </w:pPr>
      <w:r w:rsidRPr="00EC121C">
        <w:rPr>
          <w:rStyle w:val="Strong"/>
          <w:rFonts w:ascii="Garamond" w:hAnsi="Garamond"/>
        </w:rPr>
        <w:t>Modeling approach</w:t>
      </w:r>
    </w:p>
    <w:p w:rsidR="00CC0F6B" w:rsidRPr="00CC0F6B" w:rsidRDefault="00CC0F6B" w:rsidP="00CC0F6B"/>
    <w:p w:rsidR="004D51E7" w:rsidRDefault="004D51E7" w:rsidP="004D51E7">
      <w:pPr>
        <w:spacing w:line="360" w:lineRule="auto"/>
        <w:jc w:val="both"/>
        <w:rPr>
          <w:rStyle w:val="Strong"/>
          <w:rFonts w:ascii="Garamond" w:hAnsi="Garamond"/>
          <w:b w:val="0"/>
        </w:rPr>
      </w:pPr>
      <w:r w:rsidRPr="00EC121C">
        <w:rPr>
          <w:rStyle w:val="Strong"/>
          <w:rFonts w:ascii="Garamond" w:hAnsi="Garamond"/>
          <w:b w:val="0"/>
        </w:rPr>
        <w:t xml:space="preserve">The ELL method is conducted in 2 stages. The first stage consists in fitting a welfare model using the </w:t>
      </w:r>
      <w:r w:rsidR="00DE491D">
        <w:rPr>
          <w:rStyle w:val="Strong"/>
          <w:rFonts w:ascii="Garamond" w:hAnsi="Garamond"/>
          <w:b w:val="0"/>
        </w:rPr>
        <w:t>2012</w:t>
      </w:r>
      <w:r>
        <w:rPr>
          <w:rStyle w:val="Strong"/>
          <w:rFonts w:ascii="Garamond" w:hAnsi="Garamond"/>
          <w:b w:val="0"/>
        </w:rPr>
        <w:t xml:space="preserve"> </w:t>
      </w:r>
      <w:r w:rsidR="00DE491D">
        <w:rPr>
          <w:rStyle w:val="Strong"/>
          <w:rFonts w:ascii="Garamond" w:hAnsi="Garamond"/>
          <w:b w:val="0"/>
        </w:rPr>
        <w:t>EU-SILC</w:t>
      </w:r>
      <w:r w:rsidRPr="00EC121C">
        <w:rPr>
          <w:rStyle w:val="Strong"/>
          <w:rFonts w:ascii="Garamond" w:hAnsi="Garamond"/>
          <w:b w:val="0"/>
        </w:rPr>
        <w:t xml:space="preserve"> data via ordinary least squares (OLS), and correcting for various shortcomings of this approach</w:t>
      </w:r>
      <w:r>
        <w:rPr>
          <w:rStyle w:val="Strong"/>
          <w:rFonts w:ascii="Garamond" w:hAnsi="Garamond"/>
          <w:b w:val="0"/>
        </w:rPr>
        <w:t xml:space="preserve"> to arrive at generalized least squares estimates (GLS)</w:t>
      </w:r>
      <w:r w:rsidRPr="00EC121C">
        <w:rPr>
          <w:rStyle w:val="Strong"/>
          <w:rFonts w:ascii="Garamond" w:hAnsi="Garamond"/>
          <w:b w:val="0"/>
        </w:rPr>
        <w:t xml:space="preserve">. </w:t>
      </w:r>
      <w:r>
        <w:rPr>
          <w:rStyle w:val="Strong"/>
          <w:rFonts w:ascii="Garamond" w:hAnsi="Garamond"/>
          <w:b w:val="0"/>
        </w:rPr>
        <w:t xml:space="preserve">It should be noted that the variables included </w:t>
      </w:r>
      <w:r w:rsidR="00DE491D">
        <w:rPr>
          <w:rStyle w:val="Strong"/>
          <w:rFonts w:ascii="Garamond" w:hAnsi="Garamond"/>
          <w:b w:val="0"/>
        </w:rPr>
        <w:t>in the welfare model of the 2012</w:t>
      </w:r>
      <w:r>
        <w:rPr>
          <w:rStyle w:val="Strong"/>
          <w:rFonts w:ascii="Garamond" w:hAnsi="Garamond"/>
          <w:b w:val="0"/>
        </w:rPr>
        <w:t xml:space="preserve"> </w:t>
      </w:r>
      <w:r w:rsidR="00DE491D">
        <w:rPr>
          <w:rStyle w:val="Strong"/>
          <w:rFonts w:ascii="Garamond" w:hAnsi="Garamond"/>
          <w:b w:val="0"/>
        </w:rPr>
        <w:t>EU-SILC</w:t>
      </w:r>
      <w:r>
        <w:rPr>
          <w:rStyle w:val="Strong"/>
          <w:rFonts w:ascii="Garamond" w:hAnsi="Garamond"/>
          <w:b w:val="0"/>
        </w:rPr>
        <w:t xml:space="preserve"> must be restricted to those variables that are also found on the 2011 Census. This allows us to generate the welfare distribution for any sub-population in the 2011 Census, conditional on the sub-population’s observed characteristics (ELL, 2002). </w:t>
      </w:r>
    </w:p>
    <w:p w:rsidR="004D51E7" w:rsidRPr="00EC121C" w:rsidRDefault="004D51E7" w:rsidP="004D51E7">
      <w:pPr>
        <w:spacing w:line="360" w:lineRule="auto"/>
        <w:jc w:val="both"/>
        <w:rPr>
          <w:rStyle w:val="Strong"/>
          <w:rFonts w:ascii="Garamond" w:hAnsi="Garamond"/>
          <w:b w:val="0"/>
        </w:rPr>
      </w:pPr>
      <w:r w:rsidRPr="00EC121C">
        <w:rPr>
          <w:rStyle w:val="Strong"/>
          <w:rFonts w:ascii="Garamond" w:hAnsi="Garamond"/>
          <w:b w:val="0"/>
        </w:rPr>
        <w:lastRenderedPageBreak/>
        <w:t xml:space="preserve">After correcting for shortcomings, the estimated regression parameters, standard errors, and variance components from the </w:t>
      </w:r>
      <w:r w:rsidR="00DE491D">
        <w:rPr>
          <w:rStyle w:val="Strong"/>
          <w:rFonts w:ascii="Garamond" w:hAnsi="Garamond"/>
          <w:b w:val="0"/>
        </w:rPr>
        <w:t>EU-SILC model</w:t>
      </w:r>
      <w:r w:rsidRPr="00EC121C">
        <w:rPr>
          <w:rStyle w:val="Strong"/>
          <w:rFonts w:ascii="Garamond" w:hAnsi="Garamond"/>
          <w:b w:val="0"/>
        </w:rPr>
        <w:t xml:space="preserve"> provide the necessary inputs for the second phase of the analysis. The second stage of the poverty mapping exercise consists in using the estimated parameter</w:t>
      </w:r>
      <w:r>
        <w:rPr>
          <w:rStyle w:val="Strong"/>
          <w:rFonts w:ascii="Garamond" w:hAnsi="Garamond"/>
          <w:b w:val="0"/>
        </w:rPr>
        <w:t>s</w:t>
      </w:r>
      <w:r w:rsidRPr="00EC121C">
        <w:rPr>
          <w:rStyle w:val="Strong"/>
          <w:rFonts w:ascii="Garamond" w:hAnsi="Garamond"/>
          <w:b w:val="0"/>
        </w:rPr>
        <w:t xml:space="preserve"> from the first st</w:t>
      </w:r>
      <w:r>
        <w:rPr>
          <w:rStyle w:val="Strong"/>
          <w:rFonts w:ascii="Garamond" w:hAnsi="Garamond"/>
          <w:b w:val="0"/>
        </w:rPr>
        <w:t>age, and applying these to the 2011 C</w:t>
      </w:r>
      <w:r w:rsidRPr="00EC121C">
        <w:rPr>
          <w:rStyle w:val="Strong"/>
          <w:rFonts w:ascii="Garamond" w:hAnsi="Garamond"/>
          <w:b w:val="0"/>
        </w:rPr>
        <w:t>ensus data in order to predict welfare at the household level. Finally</w:t>
      </w:r>
      <w:r>
        <w:rPr>
          <w:rStyle w:val="Strong"/>
          <w:rFonts w:ascii="Garamond" w:hAnsi="Garamond"/>
          <w:b w:val="0"/>
        </w:rPr>
        <w:t>,</w:t>
      </w:r>
      <w:r w:rsidRPr="00EC121C">
        <w:rPr>
          <w:rStyle w:val="Strong"/>
          <w:rFonts w:ascii="Garamond" w:hAnsi="Garamond"/>
          <w:b w:val="0"/>
        </w:rPr>
        <w:t xml:space="preserve"> the predicted welfare measure is converted into a poverty indicator which is then aggregated in order to </w:t>
      </w:r>
      <w:r w:rsidR="00DE491D">
        <w:rPr>
          <w:rStyle w:val="Strong"/>
          <w:rFonts w:ascii="Garamond" w:hAnsi="Garamond"/>
          <w:b w:val="0"/>
        </w:rPr>
        <w:t xml:space="preserve">obtain </w:t>
      </w:r>
      <w:r w:rsidRPr="00EC121C">
        <w:rPr>
          <w:rStyle w:val="Strong"/>
          <w:rFonts w:ascii="Garamond" w:hAnsi="Garamond"/>
          <w:b w:val="0"/>
        </w:rPr>
        <w:t>poverty measures at the desired level of aggregation</w:t>
      </w:r>
      <w:r>
        <w:rPr>
          <w:rStyle w:val="Strong"/>
          <w:rFonts w:ascii="Garamond" w:hAnsi="Garamond"/>
          <w:b w:val="0"/>
        </w:rPr>
        <w:t xml:space="preserve"> (NUTS-2, NUTS-3, or LAU-2).</w:t>
      </w:r>
    </w:p>
    <w:p w:rsidR="004D51E7" w:rsidRPr="00EC121C" w:rsidRDefault="004D51E7" w:rsidP="004D51E7">
      <w:pPr>
        <w:spacing w:line="360" w:lineRule="auto"/>
        <w:jc w:val="both"/>
        <w:rPr>
          <w:rStyle w:val="Strong"/>
          <w:rFonts w:ascii="Garamond" w:hAnsi="Garamond"/>
          <w:b w:val="0"/>
        </w:rPr>
      </w:pPr>
      <w:r w:rsidRPr="00EC121C">
        <w:rPr>
          <w:rStyle w:val="Strong"/>
          <w:rFonts w:ascii="Garamond" w:hAnsi="Garamond"/>
          <w:b w:val="0"/>
        </w:rPr>
        <w:t xml:space="preserve">Before fitting the welfare model, a comparison between the observable household characteristics from the </w:t>
      </w:r>
      <w:r w:rsidR="00DE491D">
        <w:rPr>
          <w:rStyle w:val="Strong"/>
          <w:rFonts w:ascii="Garamond" w:hAnsi="Garamond"/>
          <w:b w:val="0"/>
        </w:rPr>
        <w:t>EU-SILC</w:t>
      </w:r>
      <w:r>
        <w:rPr>
          <w:rStyle w:val="Strong"/>
          <w:rFonts w:ascii="Garamond" w:hAnsi="Garamond"/>
          <w:b w:val="0"/>
        </w:rPr>
        <w:t xml:space="preserve"> </w:t>
      </w:r>
      <w:r w:rsidRPr="00EC121C">
        <w:rPr>
          <w:rStyle w:val="Strong"/>
          <w:rFonts w:ascii="Garamond" w:hAnsi="Garamond"/>
          <w:b w:val="0"/>
        </w:rPr>
        <w:t xml:space="preserve">and the </w:t>
      </w:r>
      <w:r w:rsidR="00DE491D">
        <w:rPr>
          <w:rStyle w:val="Strong"/>
          <w:rFonts w:ascii="Garamond" w:hAnsi="Garamond"/>
          <w:b w:val="0"/>
        </w:rPr>
        <w:t>C</w:t>
      </w:r>
      <w:r w:rsidRPr="00EC121C">
        <w:rPr>
          <w:rStyle w:val="Strong"/>
          <w:rFonts w:ascii="Garamond" w:hAnsi="Garamond"/>
          <w:b w:val="0"/>
        </w:rPr>
        <w:t xml:space="preserve">ensus is necessary. The purpose of the comparison is to ensure that variables have similar distributions, and that these have similar definitions across data sources. Because the exercise consists in predicting welfare in the census data using parameters obtained from </w:t>
      </w:r>
      <w:r w:rsidR="003F2C97">
        <w:rPr>
          <w:rStyle w:val="Strong"/>
          <w:rFonts w:ascii="Garamond" w:hAnsi="Garamond"/>
          <w:b w:val="0"/>
        </w:rPr>
        <w:t>EU-SILC</w:t>
      </w:r>
      <w:r w:rsidRPr="00EC121C">
        <w:rPr>
          <w:rStyle w:val="Strong"/>
          <w:rFonts w:ascii="Garamond" w:hAnsi="Garamond"/>
          <w:b w:val="0"/>
        </w:rPr>
        <w:t xml:space="preserve"> observed characteristics</w:t>
      </w:r>
      <w:r w:rsidR="003F2C97">
        <w:rPr>
          <w:rStyle w:val="Strong"/>
          <w:rFonts w:ascii="Garamond" w:hAnsi="Garamond"/>
          <w:b w:val="0"/>
        </w:rPr>
        <w:t>,</w:t>
      </w:r>
      <w:r w:rsidRPr="00EC121C">
        <w:rPr>
          <w:rStyle w:val="Strong"/>
          <w:rFonts w:ascii="Garamond" w:hAnsi="Garamond"/>
          <w:b w:val="0"/>
        </w:rPr>
        <w:t xml:space="preserve"> it is imperative that the observed characteristics across surveys are comparable.</w:t>
      </w:r>
    </w:p>
    <w:p w:rsidR="004D51E7" w:rsidRPr="00EC121C" w:rsidRDefault="004D51E7" w:rsidP="004D51E7">
      <w:pPr>
        <w:spacing w:line="360" w:lineRule="auto"/>
        <w:jc w:val="both"/>
        <w:rPr>
          <w:rStyle w:val="Strong"/>
          <w:rFonts w:ascii="Garamond" w:hAnsi="Garamond"/>
          <w:b w:val="0"/>
        </w:rPr>
      </w:pPr>
      <w:r w:rsidRPr="00EC121C">
        <w:rPr>
          <w:rStyle w:val="Strong"/>
          <w:rFonts w:ascii="Garamond" w:hAnsi="Garamond"/>
          <w:b w:val="0"/>
        </w:rPr>
        <w:t xml:space="preserve">The </w:t>
      </w:r>
      <w:r>
        <w:rPr>
          <w:rStyle w:val="Strong"/>
          <w:rFonts w:ascii="Garamond" w:hAnsi="Garamond"/>
          <w:b w:val="0"/>
        </w:rPr>
        <w:t>next</w:t>
      </w:r>
      <w:r w:rsidRPr="00EC121C">
        <w:rPr>
          <w:rStyle w:val="Strong"/>
          <w:rFonts w:ascii="Garamond" w:hAnsi="Garamond"/>
          <w:b w:val="0"/>
        </w:rPr>
        <w:t xml:space="preserve"> step in the ELL methodology consists in estimating a log </w:t>
      </w:r>
      <w:r>
        <w:rPr>
          <w:rStyle w:val="Strong"/>
          <w:rFonts w:ascii="Garamond" w:hAnsi="Garamond"/>
          <w:b w:val="0"/>
        </w:rPr>
        <w:t xml:space="preserve">adult equivalized </w:t>
      </w:r>
      <w:r w:rsidRPr="00EC121C">
        <w:rPr>
          <w:rStyle w:val="Strong"/>
          <w:rFonts w:ascii="Garamond" w:hAnsi="Garamond"/>
          <w:b w:val="0"/>
        </w:rPr>
        <w:t xml:space="preserve">household </w:t>
      </w:r>
      <w:r w:rsidR="00292761">
        <w:rPr>
          <w:rStyle w:val="Strong"/>
          <w:rFonts w:ascii="Garamond" w:hAnsi="Garamond"/>
          <w:b w:val="0"/>
        </w:rPr>
        <w:t>income</w:t>
      </w:r>
      <w:r w:rsidRPr="00EC121C">
        <w:rPr>
          <w:rStyle w:val="Strong"/>
          <w:rFonts w:ascii="Garamond" w:hAnsi="Garamond"/>
          <w:b w:val="0"/>
        </w:rPr>
        <w:t xml:space="preserve"> model which is estimated via </w:t>
      </w:r>
      <w:r w:rsidRPr="00EC121C">
        <w:rPr>
          <w:rStyle w:val="Strong"/>
          <w:rFonts w:ascii="Garamond" w:hAnsi="Garamond"/>
          <w:b w:val="0"/>
          <w:i/>
        </w:rPr>
        <w:t xml:space="preserve">OLS. </w:t>
      </w:r>
      <w:r w:rsidRPr="00EC121C">
        <w:rPr>
          <w:rStyle w:val="Strong"/>
          <w:rFonts w:ascii="Garamond" w:hAnsi="Garamond"/>
          <w:b w:val="0"/>
        </w:rPr>
        <w:t xml:space="preserve">The transformation to log </w:t>
      </w:r>
      <w:r w:rsidR="00292761">
        <w:rPr>
          <w:rStyle w:val="Strong"/>
          <w:rFonts w:ascii="Garamond" w:hAnsi="Garamond"/>
          <w:b w:val="0"/>
        </w:rPr>
        <w:t>income</w:t>
      </w:r>
      <w:r w:rsidRPr="00EC121C">
        <w:rPr>
          <w:rStyle w:val="Strong"/>
          <w:rFonts w:ascii="Garamond" w:hAnsi="Garamond"/>
          <w:b w:val="0"/>
        </w:rPr>
        <w:t xml:space="preserve"> is done because </w:t>
      </w:r>
      <w:r w:rsidR="003F2C97">
        <w:rPr>
          <w:rStyle w:val="Strong"/>
          <w:rFonts w:ascii="Garamond" w:hAnsi="Garamond"/>
          <w:b w:val="0"/>
        </w:rPr>
        <w:t>income</w:t>
      </w:r>
      <w:r w:rsidRPr="00EC121C">
        <w:rPr>
          <w:rStyle w:val="Strong"/>
          <w:rFonts w:ascii="Garamond" w:hAnsi="Garamond"/>
          <w:b w:val="0"/>
        </w:rPr>
        <w:t xml:space="preserve"> tends to not be symmetrically distributed (graph 1), taking the logarithm of </w:t>
      </w:r>
      <w:r w:rsidR="00292761">
        <w:rPr>
          <w:rStyle w:val="Strong"/>
          <w:rFonts w:ascii="Garamond" w:hAnsi="Garamond"/>
          <w:b w:val="0"/>
        </w:rPr>
        <w:t>income</w:t>
      </w:r>
      <w:bookmarkStart w:id="0" w:name="_GoBack"/>
      <w:bookmarkEnd w:id="0"/>
      <w:r w:rsidRPr="00EC121C">
        <w:rPr>
          <w:rStyle w:val="Strong"/>
          <w:rFonts w:ascii="Garamond" w:hAnsi="Garamond"/>
          <w:b w:val="0"/>
        </w:rPr>
        <w:t xml:space="preserve"> is done to make the data more symmetrical. </w:t>
      </w:r>
    </w:p>
    <w:p w:rsidR="00425BF5" w:rsidRPr="004D51E7" w:rsidRDefault="00425BF5" w:rsidP="00602860">
      <w:pPr>
        <w:keepNext/>
        <w:spacing w:line="360" w:lineRule="auto"/>
        <w:jc w:val="center"/>
        <w:rPr>
          <w:rStyle w:val="Strong"/>
          <w:rFonts w:ascii="Garamond" w:hAnsi="Garamond"/>
        </w:rPr>
      </w:pPr>
      <w:r w:rsidRPr="004D51E7">
        <w:rPr>
          <w:rStyle w:val="Strong"/>
          <w:rFonts w:ascii="Garamond" w:hAnsi="Garamond"/>
        </w:rPr>
        <w:t>Figure 2: Adult equivalized income and natural logarithm of equivalized income</w:t>
      </w:r>
    </w:p>
    <w:p w:rsidR="00425BF5" w:rsidRPr="00EC121C" w:rsidRDefault="00425BF5" w:rsidP="00C36306">
      <w:pPr>
        <w:spacing w:line="360" w:lineRule="auto"/>
        <w:jc w:val="center"/>
        <w:rPr>
          <w:rStyle w:val="Strong"/>
          <w:rFonts w:ascii="Garamond" w:hAnsi="Garamond"/>
          <w:b w:val="0"/>
        </w:rPr>
      </w:pPr>
      <w:r w:rsidRPr="00EC121C">
        <w:rPr>
          <w:rFonts w:ascii="Garamond" w:hAnsi="Garamond"/>
          <w:bCs/>
          <w:noProof/>
        </w:rPr>
        <w:drawing>
          <wp:inline distT="0" distB="0" distL="0" distR="0" wp14:anchorId="6B4DA203" wp14:editId="5BD4B0FD">
            <wp:extent cx="2511910" cy="1838325"/>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149" cy="1848746"/>
                    </a:xfrm>
                    <a:prstGeom prst="rect">
                      <a:avLst/>
                    </a:prstGeom>
                    <a:noFill/>
                    <a:ln>
                      <a:noFill/>
                    </a:ln>
                    <a:effectLst/>
                    <a:extLst/>
                  </pic:spPr>
                </pic:pic>
              </a:graphicData>
            </a:graphic>
          </wp:inline>
        </w:drawing>
      </w:r>
      <w:r w:rsidRPr="00EC121C">
        <w:rPr>
          <w:rFonts w:ascii="Garamond" w:hAnsi="Garamond"/>
          <w:bCs/>
          <w:noProof/>
        </w:rPr>
        <w:drawing>
          <wp:inline distT="0" distB="0" distL="0" distR="0" wp14:anchorId="6D0DD221" wp14:editId="46431CDF">
            <wp:extent cx="2486025" cy="1819381"/>
            <wp:effectExtent l="0" t="0" r="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1819381"/>
                    </a:xfrm>
                    <a:prstGeom prst="rect">
                      <a:avLst/>
                    </a:prstGeom>
                    <a:noFill/>
                    <a:ln>
                      <a:noFill/>
                    </a:ln>
                    <a:effectLst/>
                    <a:extLst/>
                  </pic:spPr>
                </pic:pic>
              </a:graphicData>
            </a:graphic>
          </wp:inline>
        </w:drawing>
      </w:r>
    </w:p>
    <w:p w:rsidR="00EC56AD" w:rsidRPr="00EC121C" w:rsidRDefault="00AB2CFA" w:rsidP="00C36306">
      <w:pPr>
        <w:spacing w:line="360" w:lineRule="auto"/>
        <w:jc w:val="both"/>
        <w:rPr>
          <w:rStyle w:val="Strong"/>
          <w:rFonts w:ascii="Garamond" w:hAnsi="Garamond"/>
          <w:b w:val="0"/>
        </w:rPr>
      </w:pPr>
      <w:r w:rsidRPr="00EC121C">
        <w:rPr>
          <w:rStyle w:val="Strong"/>
          <w:rFonts w:ascii="Garamond" w:hAnsi="Garamond"/>
          <w:b w:val="0"/>
        </w:rPr>
        <w:t>The</w:t>
      </w:r>
      <w:r w:rsidR="00425BF5" w:rsidRPr="00EC121C">
        <w:rPr>
          <w:rStyle w:val="Strong"/>
          <w:rFonts w:ascii="Garamond" w:hAnsi="Garamond"/>
          <w:b w:val="0"/>
        </w:rPr>
        <w:t xml:space="preserve"> household income model is</w:t>
      </w:r>
      <w:r w:rsidR="00003A5F" w:rsidRPr="00EC121C">
        <w:rPr>
          <w:rStyle w:val="Strong"/>
          <w:rFonts w:ascii="Garamond" w:hAnsi="Garamond"/>
          <w:b w:val="0"/>
        </w:rPr>
        <w:t>:</w:t>
      </w:r>
    </w:p>
    <w:p w:rsidR="002F0051" w:rsidRDefault="00CA60D5" w:rsidP="00EB027C">
      <w:pPr>
        <w:pStyle w:val="Caption"/>
        <w:jc w:val="center"/>
      </w:pPr>
      <m:oMathPara>
        <m:oMath>
          <m:func>
            <m:funcPr>
              <m:ctrlPr>
                <w:rPr>
                  <w:rStyle w:val="Strong"/>
                  <w:rFonts w:ascii="Cambria Math" w:hAnsi="Cambria Math"/>
                  <w:b w:val="0"/>
                  <w:bCs w:val="0"/>
                  <w:i w:val="0"/>
                  <w:sz w:val="22"/>
                  <w:szCs w:val="22"/>
                </w:rPr>
              </m:ctrlPr>
            </m:funcPr>
            <m:fName>
              <m:r>
                <w:rPr>
                  <w:rStyle w:val="Strong"/>
                  <w:rFonts w:ascii="Cambria Math" w:hAnsi="Cambria Math"/>
                  <w:sz w:val="22"/>
                  <w:szCs w:val="22"/>
                </w:rPr>
                <m:t>ln</m:t>
              </m:r>
            </m:fName>
            <m:e>
              <m:sSub>
                <m:sSubPr>
                  <m:ctrlPr>
                    <w:rPr>
                      <w:rStyle w:val="Strong"/>
                      <w:rFonts w:ascii="Cambria Math" w:hAnsi="Cambria Math"/>
                      <w:b w:val="0"/>
                      <w:bCs w:val="0"/>
                      <w:i w:val="0"/>
                      <w:sz w:val="22"/>
                      <w:szCs w:val="22"/>
                    </w:rPr>
                  </m:ctrlPr>
                </m:sSubPr>
                <m:e>
                  <m:r>
                    <w:rPr>
                      <w:rStyle w:val="Strong"/>
                      <w:rFonts w:ascii="Cambria Math" w:hAnsi="Cambria Math"/>
                      <w:sz w:val="22"/>
                      <w:szCs w:val="22"/>
                    </w:rPr>
                    <m:t>y</m:t>
                  </m:r>
                </m:e>
                <m:sub>
                  <m:r>
                    <w:rPr>
                      <w:rStyle w:val="Strong"/>
                      <w:rFonts w:ascii="Cambria Math" w:hAnsi="Cambria Math"/>
                      <w:sz w:val="22"/>
                      <w:szCs w:val="22"/>
                    </w:rPr>
                    <m:t>ch</m:t>
                  </m:r>
                </m:sub>
              </m:sSub>
            </m:e>
          </m:func>
          <m:r>
            <w:rPr>
              <w:rStyle w:val="Strong"/>
              <w:rFonts w:ascii="Cambria Math" w:hAnsi="Cambria Math"/>
              <w:sz w:val="22"/>
              <w:szCs w:val="22"/>
            </w:rPr>
            <m:t>=</m:t>
          </m:r>
          <m:sSub>
            <m:sSubPr>
              <m:ctrlPr>
                <w:rPr>
                  <w:rStyle w:val="Strong"/>
                  <w:rFonts w:ascii="Cambria Math" w:hAnsi="Cambria Math"/>
                  <w:b w:val="0"/>
                  <w:bCs w:val="0"/>
                  <w:i w:val="0"/>
                  <w:sz w:val="22"/>
                  <w:szCs w:val="22"/>
                </w:rPr>
              </m:ctrlPr>
            </m:sSubPr>
            <m:e>
              <m:r>
                <w:rPr>
                  <w:rStyle w:val="Strong"/>
                  <w:rFonts w:ascii="Cambria Math" w:hAnsi="Cambria Math"/>
                  <w:sz w:val="22"/>
                  <w:szCs w:val="22"/>
                </w:rPr>
                <m:t>X'</m:t>
              </m:r>
            </m:e>
            <m:sub>
              <m:r>
                <w:rPr>
                  <w:rStyle w:val="Strong"/>
                  <w:rFonts w:ascii="Cambria Math" w:hAnsi="Cambria Math"/>
                  <w:sz w:val="22"/>
                  <w:szCs w:val="22"/>
                </w:rPr>
                <m:t>ch</m:t>
              </m:r>
            </m:sub>
          </m:sSub>
          <m:r>
            <w:rPr>
              <w:rStyle w:val="Strong"/>
              <w:rFonts w:ascii="Cambria Math" w:hAnsi="Cambria Math"/>
              <w:sz w:val="22"/>
              <w:szCs w:val="22"/>
            </w:rPr>
            <m:t xml:space="preserve"> β+</m:t>
          </m:r>
          <m:sSub>
            <m:sSubPr>
              <m:ctrlPr>
                <w:rPr>
                  <w:rStyle w:val="Strong"/>
                  <w:rFonts w:ascii="Cambria Math" w:hAnsi="Cambria Math"/>
                  <w:b w:val="0"/>
                  <w:bCs w:val="0"/>
                  <w:i w:val="0"/>
                  <w:sz w:val="22"/>
                  <w:szCs w:val="22"/>
                </w:rPr>
              </m:ctrlPr>
            </m:sSubPr>
            <m:e>
              <m:r>
                <w:rPr>
                  <w:rStyle w:val="Strong"/>
                  <w:rFonts w:ascii="Cambria Math" w:hAnsi="Cambria Math"/>
                  <w:sz w:val="22"/>
                  <w:szCs w:val="22"/>
                </w:rPr>
                <m:t>u</m:t>
              </m:r>
            </m:e>
            <m:sub>
              <m:r>
                <w:rPr>
                  <w:rStyle w:val="Strong"/>
                  <w:rFonts w:ascii="Cambria Math" w:hAnsi="Cambria Math"/>
                  <w:sz w:val="22"/>
                  <w:szCs w:val="22"/>
                </w:rPr>
                <m:t>ch</m:t>
              </m:r>
            </m:sub>
          </m:sSub>
          <m:r>
            <w:rPr>
              <w:rStyle w:val="Strong"/>
              <w:rFonts w:ascii="Cambria Math" w:hAnsi="Cambria Math"/>
              <w:sz w:val="22"/>
              <w:szCs w:val="22"/>
            </w:rPr>
            <m:t xml:space="preserve">           (</m:t>
          </m:r>
          <m:r>
            <w:rPr>
              <w:rStyle w:val="Strong"/>
              <w:rFonts w:ascii="Cambria Math" w:hAnsi="Cambria Math"/>
              <w:b w:val="0"/>
              <w:bCs w:val="0"/>
              <w:sz w:val="22"/>
              <w:szCs w:val="22"/>
            </w:rPr>
            <w:fldChar w:fldCharType="begin"/>
          </m:r>
          <m:r>
            <w:rPr>
              <w:rStyle w:val="Strong"/>
              <w:rFonts w:ascii="Cambria Math" w:hAnsi="Cambria Math"/>
              <w:sz w:val="22"/>
              <w:szCs w:val="22"/>
            </w:rPr>
            <m:t xml:space="preserve"> SEQ Equation \* ARABIC </m:t>
          </m:r>
          <m:r>
            <w:rPr>
              <w:rStyle w:val="Strong"/>
              <w:rFonts w:ascii="Cambria Math" w:hAnsi="Cambria Math"/>
              <w:b w:val="0"/>
              <w:bCs w:val="0"/>
              <w:sz w:val="22"/>
              <w:szCs w:val="22"/>
            </w:rPr>
            <w:fldChar w:fldCharType="separate"/>
          </m:r>
          <m:r>
            <w:rPr>
              <w:rStyle w:val="Strong"/>
              <w:rFonts w:ascii="Cambria Math" w:hAnsi="Cambria Math"/>
              <w:noProof/>
              <w:sz w:val="22"/>
              <w:szCs w:val="22"/>
            </w:rPr>
            <m:t>1</m:t>
          </m:r>
          <m:r>
            <w:rPr>
              <w:rStyle w:val="Strong"/>
              <w:rFonts w:ascii="Cambria Math" w:hAnsi="Cambria Math"/>
              <w:b w:val="0"/>
              <w:bCs w:val="0"/>
              <w:sz w:val="22"/>
              <w:szCs w:val="22"/>
            </w:rPr>
            <w:fldChar w:fldCharType="end"/>
          </m:r>
          <m:r>
            <w:rPr>
              <w:rStyle w:val="Strong"/>
              <w:rFonts w:ascii="Cambria Math" w:eastAsiaTheme="minorEastAsia" w:hAnsi="Cambria Math"/>
              <w:sz w:val="22"/>
              <w:szCs w:val="22"/>
            </w:rPr>
            <m:t>)</m:t>
          </m:r>
        </m:oMath>
      </m:oMathPara>
    </w:p>
    <w:p w:rsidR="00AB2CFA" w:rsidRPr="00EC121C" w:rsidRDefault="00003A5F"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rPr>
        <w:t>where</w:t>
      </w:r>
      <w:r w:rsidR="006177E6" w:rsidRPr="00EC121C">
        <w:rPr>
          <w:rStyle w:val="Strong"/>
          <w:rFonts w:ascii="Garamond" w:eastAsiaTheme="minorEastAsia" w:hAnsi="Garamond"/>
          <w:b w:val="0"/>
        </w:rPr>
        <w:t xml:space="preserve">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y</m:t>
            </m:r>
          </m:e>
          <m:sub>
            <m:r>
              <w:rPr>
                <w:rStyle w:val="Strong"/>
                <w:rFonts w:ascii="Cambria Math" w:eastAsiaTheme="minorEastAsia" w:hAnsi="Cambria Math"/>
              </w:rPr>
              <m:t>ch</m:t>
            </m:r>
          </m:sub>
        </m:sSub>
      </m:oMath>
      <w:r w:rsidRPr="00EC121C">
        <w:rPr>
          <w:rStyle w:val="Strong"/>
          <w:rFonts w:ascii="Garamond" w:eastAsiaTheme="minorEastAsia" w:hAnsi="Garamond"/>
          <w:b w:val="0"/>
        </w:rPr>
        <w:t xml:space="preserve"> </w:t>
      </w:r>
      <w:r w:rsidR="006177E6" w:rsidRPr="00EC121C">
        <w:rPr>
          <w:rStyle w:val="Strong"/>
          <w:rFonts w:ascii="Garamond" w:eastAsiaTheme="minorEastAsia" w:hAnsi="Garamond"/>
          <w:b w:val="0"/>
        </w:rPr>
        <w:t xml:space="preserve"> </w:t>
      </w:r>
      <w:r w:rsidRPr="00EC121C">
        <w:rPr>
          <w:rStyle w:val="Strong"/>
          <w:rFonts w:ascii="Garamond" w:eastAsiaTheme="minorEastAsia" w:hAnsi="Garamond"/>
          <w:b w:val="0"/>
        </w:rPr>
        <w:t xml:space="preserve">is the adult equivalized income of household </w:t>
      </w:r>
      <w:r w:rsidRPr="00EC121C">
        <w:rPr>
          <w:rStyle w:val="Strong"/>
          <w:rFonts w:ascii="Garamond" w:eastAsiaTheme="minorEastAsia" w:hAnsi="Garamond"/>
          <w:b w:val="0"/>
          <w:i/>
        </w:rPr>
        <w:t>h</w:t>
      </w:r>
      <w:r w:rsidRPr="00EC121C">
        <w:rPr>
          <w:rStyle w:val="Strong"/>
          <w:rFonts w:ascii="Garamond" w:eastAsiaTheme="minorEastAsia" w:hAnsi="Garamond"/>
          <w:b w:val="0"/>
        </w:rPr>
        <w:t xml:space="preserve"> in municipality </w:t>
      </w:r>
      <w:r w:rsidRPr="00EC121C">
        <w:rPr>
          <w:rStyle w:val="Strong"/>
          <w:rFonts w:ascii="Garamond" w:eastAsiaTheme="minorEastAsia" w:hAnsi="Garamond"/>
          <w:b w:val="0"/>
          <w:i/>
        </w:rPr>
        <w:t>c</w:t>
      </w:r>
      <w:r w:rsidR="00DD5F99" w:rsidRPr="00EC121C">
        <w:rPr>
          <w:rStyle w:val="Strong"/>
          <w:rFonts w:ascii="Garamond" w:eastAsiaTheme="minorEastAsia" w:hAnsi="Garamond"/>
          <w:b w:val="0"/>
        </w:rPr>
        <w:t xml:space="preserve">,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X</m:t>
            </m:r>
          </m:e>
          <m:sub>
            <m:r>
              <w:rPr>
                <w:rStyle w:val="Strong"/>
                <w:rFonts w:ascii="Cambria Math" w:eastAsiaTheme="minorEastAsia" w:hAnsi="Cambria Math"/>
              </w:rPr>
              <m:t>ch</m:t>
            </m:r>
          </m:sub>
        </m:sSub>
      </m:oMath>
      <w:r w:rsidR="00DD5F99" w:rsidRPr="00EC121C">
        <w:rPr>
          <w:rStyle w:val="Strong"/>
          <w:rFonts w:ascii="Garamond" w:eastAsiaTheme="minorEastAsia" w:hAnsi="Garamond"/>
          <w:b w:val="0"/>
        </w:rPr>
        <w:t xml:space="preserve">  are the household and </w:t>
      </w:r>
      <w:r w:rsidR="009F57ED">
        <w:rPr>
          <w:rStyle w:val="Strong"/>
          <w:rFonts w:ascii="Garamond" w:eastAsiaTheme="minorEastAsia" w:hAnsi="Garamond"/>
          <w:b w:val="0"/>
        </w:rPr>
        <w:t>loca</w:t>
      </w:r>
      <w:r w:rsidR="00DD5F99" w:rsidRPr="00EC121C">
        <w:rPr>
          <w:rStyle w:val="Strong"/>
          <w:rFonts w:ascii="Garamond" w:eastAsiaTheme="minorEastAsia" w:hAnsi="Garamond"/>
          <w:b w:val="0"/>
        </w:rPr>
        <w:t>lity</w:t>
      </w:r>
      <w:r w:rsidR="009F57ED">
        <w:rPr>
          <w:rStyle w:val="FootnoteReference"/>
          <w:rFonts w:ascii="Garamond" w:eastAsiaTheme="minorEastAsia" w:hAnsi="Garamond"/>
          <w:bCs/>
        </w:rPr>
        <w:footnoteReference w:id="7"/>
      </w:r>
      <w:r w:rsidR="00DD5F99" w:rsidRPr="00EC121C">
        <w:rPr>
          <w:rStyle w:val="Strong"/>
          <w:rFonts w:ascii="Garamond" w:eastAsiaTheme="minorEastAsia" w:hAnsi="Garamond"/>
          <w:b w:val="0"/>
        </w:rPr>
        <w:t xml:space="preserve"> characteristics, and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u</m:t>
            </m:r>
          </m:e>
          <m:sub>
            <m:r>
              <w:rPr>
                <w:rStyle w:val="Strong"/>
                <w:rFonts w:ascii="Cambria Math" w:eastAsiaTheme="minorEastAsia" w:hAnsi="Cambria Math"/>
              </w:rPr>
              <m:t>ch</m:t>
            </m:r>
          </m:sub>
        </m:sSub>
      </m:oMath>
      <w:r w:rsidR="00DD5F99" w:rsidRPr="00EC121C">
        <w:rPr>
          <w:rStyle w:val="Strong"/>
          <w:rFonts w:ascii="Garamond" w:eastAsiaTheme="minorEastAsia" w:hAnsi="Garamond"/>
          <w:b w:val="0"/>
          <w:bCs w:val="0"/>
        </w:rPr>
        <w:t xml:space="preserve">  is the residual. </w:t>
      </w:r>
      <w:r w:rsidR="00AB2CFA" w:rsidRPr="00EC121C">
        <w:rPr>
          <w:rStyle w:val="Strong"/>
          <w:rFonts w:ascii="Garamond" w:eastAsiaTheme="minorEastAsia" w:hAnsi="Garamond"/>
          <w:b w:val="0"/>
          <w:bCs w:val="0"/>
        </w:rPr>
        <w:t xml:space="preserve">In the specified model the use of </w:t>
      </w:r>
      <w:r w:rsidR="00DD5F99" w:rsidRPr="00EC121C">
        <w:rPr>
          <w:rStyle w:val="Strong"/>
          <w:rFonts w:ascii="Garamond" w:eastAsiaTheme="minorEastAsia" w:hAnsi="Garamond"/>
          <w:b w:val="0"/>
          <w:bCs w:val="0"/>
        </w:rPr>
        <w:t xml:space="preserve">Households within a same municipality are usually not independent from one another and </w:t>
      </w:r>
      <w:r w:rsidR="00AB2CFA" w:rsidRPr="00EC121C">
        <w:rPr>
          <w:rStyle w:val="Strong"/>
          <w:rFonts w:ascii="Garamond" w:eastAsiaTheme="minorEastAsia" w:hAnsi="Garamond"/>
          <w:b w:val="0"/>
          <w:bCs w:val="0"/>
        </w:rPr>
        <w:t>the following specification is used to account for this:</w:t>
      </w:r>
    </w:p>
    <w:p w:rsidR="00AB2CFA" w:rsidRPr="00EC121C" w:rsidRDefault="00CA60D5" w:rsidP="002F0051">
      <w:pPr>
        <w:pStyle w:val="Caption"/>
        <w:rPr>
          <w:rStyle w:val="Strong"/>
          <w:rFonts w:ascii="Garamond" w:eastAsiaTheme="minorEastAsia" w:hAnsi="Garamond"/>
          <w:b w:val="0"/>
          <w:bCs w:val="0"/>
        </w:rPr>
      </w:pPr>
      <m:oMathPara>
        <m:oMath>
          <m:sSub>
            <m:sSubPr>
              <m:ctrlPr>
                <w:rPr>
                  <w:rStyle w:val="Strong"/>
                  <w:rFonts w:ascii="Cambria Math" w:eastAsiaTheme="minorEastAsia" w:hAnsi="Cambria Math"/>
                  <w:b w:val="0"/>
                  <w:bCs w:val="0"/>
                  <w:i w:val="0"/>
                  <w:sz w:val="22"/>
                  <w:szCs w:val="22"/>
                </w:rPr>
              </m:ctrlPr>
            </m:sSubPr>
            <m:e>
              <m:r>
                <w:rPr>
                  <w:rStyle w:val="Strong"/>
                  <w:rFonts w:ascii="Cambria Math" w:eastAsiaTheme="minorEastAsia" w:hAnsi="Cambria Math"/>
                  <w:sz w:val="22"/>
                  <w:szCs w:val="22"/>
                </w:rPr>
                <m:t>u</m:t>
              </m:r>
            </m:e>
            <m:sub>
              <m:r>
                <w:rPr>
                  <w:rStyle w:val="Strong"/>
                  <w:rFonts w:ascii="Cambria Math" w:eastAsiaTheme="minorEastAsia" w:hAnsi="Cambria Math"/>
                  <w:sz w:val="22"/>
                  <w:szCs w:val="22"/>
                </w:rPr>
                <m:t>ch</m:t>
              </m:r>
            </m:sub>
          </m:sSub>
          <m:r>
            <w:rPr>
              <w:rStyle w:val="Strong"/>
              <w:rFonts w:ascii="Cambria Math" w:eastAsiaTheme="minorEastAsia" w:hAnsi="Cambria Math"/>
              <w:sz w:val="22"/>
              <w:szCs w:val="22"/>
            </w:rPr>
            <m:t xml:space="preserve">= </m:t>
          </m:r>
          <m:sSub>
            <m:sSubPr>
              <m:ctrlPr>
                <w:rPr>
                  <w:rStyle w:val="Strong"/>
                  <w:rFonts w:ascii="Cambria Math" w:eastAsiaTheme="minorEastAsia" w:hAnsi="Cambria Math"/>
                  <w:b w:val="0"/>
                  <w:bCs w:val="0"/>
                  <w:i w:val="0"/>
                  <w:sz w:val="22"/>
                  <w:szCs w:val="22"/>
                </w:rPr>
              </m:ctrlPr>
            </m:sSubPr>
            <m:e>
              <m:r>
                <w:rPr>
                  <w:rStyle w:val="Strong"/>
                  <w:rFonts w:ascii="Cambria Math" w:eastAsiaTheme="minorEastAsia" w:hAnsi="Cambria Math"/>
                  <w:sz w:val="22"/>
                  <w:szCs w:val="22"/>
                </w:rPr>
                <m:t>η</m:t>
              </m:r>
            </m:e>
            <m:sub>
              <m:r>
                <w:rPr>
                  <w:rStyle w:val="Strong"/>
                  <w:rFonts w:ascii="Cambria Math" w:eastAsiaTheme="minorEastAsia" w:hAnsi="Cambria Math"/>
                  <w:sz w:val="22"/>
                  <w:szCs w:val="22"/>
                </w:rPr>
                <m:t>c</m:t>
              </m:r>
            </m:sub>
          </m:sSub>
          <m:r>
            <w:rPr>
              <w:rStyle w:val="Strong"/>
              <w:rFonts w:ascii="Cambria Math" w:eastAsiaTheme="minorEastAsia" w:hAnsi="Cambria Math"/>
              <w:sz w:val="22"/>
              <w:szCs w:val="22"/>
            </w:rPr>
            <m:t>+</m:t>
          </m:r>
          <m:sSub>
            <m:sSubPr>
              <m:ctrlPr>
                <w:rPr>
                  <w:rStyle w:val="Strong"/>
                  <w:rFonts w:ascii="Cambria Math" w:eastAsiaTheme="minorEastAsia" w:hAnsi="Cambria Math"/>
                  <w:b w:val="0"/>
                  <w:bCs w:val="0"/>
                  <w:i w:val="0"/>
                  <w:sz w:val="22"/>
                  <w:szCs w:val="22"/>
                </w:rPr>
              </m:ctrlPr>
            </m:sSubPr>
            <m:e>
              <m:r>
                <w:rPr>
                  <w:rStyle w:val="Strong"/>
                  <w:rFonts w:ascii="Cambria Math" w:eastAsiaTheme="minorEastAsia" w:hAnsi="Cambria Math"/>
                  <w:sz w:val="22"/>
                  <w:szCs w:val="22"/>
                </w:rPr>
                <m:t>ε</m:t>
              </m:r>
            </m:e>
            <m:sub>
              <m:r>
                <w:rPr>
                  <w:rStyle w:val="Strong"/>
                  <w:rFonts w:ascii="Cambria Math" w:eastAsiaTheme="minorEastAsia" w:hAnsi="Cambria Math"/>
                  <w:sz w:val="22"/>
                  <w:szCs w:val="22"/>
                </w:rPr>
                <m:t>ch</m:t>
              </m:r>
            </m:sub>
          </m:sSub>
          <m:r>
            <w:rPr>
              <w:rStyle w:val="Strong"/>
              <w:rFonts w:ascii="Cambria Math" w:eastAsiaTheme="minorEastAsia" w:hAnsi="Cambria Math"/>
              <w:sz w:val="22"/>
              <w:szCs w:val="22"/>
            </w:rPr>
            <m:t xml:space="preserve">                 (</m:t>
          </m:r>
          <m:r>
            <m:rPr>
              <m:sty m:val="p"/>
            </m:rPr>
            <w:rPr>
              <w:rStyle w:val="Strong"/>
              <w:rFonts w:ascii="Cambria Math" w:eastAsiaTheme="minorEastAsia" w:hAnsi="Cambria Math"/>
              <w:b w:val="0"/>
              <w:bCs w:val="0"/>
              <w:i w:val="0"/>
              <w:sz w:val="22"/>
              <w:szCs w:val="22"/>
            </w:rPr>
            <w:fldChar w:fldCharType="begin"/>
          </m:r>
          <m:r>
            <w:rPr>
              <w:rStyle w:val="Strong"/>
              <w:rFonts w:ascii="Cambria Math" w:eastAsiaTheme="minorEastAsia" w:hAnsi="Cambria Math"/>
              <w:sz w:val="22"/>
              <w:szCs w:val="22"/>
            </w:rPr>
            <m:t xml:space="preserve"> SEQ Equation \* ARABIC </m:t>
          </m:r>
          <m:r>
            <m:rPr>
              <m:sty m:val="p"/>
            </m:rPr>
            <w:rPr>
              <w:rStyle w:val="Strong"/>
              <w:rFonts w:ascii="Cambria Math" w:eastAsiaTheme="minorEastAsia" w:hAnsi="Cambria Math"/>
              <w:b w:val="0"/>
              <w:bCs w:val="0"/>
              <w:i w:val="0"/>
              <w:sz w:val="22"/>
              <w:szCs w:val="22"/>
            </w:rPr>
            <w:fldChar w:fldCharType="separate"/>
          </m:r>
          <m:r>
            <w:rPr>
              <w:rStyle w:val="Strong"/>
              <w:rFonts w:ascii="Cambria Math" w:eastAsiaTheme="minorEastAsia" w:hAnsi="Cambria Math"/>
              <w:noProof/>
              <w:sz w:val="22"/>
              <w:szCs w:val="22"/>
            </w:rPr>
            <m:t>2</m:t>
          </m:r>
          <m:r>
            <m:rPr>
              <m:sty m:val="p"/>
            </m:rPr>
            <w:rPr>
              <w:rStyle w:val="Strong"/>
              <w:rFonts w:ascii="Cambria Math" w:eastAsiaTheme="minorEastAsia" w:hAnsi="Cambria Math"/>
              <w:b w:val="0"/>
              <w:bCs w:val="0"/>
              <w:i w:val="0"/>
              <w:sz w:val="22"/>
              <w:szCs w:val="22"/>
            </w:rPr>
            <w:fldChar w:fldCharType="end"/>
          </m:r>
          <m:r>
            <w:rPr>
              <w:rStyle w:val="Strong"/>
              <w:rFonts w:ascii="Cambria Math" w:eastAsiaTheme="minorEastAsia" w:hAnsi="Cambria Math"/>
              <w:sz w:val="22"/>
              <w:szCs w:val="22"/>
            </w:rPr>
            <m:t>)</m:t>
          </m:r>
        </m:oMath>
      </m:oMathPara>
    </w:p>
    <w:p w:rsidR="00003A5F" w:rsidRPr="00EC121C" w:rsidRDefault="00F82EEC" w:rsidP="00C36306">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w</w:t>
      </w:r>
      <w:r w:rsidR="00AB2CFA" w:rsidRPr="00EC121C">
        <w:rPr>
          <w:rStyle w:val="Strong"/>
          <w:rFonts w:ascii="Garamond" w:eastAsiaTheme="minorEastAsia" w:hAnsi="Garamond"/>
          <w:b w:val="0"/>
          <w:bCs w:val="0"/>
        </w:rPr>
        <w:t xml:space="preserve">here </w:t>
      </w:r>
      <m:oMath>
        <m:r>
          <w:rPr>
            <w:rStyle w:val="Strong"/>
            <w:rFonts w:ascii="Cambria Math" w:eastAsiaTheme="minorEastAsia" w:hAnsi="Cambria Math"/>
          </w:rPr>
          <m:t>η</m:t>
        </m:r>
      </m:oMath>
      <w:r w:rsidR="00AB2CFA" w:rsidRPr="00EC121C">
        <w:rPr>
          <w:rStyle w:val="Strong"/>
          <w:rFonts w:ascii="Garamond" w:eastAsiaTheme="minorEastAsia" w:hAnsi="Garamond"/>
          <w:b w:val="0"/>
          <w:bCs w:val="0"/>
        </w:rPr>
        <w:t xml:space="preserve"> and </w:t>
      </w:r>
      <m:oMath>
        <m:r>
          <w:rPr>
            <w:rStyle w:val="Strong"/>
            <w:rFonts w:ascii="Cambria Math" w:eastAsiaTheme="minorEastAsia" w:hAnsi="Cambria Math"/>
          </w:rPr>
          <m:t>ε</m:t>
        </m:r>
      </m:oMath>
      <w:r w:rsidR="00AB2CFA" w:rsidRPr="00EC121C">
        <w:rPr>
          <w:rStyle w:val="Strong"/>
          <w:rFonts w:ascii="Garamond" w:eastAsiaTheme="minorEastAsia" w:hAnsi="Garamond"/>
          <w:b w:val="0"/>
          <w:bCs w:val="0"/>
        </w:rPr>
        <w:t xml:space="preserve"> are assumed to be independent from each other and uncorrelated with the observables,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X</m:t>
            </m:r>
          </m:e>
          <m:sub>
            <m:r>
              <w:rPr>
                <w:rStyle w:val="Strong"/>
                <w:rFonts w:ascii="Cambria Math" w:eastAsiaTheme="minorEastAsia" w:hAnsi="Cambria Math"/>
              </w:rPr>
              <m:t>ch</m:t>
            </m:r>
          </m:sub>
        </m:sSub>
      </m:oMath>
      <w:r w:rsidR="00AB2CFA" w:rsidRPr="00EC121C">
        <w:rPr>
          <w:rStyle w:val="Strong"/>
          <w:rFonts w:ascii="Garamond" w:eastAsiaTheme="minorEastAsia" w:hAnsi="Garamond"/>
          <w:b w:val="0"/>
          <w:bCs w:val="0"/>
        </w:rPr>
        <w:t xml:space="preserve">. </w:t>
      </w:r>
      <w:r w:rsidR="00425BF5" w:rsidRPr="00EC121C">
        <w:rPr>
          <w:rStyle w:val="Strong"/>
          <w:rFonts w:ascii="Garamond" w:eastAsiaTheme="minorEastAsia" w:hAnsi="Garamond"/>
          <w:b w:val="0"/>
          <w:bCs w:val="0"/>
        </w:rPr>
        <w:t xml:space="preserve"> Households in the same </w:t>
      </w:r>
      <w:r>
        <w:rPr>
          <w:rStyle w:val="Strong"/>
          <w:rFonts w:ascii="Garamond" w:eastAsiaTheme="minorEastAsia" w:hAnsi="Garamond"/>
          <w:b w:val="0"/>
          <w:bCs w:val="0"/>
        </w:rPr>
        <w:t>location</w:t>
      </w:r>
      <w:r w:rsidR="00425BF5" w:rsidRPr="00EC121C">
        <w:rPr>
          <w:rStyle w:val="Strong"/>
          <w:rFonts w:ascii="Garamond" w:eastAsiaTheme="minorEastAsia" w:hAnsi="Garamond"/>
          <w:b w:val="0"/>
          <w:bCs w:val="0"/>
        </w:rPr>
        <w:t xml:space="preserve"> share the </w:t>
      </w:r>
      <w:r w:rsidR="00FB66A2" w:rsidRPr="00EC121C">
        <w:rPr>
          <w:rStyle w:val="Strong"/>
          <w:rFonts w:ascii="Garamond" w:eastAsiaTheme="minorEastAsia" w:hAnsi="Garamond"/>
          <w:b w:val="0"/>
          <w:bCs w:val="0"/>
        </w:rPr>
        <w:t xml:space="preserve">same  </w:t>
      </w:r>
      <m:oMath>
        <m:r>
          <w:rPr>
            <w:rStyle w:val="Strong"/>
            <w:rFonts w:ascii="Cambria Math" w:eastAsiaTheme="minorEastAsia" w:hAnsi="Cambria Math"/>
          </w:rPr>
          <m:t>η</m:t>
        </m:r>
      </m:oMath>
      <w:r w:rsidR="00FB66A2" w:rsidRPr="00EC121C">
        <w:rPr>
          <w:rStyle w:val="Strong"/>
          <w:rFonts w:ascii="Garamond" w:eastAsiaTheme="minorEastAsia" w:hAnsi="Garamond"/>
          <w:b w:val="0"/>
          <w:bCs w:val="0"/>
        </w:rPr>
        <w:t xml:space="preserve">, </w:t>
      </w:r>
      <w:r w:rsidR="001265F8" w:rsidRPr="00EC121C">
        <w:rPr>
          <w:rStyle w:val="Strong"/>
          <w:rFonts w:ascii="Garamond" w:eastAsiaTheme="minorEastAsia" w:hAnsi="Garamond"/>
          <w:b w:val="0"/>
          <w:bCs w:val="0"/>
        </w:rPr>
        <w:t xml:space="preserve">and it is expected that </w:t>
      </w:r>
      <m:oMath>
        <m:r>
          <w:rPr>
            <w:rStyle w:val="Strong"/>
            <w:rFonts w:ascii="Cambria Math" w:eastAsiaTheme="minorEastAsia" w:hAnsi="Cambria Math"/>
          </w:rPr>
          <m:t>E</m:t>
        </m:r>
        <m:d>
          <m:dPr>
            <m:begChr m:val="["/>
            <m:endChr m:val="]"/>
            <m:ctrlPr>
              <w:rPr>
                <w:rStyle w:val="Strong"/>
                <w:rFonts w:ascii="Cambria Math" w:eastAsiaTheme="minorEastAsia" w:hAnsi="Cambria Math"/>
                <w:b w:val="0"/>
                <w:bCs w:val="0"/>
                <w:i/>
              </w:rPr>
            </m:ctrlPr>
          </m:dPr>
          <m:e>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u</m:t>
                </m:r>
              </m:e>
              <m:sub>
                <m:r>
                  <w:rPr>
                    <w:rStyle w:val="Strong"/>
                    <w:rFonts w:ascii="Cambria Math" w:eastAsiaTheme="minorEastAsia" w:hAnsi="Cambria Math"/>
                  </w:rPr>
                  <m:t>ch</m:t>
                </m:r>
              </m:sub>
              <m:sup>
                <m:r>
                  <w:rPr>
                    <w:rStyle w:val="Strong"/>
                    <w:rFonts w:ascii="Cambria Math" w:eastAsiaTheme="minorEastAsia" w:hAnsi="Cambria Math"/>
                  </w:rPr>
                  <m:t>2</m:t>
                </m:r>
              </m:sup>
            </m:sSubSup>
          </m:e>
        </m:d>
        <m:r>
          <w:rPr>
            <w:rStyle w:val="Strong"/>
            <w:rFonts w:ascii="Cambria Math" w:eastAsiaTheme="minorEastAsia" w:hAnsi="Cambria Math"/>
          </w:rPr>
          <m:t>=</m:t>
        </m:r>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σ</m:t>
            </m:r>
          </m:e>
          <m:sub>
            <m:r>
              <w:rPr>
                <w:rStyle w:val="Strong"/>
                <w:rFonts w:ascii="Cambria Math" w:eastAsiaTheme="minorEastAsia" w:hAnsi="Cambria Math"/>
              </w:rPr>
              <m:t>η</m:t>
            </m:r>
          </m:sub>
          <m:sup>
            <m:r>
              <w:rPr>
                <w:rStyle w:val="Strong"/>
                <w:rFonts w:ascii="Cambria Math" w:eastAsiaTheme="minorEastAsia" w:hAnsi="Cambria Math"/>
              </w:rPr>
              <m:t>2</m:t>
            </m:r>
          </m:sup>
        </m:sSubSup>
        <m:r>
          <w:rPr>
            <w:rStyle w:val="Strong"/>
            <w:rFonts w:ascii="Cambria Math" w:eastAsiaTheme="minorEastAsia" w:hAnsi="Cambria Math"/>
          </w:rPr>
          <m:t>+</m:t>
        </m:r>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σ</m:t>
            </m:r>
          </m:e>
          <m:sub>
            <m:r>
              <w:rPr>
                <w:rStyle w:val="Strong"/>
                <w:rFonts w:ascii="Cambria Math" w:eastAsiaTheme="minorEastAsia" w:hAnsi="Cambria Math"/>
              </w:rPr>
              <m:t>ε</m:t>
            </m:r>
          </m:sub>
          <m:sup>
            <m:r>
              <w:rPr>
                <w:rStyle w:val="Strong"/>
                <w:rFonts w:ascii="Cambria Math" w:eastAsiaTheme="minorEastAsia" w:hAnsi="Cambria Math"/>
              </w:rPr>
              <m:t>2</m:t>
            </m:r>
          </m:sup>
        </m:sSubSup>
        <m:r>
          <w:rPr>
            <w:rStyle w:val="Strong"/>
            <w:rFonts w:ascii="Cambria Math" w:eastAsiaTheme="minorEastAsia" w:hAnsi="Cambria Math"/>
          </w:rPr>
          <m:t xml:space="preserve"> </m:t>
        </m:r>
      </m:oMath>
      <w:r w:rsidR="001265F8" w:rsidRPr="00EC121C">
        <w:rPr>
          <w:rStyle w:val="Strong"/>
          <w:rFonts w:ascii="Garamond" w:eastAsiaTheme="minorEastAsia" w:hAnsi="Garamond"/>
          <w:b w:val="0"/>
          <w:bCs w:val="0"/>
        </w:rPr>
        <w:t xml:space="preserve"> </w:t>
      </w:r>
      <w:r w:rsidR="00FB66A2" w:rsidRPr="00EC121C">
        <w:rPr>
          <w:rStyle w:val="Strong"/>
          <w:rFonts w:ascii="Garamond" w:eastAsiaTheme="minorEastAsia" w:hAnsi="Garamond"/>
          <w:b w:val="0"/>
          <w:bCs w:val="0"/>
        </w:rPr>
        <w:t xml:space="preserve">the larger the variance of </w:t>
      </w:r>
      <m:oMath>
        <m:r>
          <w:rPr>
            <w:rStyle w:val="Strong"/>
            <w:rFonts w:ascii="Cambria Math" w:eastAsiaTheme="minorEastAsia" w:hAnsi="Cambria Math"/>
          </w:rPr>
          <m:t>η</m:t>
        </m:r>
      </m:oMath>
      <w:r w:rsidR="00FB66A2" w:rsidRPr="00EC121C">
        <w:rPr>
          <w:rStyle w:val="Strong"/>
          <w:rFonts w:ascii="Garamond" w:eastAsiaTheme="minorEastAsia" w:hAnsi="Garamond"/>
          <w:b w:val="0"/>
          <w:bCs w:val="0"/>
        </w:rPr>
        <w:t xml:space="preserve"> the less precise the estimates of welfare will be when the spatial correlation of the residuals is ignored.</w:t>
      </w:r>
    </w:p>
    <w:p w:rsidR="006177E6" w:rsidRPr="00EC121C" w:rsidRDefault="006177E6"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 xml:space="preserve">The estimation of </w:t>
      </w:r>
      <m:oMath>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σ</m:t>
            </m:r>
          </m:e>
          <m:sub>
            <m:r>
              <w:rPr>
                <w:rStyle w:val="Strong"/>
                <w:rFonts w:ascii="Cambria Math" w:eastAsiaTheme="minorEastAsia" w:hAnsi="Cambria Math"/>
              </w:rPr>
              <m:t>η</m:t>
            </m:r>
          </m:sub>
          <m:sup>
            <m:r>
              <w:rPr>
                <w:rStyle w:val="Strong"/>
                <w:rFonts w:ascii="Cambria Math" w:eastAsiaTheme="minorEastAsia" w:hAnsi="Cambria Math"/>
              </w:rPr>
              <m:t>2</m:t>
            </m:r>
          </m:sup>
        </m:sSubSup>
      </m:oMath>
      <w:r w:rsidRPr="00EC121C">
        <w:rPr>
          <w:rStyle w:val="Strong"/>
          <w:rFonts w:ascii="Garamond" w:eastAsiaTheme="minorEastAsia" w:hAnsi="Garamond"/>
          <w:b w:val="0"/>
          <w:bCs w:val="0"/>
        </w:rPr>
        <w:t xml:space="preserve">   and  </w:t>
      </w:r>
      <m:oMath>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σ</m:t>
            </m:r>
          </m:e>
          <m:sub>
            <m:r>
              <w:rPr>
                <w:rStyle w:val="Strong"/>
                <w:rFonts w:ascii="Cambria Math" w:eastAsiaTheme="minorEastAsia" w:hAnsi="Cambria Math"/>
              </w:rPr>
              <m:t>ε</m:t>
            </m:r>
          </m:sub>
          <m:sup>
            <m:r>
              <w:rPr>
                <w:rStyle w:val="Strong"/>
                <w:rFonts w:ascii="Cambria Math" w:eastAsiaTheme="minorEastAsia" w:hAnsi="Cambria Math"/>
              </w:rPr>
              <m:t>2</m:t>
            </m:r>
          </m:sup>
        </m:sSubSup>
      </m:oMath>
      <w:r w:rsidRPr="00EC121C">
        <w:rPr>
          <w:rStyle w:val="Strong"/>
          <w:rFonts w:ascii="Garamond" w:eastAsiaTheme="minorEastAsia" w:hAnsi="Garamond"/>
          <w:b w:val="0"/>
          <w:bCs w:val="0"/>
        </w:rPr>
        <w:t xml:space="preserve">  is done utilizing Henderson’s method II</w:t>
      </w:r>
      <w:r w:rsidR="0061551C" w:rsidRPr="00EC121C">
        <w:rPr>
          <w:rStyle w:val="Strong"/>
          <w:rFonts w:ascii="Garamond" w:eastAsiaTheme="minorEastAsia" w:hAnsi="Garamond"/>
          <w:b w:val="0"/>
          <w:bCs w:val="0"/>
        </w:rPr>
        <w:t>I (Henderson, 1953).</w:t>
      </w:r>
      <w:r w:rsidR="002A7B34" w:rsidRPr="00EC121C">
        <w:rPr>
          <w:rStyle w:val="FootnoteReference"/>
          <w:rFonts w:ascii="Garamond" w:eastAsiaTheme="minorEastAsia" w:hAnsi="Garamond"/>
        </w:rPr>
        <w:footnoteReference w:id="8"/>
      </w:r>
      <w:r w:rsidR="0061551C" w:rsidRPr="00EC121C">
        <w:rPr>
          <w:rStyle w:val="Strong"/>
          <w:rFonts w:ascii="Garamond" w:eastAsiaTheme="minorEastAsia" w:hAnsi="Garamond"/>
          <w:b w:val="0"/>
          <w:bCs w:val="0"/>
        </w:rPr>
        <w:t xml:space="preserve"> In the case where the variance of the household specific error, </w:t>
      </w:r>
      <m:oMath>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σ</m:t>
            </m:r>
          </m:e>
          <m:sub>
            <m:r>
              <w:rPr>
                <w:rStyle w:val="Strong"/>
                <w:rFonts w:ascii="Cambria Math" w:eastAsiaTheme="minorEastAsia" w:hAnsi="Cambria Math"/>
              </w:rPr>
              <m:t>ε</m:t>
            </m:r>
          </m:sub>
          <m:sup>
            <m:r>
              <w:rPr>
                <w:rStyle w:val="Strong"/>
                <w:rFonts w:ascii="Cambria Math" w:eastAsiaTheme="minorEastAsia" w:hAnsi="Cambria Math"/>
              </w:rPr>
              <m:t>2</m:t>
            </m:r>
          </m:sup>
        </m:sSubSup>
      </m:oMath>
      <w:r w:rsidR="0061551C" w:rsidRPr="00EC121C">
        <w:rPr>
          <w:rStyle w:val="Strong"/>
          <w:rFonts w:ascii="Garamond" w:eastAsiaTheme="minorEastAsia" w:hAnsi="Garamond"/>
          <w:b w:val="0"/>
          <w:bCs w:val="0"/>
        </w:rPr>
        <w:t>, is assumed to vary across households a parametric form of heteroscedasticity is assumed and modeled as:</w:t>
      </w:r>
    </w:p>
    <w:p w:rsidR="00E031F7" w:rsidRPr="00EC121C" w:rsidRDefault="00CA60D5" w:rsidP="00EB027C">
      <w:pPr>
        <w:pStyle w:val="Caption"/>
        <w:rPr>
          <w:rStyle w:val="Strong"/>
          <w:rFonts w:ascii="Garamond" w:eastAsiaTheme="minorEastAsia" w:hAnsi="Garamond"/>
          <w:b w:val="0"/>
          <w:bCs w:val="0"/>
        </w:rPr>
      </w:pPr>
      <m:oMathPara>
        <m:oMath>
          <m:func>
            <m:funcPr>
              <m:ctrlPr>
                <w:rPr>
                  <w:rStyle w:val="Strong"/>
                  <w:rFonts w:ascii="Cambria Math" w:eastAsiaTheme="minorEastAsia" w:hAnsi="Cambria Math"/>
                  <w:b w:val="0"/>
                  <w:bCs w:val="0"/>
                  <w:sz w:val="22"/>
                  <w:szCs w:val="22"/>
                </w:rPr>
              </m:ctrlPr>
            </m:funcPr>
            <m:fName>
              <m:r>
                <w:rPr>
                  <w:rStyle w:val="Strong"/>
                  <w:rFonts w:ascii="Cambria Math" w:eastAsiaTheme="minorEastAsia" w:hAnsi="Cambria Math"/>
                  <w:sz w:val="22"/>
                  <w:szCs w:val="22"/>
                </w:rPr>
                <m:t>ln</m:t>
              </m:r>
            </m:fName>
            <m:e>
              <m:d>
                <m:dPr>
                  <m:begChr m:val="["/>
                  <m:endChr m:val="]"/>
                  <m:ctrlPr>
                    <w:rPr>
                      <w:rStyle w:val="Strong"/>
                      <w:rFonts w:ascii="Cambria Math" w:eastAsiaTheme="minorEastAsia" w:hAnsi="Cambria Math"/>
                      <w:b w:val="0"/>
                      <w:bCs w:val="0"/>
                      <w:i w:val="0"/>
                      <w:sz w:val="22"/>
                      <w:szCs w:val="22"/>
                    </w:rPr>
                  </m:ctrlPr>
                </m:dPr>
                <m:e>
                  <m:f>
                    <m:fPr>
                      <m:ctrlPr>
                        <w:rPr>
                          <w:rStyle w:val="Strong"/>
                          <w:rFonts w:ascii="Cambria Math" w:eastAsiaTheme="minorEastAsia" w:hAnsi="Cambria Math"/>
                          <w:b w:val="0"/>
                          <w:bCs w:val="0"/>
                          <w:i w:val="0"/>
                          <w:sz w:val="22"/>
                          <w:szCs w:val="22"/>
                        </w:rPr>
                      </m:ctrlPr>
                    </m:fPr>
                    <m:num>
                      <m:sSubSup>
                        <m:sSubSupPr>
                          <m:ctrlPr>
                            <w:rPr>
                              <w:rStyle w:val="Strong"/>
                              <w:rFonts w:ascii="Cambria Math" w:eastAsiaTheme="minorEastAsia" w:hAnsi="Cambria Math"/>
                              <w:b w:val="0"/>
                              <w:bCs w:val="0"/>
                              <w:i w:val="0"/>
                              <w:sz w:val="22"/>
                              <w:szCs w:val="22"/>
                            </w:rPr>
                          </m:ctrlPr>
                        </m:sSubSupPr>
                        <m:e>
                          <m:acc>
                            <m:accPr>
                              <m:ctrlPr>
                                <w:rPr>
                                  <w:rStyle w:val="Strong"/>
                                  <w:rFonts w:ascii="Cambria Math" w:eastAsiaTheme="minorEastAsia" w:hAnsi="Cambria Math"/>
                                  <w:b w:val="0"/>
                                  <w:bCs w:val="0"/>
                                  <w:i w:val="0"/>
                                  <w:sz w:val="22"/>
                                  <w:szCs w:val="22"/>
                                </w:rPr>
                              </m:ctrlPr>
                            </m:accPr>
                            <m:e>
                              <m:r>
                                <w:rPr>
                                  <w:rStyle w:val="Strong"/>
                                  <w:rFonts w:ascii="Cambria Math" w:eastAsiaTheme="minorEastAsia" w:hAnsi="Cambria Math"/>
                                  <w:sz w:val="22"/>
                                  <w:szCs w:val="22"/>
                                </w:rPr>
                                <m:t>ε</m:t>
                              </m:r>
                            </m:e>
                          </m:acc>
                        </m:e>
                        <m:sub>
                          <m:r>
                            <w:rPr>
                              <w:rStyle w:val="Strong"/>
                              <w:rFonts w:ascii="Cambria Math" w:eastAsiaTheme="minorEastAsia" w:hAnsi="Cambria Math"/>
                              <w:sz w:val="22"/>
                              <w:szCs w:val="22"/>
                            </w:rPr>
                            <m:t>ch</m:t>
                          </m:r>
                        </m:sub>
                        <m:sup>
                          <m:r>
                            <w:rPr>
                              <w:rStyle w:val="Strong"/>
                              <w:rFonts w:ascii="Cambria Math" w:eastAsiaTheme="minorEastAsia" w:hAnsi="Cambria Math"/>
                              <w:sz w:val="22"/>
                              <w:szCs w:val="22"/>
                            </w:rPr>
                            <m:t>2</m:t>
                          </m:r>
                        </m:sup>
                      </m:sSubSup>
                    </m:num>
                    <m:den>
                      <m:r>
                        <w:rPr>
                          <w:rStyle w:val="Strong"/>
                          <w:rFonts w:ascii="Cambria Math" w:eastAsiaTheme="minorEastAsia" w:hAnsi="Cambria Math"/>
                          <w:sz w:val="22"/>
                          <w:szCs w:val="22"/>
                        </w:rPr>
                        <m:t>A-</m:t>
                      </m:r>
                      <m:sSubSup>
                        <m:sSubSupPr>
                          <m:ctrlPr>
                            <w:rPr>
                              <w:rStyle w:val="Strong"/>
                              <w:rFonts w:ascii="Cambria Math" w:eastAsiaTheme="minorEastAsia" w:hAnsi="Cambria Math"/>
                              <w:b w:val="0"/>
                              <w:bCs w:val="0"/>
                              <w:i w:val="0"/>
                              <w:sz w:val="22"/>
                              <w:szCs w:val="22"/>
                            </w:rPr>
                          </m:ctrlPr>
                        </m:sSubSupPr>
                        <m:e>
                          <m:acc>
                            <m:accPr>
                              <m:ctrlPr>
                                <w:rPr>
                                  <w:rStyle w:val="Strong"/>
                                  <w:rFonts w:ascii="Cambria Math" w:eastAsiaTheme="minorEastAsia" w:hAnsi="Cambria Math"/>
                                  <w:b w:val="0"/>
                                  <w:bCs w:val="0"/>
                                  <w:i w:val="0"/>
                                  <w:sz w:val="22"/>
                                  <w:szCs w:val="22"/>
                                </w:rPr>
                              </m:ctrlPr>
                            </m:accPr>
                            <m:e>
                              <m:r>
                                <w:rPr>
                                  <w:rStyle w:val="Strong"/>
                                  <w:rFonts w:ascii="Cambria Math" w:eastAsiaTheme="minorEastAsia" w:hAnsi="Cambria Math"/>
                                  <w:sz w:val="22"/>
                                  <w:szCs w:val="22"/>
                                </w:rPr>
                                <m:t>ε</m:t>
                              </m:r>
                            </m:e>
                          </m:acc>
                        </m:e>
                        <m:sub>
                          <m:r>
                            <w:rPr>
                              <w:rStyle w:val="Strong"/>
                              <w:rFonts w:ascii="Cambria Math" w:eastAsiaTheme="minorEastAsia" w:hAnsi="Cambria Math"/>
                              <w:sz w:val="22"/>
                              <w:szCs w:val="22"/>
                            </w:rPr>
                            <m:t>ch</m:t>
                          </m:r>
                        </m:sub>
                        <m:sup>
                          <m:r>
                            <w:rPr>
                              <w:rStyle w:val="Strong"/>
                              <w:rFonts w:ascii="Cambria Math" w:eastAsiaTheme="minorEastAsia" w:hAnsi="Cambria Math"/>
                              <w:sz w:val="22"/>
                              <w:szCs w:val="22"/>
                            </w:rPr>
                            <m:t>2</m:t>
                          </m:r>
                        </m:sup>
                      </m:sSubSup>
                    </m:den>
                  </m:f>
                </m:e>
              </m:d>
            </m:e>
          </m:func>
          <m:r>
            <w:rPr>
              <w:rStyle w:val="Strong"/>
              <w:rFonts w:ascii="Cambria Math" w:eastAsiaTheme="minorEastAsia" w:hAnsi="Cambria Math"/>
              <w:sz w:val="22"/>
              <w:szCs w:val="22"/>
            </w:rPr>
            <m:t>=</m:t>
          </m:r>
          <m:sSub>
            <m:sSubPr>
              <m:ctrlPr>
                <w:rPr>
                  <w:rStyle w:val="Strong"/>
                  <w:rFonts w:ascii="Cambria Math" w:eastAsiaTheme="minorEastAsia" w:hAnsi="Cambria Math"/>
                  <w:b w:val="0"/>
                  <w:bCs w:val="0"/>
                  <w:i w:val="0"/>
                  <w:sz w:val="22"/>
                  <w:szCs w:val="22"/>
                </w:rPr>
              </m:ctrlPr>
            </m:sSubPr>
            <m:e>
              <m:r>
                <w:rPr>
                  <w:rStyle w:val="Strong"/>
                  <w:rFonts w:ascii="Cambria Math" w:eastAsiaTheme="minorEastAsia" w:hAnsi="Cambria Math"/>
                  <w:sz w:val="22"/>
                  <w:szCs w:val="22"/>
                </w:rPr>
                <m:t>Z'</m:t>
              </m:r>
            </m:e>
            <m:sub>
              <m:r>
                <w:rPr>
                  <w:rStyle w:val="Strong"/>
                  <w:rFonts w:ascii="Cambria Math" w:eastAsiaTheme="minorEastAsia" w:hAnsi="Cambria Math"/>
                  <w:sz w:val="22"/>
                  <w:szCs w:val="22"/>
                </w:rPr>
                <m:t>ch</m:t>
              </m:r>
            </m:sub>
          </m:sSub>
          <m:r>
            <w:rPr>
              <w:rStyle w:val="Strong"/>
              <w:rFonts w:ascii="Cambria Math" w:eastAsiaTheme="minorEastAsia" w:hAnsi="Cambria Math"/>
              <w:sz w:val="22"/>
              <w:szCs w:val="22"/>
            </w:rPr>
            <m:t>α+</m:t>
          </m:r>
          <m:sSub>
            <m:sSubPr>
              <m:ctrlPr>
                <w:rPr>
                  <w:rStyle w:val="Strong"/>
                  <w:rFonts w:ascii="Cambria Math" w:eastAsiaTheme="minorEastAsia" w:hAnsi="Cambria Math"/>
                  <w:b w:val="0"/>
                  <w:bCs w:val="0"/>
                  <w:i w:val="0"/>
                  <w:sz w:val="22"/>
                  <w:szCs w:val="22"/>
                </w:rPr>
              </m:ctrlPr>
            </m:sSubPr>
            <m:e>
              <m:r>
                <w:rPr>
                  <w:rStyle w:val="Strong"/>
                  <w:rFonts w:ascii="Cambria Math" w:eastAsiaTheme="minorEastAsia" w:hAnsi="Cambria Math"/>
                  <w:sz w:val="22"/>
                  <w:szCs w:val="22"/>
                </w:rPr>
                <m:t>r</m:t>
              </m:r>
            </m:e>
            <m:sub>
              <m:r>
                <w:rPr>
                  <w:rStyle w:val="Strong"/>
                  <w:rFonts w:ascii="Cambria Math" w:eastAsiaTheme="minorEastAsia" w:hAnsi="Cambria Math"/>
                  <w:sz w:val="22"/>
                  <w:szCs w:val="22"/>
                </w:rPr>
                <m:t>ch</m:t>
              </m:r>
            </m:sub>
          </m:sSub>
          <m:r>
            <w:rPr>
              <w:rStyle w:val="Strong"/>
              <w:rFonts w:ascii="Cambria Math" w:eastAsiaTheme="minorEastAsia" w:hAnsi="Cambria Math"/>
              <w:sz w:val="22"/>
              <w:szCs w:val="22"/>
            </w:rPr>
            <m:t xml:space="preserve">            (</m:t>
          </m:r>
          <m:r>
            <m:rPr>
              <m:sty m:val="p"/>
            </m:rPr>
            <w:rPr>
              <w:rStyle w:val="Strong"/>
              <w:rFonts w:ascii="Cambria Math" w:eastAsiaTheme="minorEastAsia" w:hAnsi="Cambria Math"/>
              <w:b w:val="0"/>
              <w:bCs w:val="0"/>
              <w:i w:val="0"/>
              <w:sz w:val="22"/>
              <w:szCs w:val="22"/>
            </w:rPr>
            <w:fldChar w:fldCharType="begin"/>
          </m:r>
          <m:r>
            <w:rPr>
              <w:rStyle w:val="Strong"/>
              <w:rFonts w:ascii="Cambria Math" w:eastAsiaTheme="minorEastAsia" w:hAnsi="Cambria Math"/>
              <w:sz w:val="22"/>
              <w:szCs w:val="22"/>
            </w:rPr>
            <m:t xml:space="preserve"> SEQ Equation \* ARABIC </m:t>
          </m:r>
          <m:r>
            <m:rPr>
              <m:sty m:val="p"/>
            </m:rPr>
            <w:rPr>
              <w:rStyle w:val="Strong"/>
              <w:rFonts w:ascii="Cambria Math" w:eastAsiaTheme="minorEastAsia" w:hAnsi="Cambria Math"/>
              <w:b w:val="0"/>
              <w:bCs w:val="0"/>
              <w:i w:val="0"/>
              <w:sz w:val="22"/>
              <w:szCs w:val="22"/>
            </w:rPr>
            <w:fldChar w:fldCharType="separate"/>
          </m:r>
          <m:r>
            <w:rPr>
              <w:rStyle w:val="Strong"/>
              <w:rFonts w:ascii="Cambria Math" w:eastAsiaTheme="minorEastAsia" w:hAnsi="Cambria Math"/>
              <w:noProof/>
              <w:sz w:val="22"/>
              <w:szCs w:val="22"/>
            </w:rPr>
            <m:t>3</m:t>
          </m:r>
          <m:r>
            <m:rPr>
              <m:sty m:val="p"/>
            </m:rPr>
            <w:rPr>
              <w:rStyle w:val="Strong"/>
              <w:rFonts w:ascii="Cambria Math" w:eastAsiaTheme="minorEastAsia" w:hAnsi="Cambria Math"/>
              <w:b w:val="0"/>
              <w:bCs w:val="0"/>
              <w:i w:val="0"/>
              <w:sz w:val="22"/>
              <w:szCs w:val="22"/>
            </w:rPr>
            <w:fldChar w:fldCharType="end"/>
          </m:r>
          <m:r>
            <w:rPr>
              <w:rStyle w:val="Strong"/>
              <w:rFonts w:ascii="Cambria Math" w:eastAsiaTheme="minorEastAsia" w:hAnsi="Cambria Math"/>
              <w:sz w:val="22"/>
              <w:szCs w:val="22"/>
            </w:rPr>
            <m:t>)</m:t>
          </m:r>
        </m:oMath>
      </m:oMathPara>
    </w:p>
    <w:p w:rsidR="00FB66A2" w:rsidRPr="00EC121C" w:rsidRDefault="00E031F7" w:rsidP="00C36306">
      <w:pPr>
        <w:spacing w:line="360" w:lineRule="auto"/>
        <w:jc w:val="both"/>
        <w:rPr>
          <w:rFonts w:ascii="Garamond" w:eastAsiaTheme="minorEastAsia" w:hAnsi="Garamond"/>
        </w:rPr>
      </w:pPr>
      <w:r w:rsidRPr="00EC121C">
        <w:rPr>
          <w:rStyle w:val="Strong"/>
          <w:rFonts w:ascii="Garamond" w:eastAsiaTheme="minorEastAsia" w:hAnsi="Garamond"/>
          <w:b w:val="0"/>
          <w:bCs w:val="0"/>
        </w:rPr>
        <w:t xml:space="preserve">where </w:t>
      </w:r>
      <m:oMath>
        <m:r>
          <w:rPr>
            <w:rStyle w:val="Strong"/>
            <w:rFonts w:ascii="Cambria Math" w:eastAsiaTheme="minorEastAsia" w:hAnsi="Cambria Math"/>
          </w:rPr>
          <m:t>A=1.05</m:t>
        </m:r>
        <m:r>
          <m:rPr>
            <m:sty m:val="p"/>
          </m:rPr>
          <w:rPr>
            <w:rStyle w:val="Strong"/>
            <w:rFonts w:ascii="Cambria Math" w:eastAsiaTheme="minorEastAsia" w:hAnsi="Cambria Math"/>
          </w:rPr>
          <m:t>max⁡(</m:t>
        </m:r>
        <m:sSubSup>
          <m:sSubSupPr>
            <m:ctrlPr>
              <w:rPr>
                <w:rStyle w:val="Strong"/>
                <w:rFonts w:ascii="Cambria Math" w:eastAsiaTheme="minorEastAsia" w:hAnsi="Cambria Math"/>
                <w:b w:val="0"/>
                <w:bCs w:val="0"/>
                <w:i/>
              </w:rPr>
            </m:ctrlPr>
          </m:sSubSupPr>
          <m:e>
            <m:acc>
              <m:accPr>
                <m:ctrlPr>
                  <w:rPr>
                    <w:rStyle w:val="Strong"/>
                    <w:rFonts w:ascii="Cambria Math" w:eastAsiaTheme="minorEastAsia" w:hAnsi="Cambria Math"/>
                    <w:b w:val="0"/>
                    <w:bCs w:val="0"/>
                    <w:i/>
                  </w:rPr>
                </m:ctrlPr>
              </m:accPr>
              <m:e>
                <m:r>
                  <w:rPr>
                    <w:rStyle w:val="Strong"/>
                    <w:rFonts w:ascii="Cambria Math" w:eastAsiaTheme="minorEastAsia" w:hAnsi="Cambria Math"/>
                  </w:rPr>
                  <m:t>ε</m:t>
                </m:r>
              </m:e>
            </m:acc>
          </m:e>
          <m:sub>
            <m:r>
              <w:rPr>
                <w:rStyle w:val="Strong"/>
                <w:rFonts w:ascii="Cambria Math" w:eastAsiaTheme="minorEastAsia" w:hAnsi="Cambria Math"/>
              </w:rPr>
              <m:t>ch</m:t>
            </m:r>
          </m:sub>
          <m:sup>
            <m:r>
              <w:rPr>
                <w:rStyle w:val="Strong"/>
                <w:rFonts w:ascii="Cambria Math" w:eastAsiaTheme="minorEastAsia" w:hAnsi="Cambria Math"/>
              </w:rPr>
              <m:t>2</m:t>
            </m:r>
          </m:sup>
        </m:sSubSup>
        <m:r>
          <m:rPr>
            <m:sty m:val="p"/>
          </m:rPr>
          <w:rPr>
            <w:rStyle w:val="Strong"/>
            <w:rFonts w:ascii="Cambria Math" w:eastAsiaTheme="minorEastAsia" w:hAnsi="Cambria Math"/>
          </w:rPr>
          <m:t>)</m:t>
        </m:r>
      </m:oMath>
      <w:r w:rsidR="00FE45C9" w:rsidRPr="00EC121C">
        <w:rPr>
          <w:rStyle w:val="Strong"/>
          <w:rFonts w:ascii="Garamond" w:eastAsiaTheme="minorEastAsia" w:hAnsi="Garamond"/>
          <w:b w:val="0"/>
          <w:bCs w:val="0"/>
        </w:rPr>
        <w:t xml:space="preserve">. </w:t>
      </w:r>
      <w:r w:rsidR="00FE45C9" w:rsidRPr="00EC121C">
        <w:rPr>
          <w:rStyle w:val="FootnoteReference"/>
          <w:rFonts w:ascii="Garamond" w:eastAsiaTheme="minorEastAsia" w:hAnsi="Garamond"/>
        </w:rPr>
        <w:footnoteReference w:id="9"/>
      </w:r>
      <w:r w:rsidR="00FE45C9" w:rsidRPr="00EC121C">
        <w:rPr>
          <w:rStyle w:val="Strong"/>
          <w:rFonts w:ascii="Garamond" w:eastAsiaTheme="minorEastAsia" w:hAnsi="Garamond"/>
          <w:b w:val="0"/>
          <w:bCs w:val="0"/>
        </w:rPr>
        <w:t xml:space="preserve"> Making use of these estimates it is possible to obtain an estimate </w:t>
      </w:r>
      <w:r w:rsidR="0064546F" w:rsidRPr="00EC121C">
        <w:rPr>
          <w:rStyle w:val="Strong"/>
          <w:rFonts w:ascii="Garamond" w:eastAsiaTheme="minorEastAsia" w:hAnsi="Garamond"/>
          <w:b w:val="0"/>
          <w:bCs w:val="0"/>
        </w:rPr>
        <w:t xml:space="preserve">for </w:t>
      </w:r>
      <m:oMath>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ε,ch</m:t>
            </m:r>
          </m:sub>
          <m:sup>
            <m:r>
              <w:rPr>
                <w:rFonts w:ascii="Cambria Math" w:hAnsi="Cambria Math"/>
              </w:rPr>
              <m:t>2</m:t>
            </m:r>
          </m:sup>
        </m:sSubSup>
      </m:oMath>
      <w:r w:rsidR="00FE45C9" w:rsidRPr="00EC121C">
        <w:rPr>
          <w:rFonts w:ascii="Garamond" w:eastAsiaTheme="minorEastAsia" w:hAnsi="Garamond"/>
        </w:rPr>
        <w:t>. The existence of</w:t>
      </w:r>
      <w:r w:rsidR="0064546F" w:rsidRPr="00EC121C">
        <w:rPr>
          <w:rFonts w:ascii="Garamond" w:eastAsiaTheme="minorEastAsia" w:hAnsi="Garamond"/>
        </w:rPr>
        <w:t xml:space="preserve"> the variance parameters require a re-estimation of the welfare model given that the </w:t>
      </w:r>
      <w:r w:rsidR="0064546F" w:rsidRPr="00EC121C">
        <w:rPr>
          <w:rFonts w:ascii="Garamond" w:eastAsiaTheme="minorEastAsia" w:hAnsi="Garamond"/>
          <w:i/>
        </w:rPr>
        <w:t>OLS</w:t>
      </w:r>
      <w:r w:rsidR="0064546F" w:rsidRPr="00EC121C">
        <w:rPr>
          <w:rFonts w:ascii="Garamond" w:eastAsiaTheme="minorEastAsia" w:hAnsi="Garamond"/>
        </w:rPr>
        <w:t xml:space="preserve"> assumptions are unlikely to hold. The variance covariance matrix utilized for the GLS estimates is household cluster specific, and where the interrelatedness between households within a cluster is also allowed.</w:t>
      </w:r>
      <w:r w:rsidR="0064546F" w:rsidRPr="00EC121C">
        <w:rPr>
          <w:rStyle w:val="FootnoteReference"/>
          <w:rFonts w:ascii="Garamond" w:eastAsiaTheme="minorEastAsia" w:hAnsi="Garamond"/>
        </w:rPr>
        <w:footnoteReference w:id="10"/>
      </w:r>
    </w:p>
    <w:p w:rsidR="0064546F" w:rsidRPr="00EC121C" w:rsidRDefault="0064546F" w:rsidP="00C36306">
      <w:pPr>
        <w:spacing w:line="360" w:lineRule="auto"/>
        <w:jc w:val="both"/>
        <w:rPr>
          <w:rFonts w:ascii="Garamond" w:eastAsiaTheme="minorEastAsia" w:hAnsi="Garamond"/>
        </w:rPr>
      </w:pPr>
      <w:r w:rsidRPr="00EC121C">
        <w:rPr>
          <w:rFonts w:ascii="Garamond" w:eastAsiaTheme="minorEastAsia" w:hAnsi="Garamond"/>
        </w:rPr>
        <w:t>Once GLS estimates are obtained it is possible to move on to the second stage of the exercise.</w:t>
      </w:r>
      <w:r w:rsidR="00901690" w:rsidRPr="00EC121C">
        <w:rPr>
          <w:rFonts w:ascii="Garamond" w:eastAsiaTheme="minorEastAsia" w:hAnsi="Garamond"/>
        </w:rPr>
        <w:t xml:space="preserve"> Small area estimates of welfare (and standard errors) are obtained by applying the parameter and error estimates from the survey to the census data. In order to do this we must simulate welfare</w:t>
      </w:r>
      <w:r w:rsidR="006915B7" w:rsidRPr="00EC121C">
        <w:rPr>
          <w:rFonts w:ascii="Garamond" w:eastAsiaTheme="minorEastAsia" w:hAnsi="Garamond"/>
        </w:rPr>
        <w:t>. Since poverty indices are based on non-linear forms of log</w:t>
      </w:r>
      <w:r w:rsidR="00DB7D04">
        <w:rPr>
          <w:rFonts w:ascii="Garamond" w:eastAsiaTheme="minorEastAsia" w:hAnsi="Garamond"/>
        </w:rPr>
        <w:t xml:space="preserve"> adult equivalized</w:t>
      </w:r>
      <w:r w:rsidR="006915B7" w:rsidRPr="00EC121C">
        <w:rPr>
          <w:rFonts w:ascii="Garamond" w:eastAsiaTheme="minorEastAsia" w:hAnsi="Garamond"/>
        </w:rPr>
        <w:t xml:space="preserve"> income simulations are ideally suited for obtaining estimates of these measures. A value of </w:t>
      </w:r>
      <w:r w:rsidR="007934B4" w:rsidRPr="00EC121C">
        <w:rPr>
          <w:rFonts w:ascii="Garamond" w:eastAsiaTheme="minorEastAsia" w:hAnsi="Garamond"/>
        </w:rPr>
        <w:t xml:space="preserve">log </w:t>
      </w:r>
      <w:r w:rsidR="006915B7" w:rsidRPr="00EC121C">
        <w:rPr>
          <w:rFonts w:ascii="Garamond" w:eastAsiaTheme="minorEastAsia" w:hAnsi="Garamond"/>
        </w:rPr>
        <w:t xml:space="preserve">income per adult equivalent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ch</m:t>
            </m:r>
          </m:sub>
        </m:sSub>
      </m:oMath>
      <w:r w:rsidR="006915B7" w:rsidRPr="00EC121C">
        <w:rPr>
          <w:rFonts w:ascii="Garamond" w:eastAsiaTheme="minorEastAsia" w:hAnsi="Garamond"/>
        </w:rPr>
        <w:t xml:space="preserve"> for each household</w:t>
      </w:r>
      <w:r w:rsidR="007934B4" w:rsidRPr="00EC121C">
        <w:rPr>
          <w:rFonts w:ascii="Garamond" w:eastAsiaTheme="minorEastAsia" w:hAnsi="Garamond"/>
        </w:rPr>
        <w:t xml:space="preserve"> is simulated making use of the </w:t>
      </w:r>
      <m:oMath>
        <m:r>
          <w:rPr>
            <w:rFonts w:ascii="Cambria Math" w:eastAsiaTheme="minorEastAsia" w:hAnsi="Cambria Math"/>
          </w:rPr>
          <m:t>β</m:t>
        </m:r>
      </m:oMath>
      <w:r w:rsidR="007934B4" w:rsidRPr="00EC121C">
        <w:rPr>
          <w:rFonts w:ascii="Garamond" w:eastAsiaTheme="minorEastAsia" w:hAnsi="Garamond"/>
        </w:rPr>
        <w:t xml:space="preserve">, </w:t>
      </w:r>
      <m:oMath>
        <m:r>
          <w:rPr>
            <w:rFonts w:ascii="Cambria Math" w:eastAsiaTheme="minorEastAsia" w:hAnsi="Cambria Math"/>
          </w:rPr>
          <m:t>η</m:t>
        </m:r>
      </m:oMath>
      <w:r w:rsidR="007934B4" w:rsidRPr="00EC121C">
        <w:rPr>
          <w:rFonts w:ascii="Garamond" w:eastAsiaTheme="minorEastAsia" w:hAnsi="Garamond"/>
        </w:rPr>
        <w:t xml:space="preserve">, and the </w:t>
      </w:r>
      <m:oMath>
        <m:r>
          <w:rPr>
            <w:rFonts w:ascii="Cambria Math" w:eastAsiaTheme="minorEastAsia" w:hAnsi="Cambria Math"/>
          </w:rPr>
          <m:t>ε</m:t>
        </m:r>
      </m:oMath>
      <w:r w:rsidR="007934B4" w:rsidRPr="00EC121C">
        <w:rPr>
          <w:rFonts w:ascii="Garamond" w:eastAsiaTheme="minorEastAsia" w:hAnsi="Garamond"/>
        </w:rPr>
        <w:t xml:space="preserve"> parameters from the first stage, where each simulation </w:t>
      </w:r>
      <m:oMath>
        <m:r>
          <w:rPr>
            <w:rFonts w:ascii="Cambria Math" w:eastAsiaTheme="minorEastAsia" w:hAnsi="Cambria Math"/>
          </w:rPr>
          <m:t>r</m:t>
        </m:r>
      </m:oMath>
      <w:r w:rsidR="007934B4" w:rsidRPr="00EC121C">
        <w:rPr>
          <w:rFonts w:ascii="Garamond" w:eastAsiaTheme="minorEastAsia" w:hAnsi="Garamond"/>
        </w:rPr>
        <w:t xml:space="preserve"> is equal to:</w:t>
      </w:r>
    </w:p>
    <w:p w:rsidR="007934B4" w:rsidRPr="00EC121C" w:rsidRDefault="00CA60D5" w:rsidP="00EB027C">
      <w:pPr>
        <w:pStyle w:val="Caption"/>
        <w:rPr>
          <w:rFonts w:ascii="Garamond" w:eastAsiaTheme="minorEastAsia" w:hAnsi="Garamond"/>
        </w:rPr>
      </w:pPr>
      <m:oMathPara>
        <m:oMath>
          <m:sSub>
            <m:sSubPr>
              <m:ctrlPr>
                <w:rPr>
                  <w:rFonts w:ascii="Cambria Math" w:eastAsiaTheme="minorEastAsia" w:hAnsi="Cambria Math"/>
                  <w:i w:val="0"/>
                  <w:sz w:val="22"/>
                  <w:szCs w:val="22"/>
                </w:rPr>
              </m:ctrlPr>
            </m:sSubPr>
            <m:e>
              <m:sSup>
                <m:sSupPr>
                  <m:ctrlPr>
                    <w:rPr>
                      <w:rFonts w:ascii="Cambria Math" w:eastAsiaTheme="minorEastAsia" w:hAnsi="Cambria Math"/>
                      <w:i w:val="0"/>
                      <w:sz w:val="22"/>
                      <w:szCs w:val="22"/>
                    </w:rPr>
                  </m:ctrlPr>
                </m:sSupPr>
                <m:e>
                  <m:acc>
                    <m:accPr>
                      <m:chr m:val="̃"/>
                      <m:ctrlPr>
                        <w:rPr>
                          <w:rFonts w:ascii="Cambria Math" w:eastAsiaTheme="minorEastAsia" w:hAnsi="Cambria Math"/>
                          <w:i w:val="0"/>
                          <w:sz w:val="22"/>
                          <w:szCs w:val="22"/>
                        </w:rPr>
                      </m:ctrlPr>
                    </m:accPr>
                    <m:e>
                      <m:r>
                        <w:rPr>
                          <w:rFonts w:ascii="Cambria Math" w:eastAsiaTheme="minorEastAsia" w:hAnsi="Cambria Math"/>
                          <w:sz w:val="22"/>
                          <w:szCs w:val="22"/>
                        </w:rPr>
                        <m:t>y</m:t>
                      </m:r>
                    </m:e>
                  </m:acc>
                </m:e>
                <m:sup>
                  <m:r>
                    <w:rPr>
                      <w:rFonts w:ascii="Cambria Math" w:eastAsiaTheme="minorEastAsia" w:hAnsi="Cambria Math"/>
                      <w:sz w:val="22"/>
                      <w:szCs w:val="22"/>
                    </w:rPr>
                    <m:t>r</m:t>
                  </m:r>
                </m:sup>
              </m:sSup>
            </m:e>
            <m:sub>
              <m:r>
                <w:rPr>
                  <w:rFonts w:ascii="Cambria Math" w:eastAsiaTheme="minorEastAsia" w:hAnsi="Cambria Math"/>
                  <w:sz w:val="22"/>
                  <w:szCs w:val="22"/>
                </w:rPr>
                <m:t>ch</m:t>
              </m:r>
            </m:sub>
          </m:sSub>
          <m:r>
            <w:rPr>
              <w:rFonts w:ascii="Cambria Math" w:eastAsiaTheme="minorEastAsia" w:hAnsi="Cambria Math"/>
              <w:sz w:val="22"/>
              <w:szCs w:val="22"/>
            </w:rPr>
            <m:t>=</m:t>
          </m:r>
          <m:func>
            <m:funcPr>
              <m:ctrlPr>
                <w:rPr>
                  <w:rFonts w:ascii="Cambria Math" w:eastAsiaTheme="minorEastAsia" w:hAnsi="Cambria Math"/>
                  <w:i w:val="0"/>
                  <w:sz w:val="22"/>
                  <w:szCs w:val="22"/>
                </w:rPr>
              </m:ctrlPr>
            </m:funcPr>
            <m:fName>
              <m:r>
                <w:rPr>
                  <w:rFonts w:ascii="Cambria Math" w:eastAsiaTheme="minorEastAsia" w:hAnsi="Cambria Math"/>
                  <w:sz w:val="22"/>
                  <w:szCs w:val="22"/>
                </w:rPr>
                <m:t>exp</m:t>
              </m:r>
            </m:fName>
            <m:e>
              <m:r>
                <w:rPr>
                  <w:rFonts w:ascii="Cambria Math" w:eastAsiaTheme="minorEastAsia" w:hAnsi="Cambria Math"/>
                  <w:sz w:val="22"/>
                  <w:szCs w:val="22"/>
                </w:rPr>
                <m:t>(</m:t>
              </m:r>
              <m:sSub>
                <m:sSubPr>
                  <m:ctrlPr>
                    <w:rPr>
                      <w:rFonts w:ascii="Cambria Math" w:eastAsiaTheme="minorEastAsia" w:hAnsi="Cambria Math"/>
                      <w:i w:val="0"/>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ch</m:t>
                  </m:r>
                </m:sub>
              </m:sSub>
              <m:sSup>
                <m:sSupPr>
                  <m:ctrlPr>
                    <w:rPr>
                      <w:rFonts w:ascii="Cambria Math" w:eastAsiaTheme="minorEastAsia" w:hAnsi="Cambria Math"/>
                      <w:i w:val="0"/>
                      <w:sz w:val="22"/>
                      <w:szCs w:val="22"/>
                    </w:rPr>
                  </m:ctrlPr>
                </m:sSupPr>
                <m:e>
                  <m:acc>
                    <m:accPr>
                      <m:chr m:val="̃"/>
                      <m:ctrlPr>
                        <w:rPr>
                          <w:rFonts w:ascii="Cambria Math" w:eastAsiaTheme="minorEastAsia" w:hAnsi="Cambria Math"/>
                          <w:i w:val="0"/>
                          <w:sz w:val="22"/>
                          <w:szCs w:val="22"/>
                        </w:rPr>
                      </m:ctrlPr>
                    </m:accPr>
                    <m:e>
                      <m:r>
                        <w:rPr>
                          <w:rFonts w:ascii="Cambria Math" w:eastAsiaTheme="minorEastAsia" w:hAnsi="Cambria Math"/>
                          <w:sz w:val="22"/>
                          <w:szCs w:val="22"/>
                        </w:rPr>
                        <m:t>β</m:t>
                      </m:r>
                    </m:e>
                  </m:acc>
                </m:e>
                <m:sup>
                  <m:r>
                    <w:rPr>
                      <w:rFonts w:ascii="Cambria Math" w:eastAsiaTheme="minorEastAsia" w:hAnsi="Cambria Math"/>
                      <w:sz w:val="22"/>
                      <w:szCs w:val="22"/>
                    </w:rPr>
                    <m:t>r</m:t>
                  </m:r>
                </m:sup>
              </m:sSup>
              <m:r>
                <w:rPr>
                  <w:rFonts w:ascii="Cambria Math" w:eastAsiaTheme="minorEastAsia" w:hAnsi="Cambria Math"/>
                  <w:sz w:val="22"/>
                  <w:szCs w:val="22"/>
                </w:rPr>
                <m:t>+</m:t>
              </m:r>
              <m:sSubSup>
                <m:sSubSupPr>
                  <m:ctrlPr>
                    <w:rPr>
                      <w:rFonts w:ascii="Cambria Math" w:eastAsiaTheme="minorEastAsia" w:hAnsi="Cambria Math"/>
                      <w:i w:val="0"/>
                      <w:sz w:val="22"/>
                      <w:szCs w:val="22"/>
                    </w:rPr>
                  </m:ctrlPr>
                </m:sSubSupPr>
                <m:e>
                  <m:acc>
                    <m:accPr>
                      <m:chr m:val="̃"/>
                      <m:ctrlPr>
                        <w:rPr>
                          <w:rFonts w:ascii="Cambria Math" w:eastAsiaTheme="minorEastAsia" w:hAnsi="Cambria Math"/>
                          <w:i w:val="0"/>
                          <w:sz w:val="22"/>
                          <w:szCs w:val="22"/>
                        </w:rPr>
                      </m:ctrlPr>
                    </m:accPr>
                    <m:e>
                      <m:r>
                        <w:rPr>
                          <w:rFonts w:ascii="Cambria Math" w:eastAsiaTheme="minorEastAsia" w:hAnsi="Cambria Math"/>
                          <w:sz w:val="22"/>
                          <w:szCs w:val="22"/>
                        </w:rPr>
                        <m:t>η</m:t>
                      </m:r>
                    </m:e>
                  </m:acc>
                </m:e>
                <m:sub>
                  <m:r>
                    <w:rPr>
                      <w:rFonts w:ascii="Cambria Math" w:eastAsiaTheme="minorEastAsia" w:hAnsi="Cambria Math"/>
                      <w:sz w:val="22"/>
                      <w:szCs w:val="22"/>
                    </w:rPr>
                    <m:t>c</m:t>
                  </m:r>
                </m:sub>
                <m:sup>
                  <m:r>
                    <w:rPr>
                      <w:rFonts w:ascii="Cambria Math" w:eastAsiaTheme="minorEastAsia" w:hAnsi="Cambria Math"/>
                      <w:sz w:val="22"/>
                      <w:szCs w:val="22"/>
                    </w:rPr>
                    <m:t>r</m:t>
                  </m:r>
                </m:sup>
              </m:sSubSup>
              <m:r>
                <w:rPr>
                  <w:rFonts w:ascii="Cambria Math" w:eastAsiaTheme="minorEastAsia" w:hAnsi="Cambria Math"/>
                  <w:sz w:val="22"/>
                  <w:szCs w:val="22"/>
                </w:rPr>
                <m:t>+</m:t>
              </m:r>
              <m:sSubSup>
                <m:sSubSupPr>
                  <m:ctrlPr>
                    <w:rPr>
                      <w:rFonts w:ascii="Cambria Math" w:eastAsiaTheme="minorEastAsia" w:hAnsi="Cambria Math"/>
                      <w:i w:val="0"/>
                      <w:sz w:val="22"/>
                      <w:szCs w:val="22"/>
                    </w:rPr>
                  </m:ctrlPr>
                </m:sSubSupPr>
                <m:e>
                  <m:acc>
                    <m:accPr>
                      <m:chr m:val="̃"/>
                      <m:ctrlPr>
                        <w:rPr>
                          <w:rFonts w:ascii="Cambria Math" w:eastAsiaTheme="minorEastAsia" w:hAnsi="Cambria Math"/>
                          <w:i w:val="0"/>
                          <w:sz w:val="22"/>
                          <w:szCs w:val="22"/>
                        </w:rPr>
                      </m:ctrlPr>
                    </m:accPr>
                    <m:e>
                      <m:r>
                        <w:rPr>
                          <w:rFonts w:ascii="Cambria Math" w:eastAsiaTheme="minorEastAsia" w:hAnsi="Cambria Math"/>
                          <w:sz w:val="22"/>
                          <w:szCs w:val="22"/>
                        </w:rPr>
                        <m:t>ε</m:t>
                      </m:r>
                    </m:e>
                  </m:acc>
                </m:e>
                <m:sub>
                  <m:r>
                    <w:rPr>
                      <w:rFonts w:ascii="Cambria Math" w:eastAsiaTheme="minorEastAsia" w:hAnsi="Cambria Math"/>
                      <w:sz w:val="22"/>
                      <w:szCs w:val="22"/>
                    </w:rPr>
                    <m:t>ch</m:t>
                  </m:r>
                </m:sub>
                <m:sup>
                  <m:r>
                    <w:rPr>
                      <w:rFonts w:ascii="Cambria Math" w:eastAsiaTheme="minorEastAsia" w:hAnsi="Cambria Math"/>
                      <w:sz w:val="22"/>
                      <w:szCs w:val="22"/>
                    </w:rPr>
                    <m:t>r</m:t>
                  </m:r>
                </m:sup>
              </m:sSubSup>
              <m:r>
                <w:rPr>
                  <w:rFonts w:ascii="Cambria Math" w:eastAsiaTheme="minorEastAsia" w:hAnsi="Cambria Math"/>
                  <w:sz w:val="22"/>
                  <w:szCs w:val="22"/>
                </w:rPr>
                <m:t>)</m:t>
              </m:r>
            </m:e>
          </m:func>
          <m:r>
            <w:rPr>
              <w:rFonts w:ascii="Cambria Math" w:eastAsiaTheme="minorEastAsia" w:hAnsi="Cambria Math"/>
              <w:sz w:val="22"/>
              <w:szCs w:val="22"/>
            </w:rPr>
            <m:t xml:space="preserve">          (</m:t>
          </m:r>
          <m:r>
            <m:rPr>
              <m:sty m:val="p"/>
            </m:rPr>
            <w:rPr>
              <w:rFonts w:ascii="Cambria Math" w:eastAsiaTheme="minorEastAsia" w:hAnsi="Cambria Math"/>
              <w:i w:val="0"/>
              <w:sz w:val="22"/>
              <w:szCs w:val="22"/>
            </w:rPr>
            <w:fldChar w:fldCharType="begin"/>
          </m:r>
          <m:r>
            <w:rPr>
              <w:rFonts w:ascii="Cambria Math" w:eastAsiaTheme="minorEastAsia" w:hAnsi="Cambria Math"/>
              <w:sz w:val="22"/>
              <w:szCs w:val="22"/>
            </w:rPr>
            <m:t xml:space="preserve"> SEQ Equation \* ARABIC </m:t>
          </m:r>
          <m:r>
            <m:rPr>
              <m:sty m:val="p"/>
            </m:rPr>
            <w:rPr>
              <w:rFonts w:ascii="Cambria Math" w:eastAsiaTheme="minorEastAsia" w:hAnsi="Cambria Math"/>
              <w:i w:val="0"/>
              <w:sz w:val="22"/>
              <w:szCs w:val="22"/>
            </w:rPr>
            <w:fldChar w:fldCharType="separate"/>
          </m:r>
          <m:r>
            <w:rPr>
              <w:rFonts w:ascii="Cambria Math" w:eastAsiaTheme="minorEastAsia" w:hAnsi="Cambria Math"/>
              <w:noProof/>
              <w:sz w:val="22"/>
              <w:szCs w:val="22"/>
            </w:rPr>
            <m:t>4</m:t>
          </m:r>
          <m:r>
            <m:rPr>
              <m:sty m:val="p"/>
            </m:rPr>
            <w:rPr>
              <w:rFonts w:ascii="Cambria Math" w:eastAsiaTheme="minorEastAsia" w:hAnsi="Cambria Math"/>
              <w:i w:val="0"/>
              <w:sz w:val="22"/>
              <w:szCs w:val="22"/>
            </w:rPr>
            <w:fldChar w:fldCharType="end"/>
          </m:r>
          <m:r>
            <w:rPr>
              <w:rFonts w:ascii="Cambria Math" w:eastAsiaTheme="minorEastAsia" w:hAnsi="Cambria Math"/>
              <w:sz w:val="22"/>
              <w:szCs w:val="22"/>
            </w:rPr>
            <m:t>)</m:t>
          </m:r>
        </m:oMath>
      </m:oMathPara>
    </w:p>
    <w:p w:rsidR="007934B4" w:rsidRPr="00EC121C" w:rsidRDefault="007934B4" w:rsidP="00C36306">
      <w:pPr>
        <w:spacing w:line="360" w:lineRule="auto"/>
        <w:jc w:val="both"/>
        <w:rPr>
          <w:rFonts w:ascii="Garamond" w:eastAsiaTheme="minorEastAsia" w:hAnsi="Garamond"/>
        </w:rPr>
      </w:pPr>
      <w:r w:rsidRPr="00EC121C">
        <w:rPr>
          <w:rStyle w:val="Strong"/>
          <w:rFonts w:ascii="Garamond" w:hAnsi="Garamond"/>
          <w:b w:val="0"/>
        </w:rPr>
        <w:t xml:space="preserve">For each simulation a set of </w:t>
      </w:r>
      <m:oMath>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β</m:t>
                </m:r>
              </m:e>
            </m:acc>
          </m:e>
          <m:sup>
            <m:r>
              <w:rPr>
                <w:rFonts w:ascii="Cambria Math" w:eastAsiaTheme="minorEastAsia" w:hAnsi="Cambria Math"/>
              </w:rPr>
              <m:t>r</m:t>
            </m:r>
          </m:sup>
        </m:sSup>
      </m:oMath>
      <w:r w:rsidRPr="00EC121C">
        <w:rPr>
          <w:rFonts w:ascii="Garamond" w:eastAsiaTheme="minorEastAsia" w:hAnsi="Garamond"/>
        </w:rPr>
        <w:t xml:space="preserve"> are drawn from bootstrapped versions of the EU-SILC sample</w:t>
      </w:r>
      <w:r w:rsidR="00B53CA5" w:rsidRPr="00EC121C">
        <w:rPr>
          <w:rFonts w:ascii="Garamond" w:eastAsiaTheme="minorEastAsia" w:hAnsi="Garamond"/>
        </w:rPr>
        <w:t>.</w:t>
      </w:r>
      <w:r w:rsidR="00D323F2" w:rsidRPr="00EC121C">
        <w:rPr>
          <w:rStyle w:val="FootnoteReference"/>
          <w:rFonts w:ascii="Garamond" w:eastAsiaTheme="minorEastAsia" w:hAnsi="Garamond"/>
        </w:rPr>
        <w:footnoteReference w:id="11"/>
      </w:r>
      <w:r w:rsidR="00B53CA5" w:rsidRPr="00EC121C">
        <w:rPr>
          <w:rFonts w:ascii="Garamond" w:eastAsiaTheme="minorEastAsia" w:hAnsi="Garamond"/>
        </w:rPr>
        <w:t xml:space="preserve"> On the other hand for the location and household disturbance terms we obtain their variance parameters,  </w:t>
      </w:r>
      <m:oMath>
        <m:sSup>
          <m:sSupPr>
            <m:ctrlPr>
              <w:rPr>
                <w:rFonts w:ascii="Cambria Math" w:hAnsi="Cambria Math"/>
                <w:i/>
              </w:rPr>
            </m:ctrlPr>
          </m:sSupPr>
          <m:e>
            <m:d>
              <m:dPr>
                <m:ctrlPr>
                  <w:rPr>
                    <w:rFonts w:ascii="Cambria Math" w:eastAsiaTheme="minorEastAsia" w:hAnsi="Cambria Math"/>
                    <w:i/>
                  </w:rPr>
                </m:ctrlPr>
              </m:dPr>
              <m:e>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ε,ch</m:t>
                    </m:r>
                  </m:sub>
                  <m:sup>
                    <m:r>
                      <w:rPr>
                        <w:rFonts w:ascii="Cambria Math" w:hAnsi="Cambria Math"/>
                      </w:rPr>
                      <m:t>2</m:t>
                    </m:r>
                  </m:sup>
                </m:sSubSup>
                <m:ctrlPr>
                  <w:rPr>
                    <w:rFonts w:ascii="Cambria Math" w:hAnsi="Cambria Math"/>
                    <w:i/>
                  </w:rPr>
                </m:ctrlPr>
              </m:e>
            </m:d>
          </m:e>
          <m:sup>
            <m:r>
              <w:rPr>
                <w:rFonts w:ascii="Cambria Math" w:hAnsi="Cambria Math"/>
              </w:rPr>
              <m:t>r</m:t>
            </m:r>
          </m:sup>
        </m:sSup>
      </m:oMath>
      <w:r w:rsidR="00B53CA5" w:rsidRPr="00EC121C">
        <w:rPr>
          <w:rFonts w:ascii="Garamond" w:eastAsiaTheme="minorEastAsia" w:hAnsi="Garamond"/>
        </w:rPr>
        <w:t xml:space="preserve">and  </w:t>
      </w:r>
      <m:oMath>
        <m:sSup>
          <m:sSupPr>
            <m:ctrlPr>
              <w:rPr>
                <w:rFonts w:ascii="Cambria Math" w:hAnsi="Cambria Math"/>
                <w:i/>
              </w:rPr>
            </m:ctrlPr>
          </m:sSupPr>
          <m:e>
            <m:d>
              <m:dPr>
                <m:ctrlPr>
                  <w:rPr>
                    <w:rFonts w:ascii="Cambria Math" w:eastAsiaTheme="minorEastAsia" w:hAnsi="Cambria Math"/>
                    <w:i/>
                  </w:rPr>
                </m:ctrlPr>
              </m:dPr>
              <m:e>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η</m:t>
                    </m:r>
                  </m:sub>
                  <m:sup>
                    <m:r>
                      <w:rPr>
                        <w:rFonts w:ascii="Cambria Math" w:hAnsi="Cambria Math"/>
                      </w:rPr>
                      <m:t>2</m:t>
                    </m:r>
                  </m:sup>
                </m:sSubSup>
                <m:ctrlPr>
                  <w:rPr>
                    <w:rFonts w:ascii="Cambria Math" w:hAnsi="Cambria Math"/>
                    <w:i/>
                  </w:rPr>
                </m:ctrlPr>
              </m:e>
            </m:d>
          </m:e>
          <m:sup>
            <m:r>
              <w:rPr>
                <w:rFonts w:ascii="Cambria Math" w:hAnsi="Cambria Math"/>
              </w:rPr>
              <m:t>r</m:t>
            </m:r>
          </m:sup>
        </m:sSup>
      </m:oMath>
      <w:r w:rsidR="00B53CA5" w:rsidRPr="00EC121C">
        <w:rPr>
          <w:rFonts w:ascii="Garamond" w:eastAsiaTheme="minorEastAsia" w:hAnsi="Garamond"/>
        </w:rPr>
        <w:t>,</w:t>
      </w:r>
      <w:r w:rsidR="00B53CA5" w:rsidRPr="00EC121C">
        <w:rPr>
          <w:rStyle w:val="Strong"/>
          <w:rFonts w:ascii="Garamond" w:hAnsi="Garamond"/>
          <w:b w:val="0"/>
        </w:rPr>
        <w:t xml:space="preserve"> </w:t>
      </w:r>
      <w:r w:rsidR="00B53CA5" w:rsidRPr="00EC121C">
        <w:rPr>
          <w:rFonts w:ascii="Garamond" w:eastAsiaTheme="minorEastAsia" w:hAnsi="Garamond"/>
        </w:rPr>
        <w:t xml:space="preserve"> from the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th</m:t>
            </m:r>
          </m:sup>
        </m:sSup>
      </m:oMath>
      <w:r w:rsidR="00B53CA5" w:rsidRPr="00EC121C">
        <w:rPr>
          <w:rFonts w:ascii="Garamond" w:eastAsiaTheme="minorEastAsia" w:hAnsi="Garamond"/>
        </w:rPr>
        <w:t xml:space="preserve">  bootstrapped version of the EU-SILC.</w:t>
      </w:r>
      <w:r w:rsidR="00B2680E" w:rsidRPr="00EC121C">
        <w:rPr>
          <w:rFonts w:ascii="Garamond" w:eastAsiaTheme="minorEastAsia" w:hAnsi="Garamond"/>
        </w:rPr>
        <w:t xml:space="preserve"> </w:t>
      </w:r>
      <m:oMath>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η</m:t>
                </m:r>
              </m:e>
            </m:acc>
          </m:e>
          <m:sub>
            <m:r>
              <w:rPr>
                <w:rFonts w:ascii="Cambria Math" w:eastAsiaTheme="minorEastAsia" w:hAnsi="Cambria Math"/>
              </w:rPr>
              <m:t>c</m:t>
            </m:r>
          </m:sub>
          <m:sup>
            <m:r>
              <w:rPr>
                <w:rFonts w:ascii="Cambria Math" w:eastAsiaTheme="minorEastAsia" w:hAnsi="Cambria Math"/>
              </w:rPr>
              <m:t>r</m:t>
            </m:r>
          </m:sup>
        </m:sSubSup>
      </m:oMath>
      <w:r w:rsidR="00B2680E" w:rsidRPr="00EC121C">
        <w:rPr>
          <w:rFonts w:ascii="Garamond" w:eastAsiaTheme="minorEastAsia" w:hAnsi="Garamond"/>
        </w:rPr>
        <w:t xml:space="preserve"> and </w:t>
      </w:r>
      <m:oMath>
        <m:sSubSup>
          <m:sSubSupPr>
            <m:ctrlPr>
              <w:rPr>
                <w:rFonts w:ascii="Cambria Math" w:eastAsiaTheme="minorEastAsia" w:hAnsi="Cambria Math"/>
                <w:i/>
              </w:rPr>
            </m:ctrlPr>
          </m:sSubSupPr>
          <m:e>
            <m:acc>
              <m:accPr>
                <m:chr m:val="̃"/>
                <m:ctrlPr>
                  <w:rPr>
                    <w:rFonts w:ascii="Cambria Math" w:eastAsiaTheme="minorEastAsia" w:hAnsi="Cambria Math"/>
                    <w:i/>
                  </w:rPr>
                </m:ctrlPr>
              </m:accPr>
              <m:e>
                <m:r>
                  <w:rPr>
                    <w:rFonts w:ascii="Cambria Math" w:eastAsiaTheme="minorEastAsia" w:hAnsi="Cambria Math"/>
                  </w:rPr>
                  <m:t>ε</m:t>
                </m:r>
              </m:e>
            </m:acc>
          </m:e>
          <m:sub>
            <m:r>
              <w:rPr>
                <w:rFonts w:ascii="Cambria Math" w:eastAsiaTheme="minorEastAsia" w:hAnsi="Cambria Math"/>
              </w:rPr>
              <m:t>ch</m:t>
            </m:r>
          </m:sub>
          <m:sup>
            <m:r>
              <w:rPr>
                <w:rFonts w:ascii="Cambria Math" w:eastAsiaTheme="minorEastAsia" w:hAnsi="Cambria Math"/>
              </w:rPr>
              <m:t>r</m:t>
            </m:r>
          </m:sup>
        </m:sSubSup>
      </m:oMath>
      <w:r w:rsidR="00B2680E" w:rsidRPr="00EC121C">
        <w:rPr>
          <w:rFonts w:ascii="Garamond" w:eastAsiaTheme="minorEastAsia" w:hAnsi="Garamond"/>
        </w:rPr>
        <w:t xml:space="preserve"> are thus drawn from a normal distribution assuming mean zero and variances equal to </w:t>
      </w:r>
      <m:oMath>
        <m:sSup>
          <m:sSupPr>
            <m:ctrlPr>
              <w:rPr>
                <w:rFonts w:ascii="Cambria Math" w:hAnsi="Cambria Math"/>
                <w:i/>
              </w:rPr>
            </m:ctrlPr>
          </m:sSupPr>
          <m:e>
            <m:d>
              <m:dPr>
                <m:ctrlPr>
                  <w:rPr>
                    <w:rFonts w:ascii="Cambria Math" w:eastAsiaTheme="minorEastAsia" w:hAnsi="Cambria Math"/>
                    <w:i/>
                  </w:rPr>
                </m:ctrlPr>
              </m:dPr>
              <m:e>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ε,ch</m:t>
                    </m:r>
                  </m:sub>
                  <m:sup>
                    <m:r>
                      <w:rPr>
                        <w:rFonts w:ascii="Cambria Math" w:hAnsi="Cambria Math"/>
                      </w:rPr>
                      <m:t>2</m:t>
                    </m:r>
                  </m:sup>
                </m:sSubSup>
                <m:ctrlPr>
                  <w:rPr>
                    <w:rFonts w:ascii="Cambria Math" w:hAnsi="Cambria Math"/>
                    <w:i/>
                  </w:rPr>
                </m:ctrlPr>
              </m:e>
            </m:d>
          </m:e>
          <m:sup>
            <m:r>
              <w:rPr>
                <w:rFonts w:ascii="Cambria Math" w:hAnsi="Cambria Math"/>
              </w:rPr>
              <m:t>r</m:t>
            </m:r>
          </m:sup>
        </m:sSup>
      </m:oMath>
      <w:r w:rsidR="00B2680E" w:rsidRPr="00EC121C">
        <w:rPr>
          <w:rFonts w:ascii="Garamond" w:eastAsiaTheme="minorEastAsia" w:hAnsi="Garamond"/>
        </w:rPr>
        <w:t xml:space="preserve">and  </w:t>
      </w:r>
      <m:oMath>
        <m:sSup>
          <m:sSupPr>
            <m:ctrlPr>
              <w:rPr>
                <w:rFonts w:ascii="Cambria Math" w:hAnsi="Cambria Math"/>
                <w:i/>
              </w:rPr>
            </m:ctrlPr>
          </m:sSupPr>
          <m:e>
            <m:d>
              <m:dPr>
                <m:ctrlPr>
                  <w:rPr>
                    <w:rFonts w:ascii="Cambria Math" w:eastAsiaTheme="minorEastAsia" w:hAnsi="Cambria Math"/>
                    <w:i/>
                  </w:rPr>
                </m:ctrlPr>
              </m:dPr>
              <m:e>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η</m:t>
                    </m:r>
                  </m:sub>
                  <m:sup>
                    <m:r>
                      <w:rPr>
                        <w:rFonts w:ascii="Cambria Math" w:hAnsi="Cambria Math"/>
                      </w:rPr>
                      <m:t>2</m:t>
                    </m:r>
                  </m:sup>
                </m:sSubSup>
                <m:ctrlPr>
                  <w:rPr>
                    <w:rFonts w:ascii="Cambria Math" w:hAnsi="Cambria Math"/>
                    <w:i/>
                  </w:rPr>
                </m:ctrlPr>
              </m:e>
            </m:d>
          </m:e>
          <m:sup>
            <m:r>
              <w:rPr>
                <w:rFonts w:ascii="Cambria Math" w:hAnsi="Cambria Math"/>
              </w:rPr>
              <m:t>r</m:t>
            </m:r>
          </m:sup>
        </m:sSup>
      </m:oMath>
      <w:r w:rsidR="00B2680E" w:rsidRPr="00EC121C">
        <w:rPr>
          <w:rFonts w:ascii="Garamond" w:eastAsiaTheme="minorEastAsia" w:hAnsi="Garamond"/>
        </w:rPr>
        <w:t>, respectively.</w:t>
      </w:r>
      <w:r w:rsidR="002A7B34" w:rsidRPr="00EC121C">
        <w:rPr>
          <w:rFonts w:ascii="Garamond" w:eastAsiaTheme="minorEastAsia" w:hAnsi="Garamond"/>
        </w:rPr>
        <w:t xml:space="preserve"> </w:t>
      </w:r>
      <w:r w:rsidR="00B2680E" w:rsidRPr="00EC121C">
        <w:rPr>
          <w:rFonts w:ascii="Garamond" w:eastAsiaTheme="minorEastAsia" w:hAnsi="Garamond"/>
        </w:rPr>
        <w:t xml:space="preserve"> </w:t>
      </w:r>
      <w:r w:rsidR="002A7B34" w:rsidRPr="00EC121C">
        <w:rPr>
          <w:rFonts w:ascii="Garamond" w:eastAsiaTheme="minorEastAsia" w:hAnsi="Garamond"/>
        </w:rPr>
        <w:t xml:space="preserve">If we define  </w:t>
      </w:r>
      <m:oMath>
        <m:r>
          <w:rPr>
            <w:rFonts w:ascii="Cambria Math" w:eastAsiaTheme="minorEastAsia" w:hAnsi="Cambria Math"/>
          </w:rPr>
          <m:t>f(</m:t>
        </m:r>
        <m:sSub>
          <m:sSubPr>
            <m:ctrlPr>
              <w:rPr>
                <w:rFonts w:ascii="Cambria Math" w:eastAsiaTheme="minorEastAsia" w:hAnsi="Cambria Math"/>
                <w:i/>
              </w:rPr>
            </m:ctrlPr>
          </m:sSubPr>
          <m:e>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y</m:t>
                    </m:r>
                  </m:e>
                </m:acc>
              </m:e>
              <m:sup>
                <m:r>
                  <w:rPr>
                    <w:rFonts w:ascii="Cambria Math" w:eastAsiaTheme="minorEastAsia" w:hAnsi="Cambria Math"/>
                  </w:rPr>
                  <m:t>r</m:t>
                </m:r>
              </m:sup>
            </m:sSup>
          </m:e>
          <m:sub>
            <m:r>
              <w:rPr>
                <w:rFonts w:ascii="Cambria Math" w:eastAsiaTheme="minorEastAsia" w:hAnsi="Cambria Math"/>
              </w:rPr>
              <m:t>ch</m:t>
            </m:r>
          </m:sub>
        </m:sSub>
        <m:r>
          <w:rPr>
            <w:rFonts w:ascii="Cambria Math" w:eastAsiaTheme="minorEastAsia" w:hAnsi="Cambria Math"/>
          </w:rPr>
          <m:t>)</m:t>
        </m:r>
      </m:oMath>
      <w:r w:rsidR="002A7B34" w:rsidRPr="00EC121C">
        <w:rPr>
          <w:rFonts w:ascii="Garamond" w:eastAsiaTheme="minorEastAsia" w:hAnsi="Garamond"/>
        </w:rPr>
        <w:t xml:space="preserve">   as a function that maps the estimated</w:t>
      </w:r>
      <w:r w:rsidR="00212FDF">
        <w:rPr>
          <w:rFonts w:ascii="Garamond" w:eastAsiaTheme="minorEastAsia" w:hAnsi="Garamond"/>
        </w:rPr>
        <w:t xml:space="preserve"> adult equivalized</w:t>
      </w:r>
      <w:r w:rsidR="002A7B34" w:rsidRPr="00EC121C">
        <w:rPr>
          <w:rFonts w:ascii="Garamond" w:eastAsiaTheme="minorEastAsia" w:hAnsi="Garamond"/>
        </w:rPr>
        <w:t xml:space="preserve"> income measure to a poverty </w:t>
      </w:r>
      <w:r w:rsidR="002A7B34" w:rsidRPr="00EC121C">
        <w:rPr>
          <w:rFonts w:ascii="Garamond" w:eastAsiaTheme="minorEastAsia" w:hAnsi="Garamond"/>
        </w:rPr>
        <w:lastRenderedPageBreak/>
        <w:t xml:space="preserve">measure such as the at-risk of poverty head-count-rate (FGT 0) then the estimated </w:t>
      </w:r>
      <w:r w:rsidR="00D323F2" w:rsidRPr="00EC121C">
        <w:rPr>
          <w:rFonts w:ascii="Garamond" w:eastAsiaTheme="minorEastAsia" w:hAnsi="Garamond"/>
        </w:rPr>
        <w:t xml:space="preserve">mean </w:t>
      </w:r>
      <w:r w:rsidR="002A7B34" w:rsidRPr="00EC121C">
        <w:rPr>
          <w:rFonts w:ascii="Garamond" w:eastAsiaTheme="minorEastAsia" w:hAnsi="Garamond"/>
        </w:rPr>
        <w:t xml:space="preserve">poverty rate for a municipality </w:t>
      </w:r>
      <m:oMath>
        <m:r>
          <w:rPr>
            <w:rFonts w:ascii="Cambria Math" w:eastAsiaTheme="minorEastAsia" w:hAnsi="Cambria Math"/>
          </w:rPr>
          <m:t xml:space="preserve">c </m:t>
        </m:r>
      </m:oMath>
      <w:r w:rsidR="002A7B34" w:rsidRPr="00EC121C">
        <w:rPr>
          <w:rFonts w:ascii="Garamond" w:eastAsiaTheme="minorEastAsia" w:hAnsi="Garamond"/>
        </w:rPr>
        <w:t xml:space="preserve"> is equal to:</w:t>
      </w:r>
    </w:p>
    <w:p w:rsidR="002A7B34" w:rsidRPr="00EC121C" w:rsidRDefault="002A7B34" w:rsidP="00EB027C">
      <w:pPr>
        <w:pStyle w:val="Caption"/>
        <w:rPr>
          <w:rStyle w:val="Strong"/>
          <w:rFonts w:ascii="Garamond" w:eastAsiaTheme="minorEastAsia" w:hAnsi="Garamond"/>
          <w:b w:val="0"/>
          <w:bCs w:val="0"/>
        </w:rPr>
      </w:pPr>
      <m:oMathPara>
        <m:oMath>
          <m:r>
            <w:rPr>
              <w:rStyle w:val="Strong"/>
              <w:rFonts w:ascii="Cambria Math" w:hAnsi="Cambria Math"/>
              <w:sz w:val="22"/>
              <w:szCs w:val="22"/>
            </w:rPr>
            <m:t>FGT</m:t>
          </m:r>
          <m:sSub>
            <m:sSubPr>
              <m:ctrlPr>
                <w:rPr>
                  <w:rStyle w:val="Strong"/>
                  <w:rFonts w:ascii="Cambria Math" w:hAnsi="Cambria Math"/>
                  <w:b w:val="0"/>
                  <w:bCs w:val="0"/>
                  <w:i w:val="0"/>
                  <w:sz w:val="22"/>
                  <w:szCs w:val="22"/>
                </w:rPr>
              </m:ctrlPr>
            </m:sSubPr>
            <m:e>
              <m:r>
                <w:rPr>
                  <w:rStyle w:val="Strong"/>
                  <w:rFonts w:ascii="Cambria Math" w:hAnsi="Cambria Math"/>
                  <w:sz w:val="22"/>
                  <w:szCs w:val="22"/>
                </w:rPr>
                <m:t>0</m:t>
              </m:r>
            </m:e>
            <m:sub>
              <m:r>
                <w:rPr>
                  <w:rStyle w:val="Strong"/>
                  <w:rFonts w:ascii="Cambria Math" w:hAnsi="Cambria Math"/>
                  <w:sz w:val="22"/>
                  <w:szCs w:val="22"/>
                </w:rPr>
                <m:t>c</m:t>
              </m:r>
            </m:sub>
          </m:sSub>
          <m:r>
            <w:rPr>
              <w:rStyle w:val="Strong"/>
              <w:rFonts w:ascii="Cambria Math" w:hAnsi="Cambria Math"/>
              <w:sz w:val="22"/>
              <w:szCs w:val="22"/>
            </w:rPr>
            <m:t>=</m:t>
          </m:r>
          <m:f>
            <m:fPr>
              <m:ctrlPr>
                <w:rPr>
                  <w:rStyle w:val="Strong"/>
                  <w:rFonts w:ascii="Cambria Math" w:hAnsi="Cambria Math"/>
                  <w:b w:val="0"/>
                  <w:bCs w:val="0"/>
                  <w:i w:val="0"/>
                  <w:sz w:val="22"/>
                  <w:szCs w:val="22"/>
                </w:rPr>
              </m:ctrlPr>
            </m:fPr>
            <m:num>
              <m:r>
                <w:rPr>
                  <w:rStyle w:val="Strong"/>
                  <w:rFonts w:ascii="Cambria Math" w:hAnsi="Cambria Math"/>
                  <w:sz w:val="22"/>
                  <w:szCs w:val="22"/>
                </w:rPr>
                <m:t>1</m:t>
              </m:r>
            </m:num>
            <m:den>
              <m:r>
                <w:rPr>
                  <w:rStyle w:val="Strong"/>
                  <w:rFonts w:ascii="Cambria Math" w:hAnsi="Cambria Math"/>
                  <w:sz w:val="22"/>
                  <w:szCs w:val="22"/>
                </w:rPr>
                <m:t>R</m:t>
              </m:r>
            </m:den>
          </m:f>
          <m:nary>
            <m:naryPr>
              <m:chr m:val="∑"/>
              <m:limLoc m:val="undOvr"/>
              <m:ctrlPr>
                <w:rPr>
                  <w:rStyle w:val="Strong"/>
                  <w:rFonts w:ascii="Cambria Math" w:hAnsi="Cambria Math"/>
                  <w:b w:val="0"/>
                  <w:bCs w:val="0"/>
                  <w:i w:val="0"/>
                  <w:sz w:val="22"/>
                  <w:szCs w:val="22"/>
                </w:rPr>
              </m:ctrlPr>
            </m:naryPr>
            <m:sub>
              <m:r>
                <w:rPr>
                  <w:rStyle w:val="Strong"/>
                  <w:rFonts w:ascii="Cambria Math" w:hAnsi="Cambria Math"/>
                  <w:sz w:val="22"/>
                  <w:szCs w:val="22"/>
                </w:rPr>
                <m:t>r=1</m:t>
              </m:r>
            </m:sub>
            <m:sup>
              <m:r>
                <w:rPr>
                  <w:rStyle w:val="Strong"/>
                  <w:rFonts w:ascii="Cambria Math" w:hAnsi="Cambria Math"/>
                  <w:sz w:val="22"/>
                  <w:szCs w:val="22"/>
                </w:rPr>
                <m:t>R</m:t>
              </m:r>
            </m:sup>
            <m:e>
              <m:nary>
                <m:naryPr>
                  <m:chr m:val="∑"/>
                  <m:limLoc m:val="undOvr"/>
                  <m:ctrlPr>
                    <w:rPr>
                      <w:rStyle w:val="Strong"/>
                      <w:rFonts w:ascii="Cambria Math" w:hAnsi="Cambria Math"/>
                      <w:b w:val="0"/>
                      <w:bCs w:val="0"/>
                      <w:i w:val="0"/>
                      <w:sz w:val="22"/>
                      <w:szCs w:val="22"/>
                    </w:rPr>
                  </m:ctrlPr>
                </m:naryPr>
                <m:sub>
                  <m:r>
                    <w:rPr>
                      <w:rStyle w:val="Strong"/>
                      <w:rFonts w:ascii="Cambria Math" w:hAnsi="Cambria Math"/>
                      <w:sz w:val="22"/>
                      <w:szCs w:val="22"/>
                    </w:rPr>
                    <m:t>h=1</m:t>
                  </m:r>
                </m:sub>
                <m:sup>
                  <m:r>
                    <w:rPr>
                      <w:rStyle w:val="Strong"/>
                      <w:rFonts w:ascii="Cambria Math" w:hAnsi="Cambria Math"/>
                      <w:sz w:val="22"/>
                      <w:szCs w:val="22"/>
                    </w:rPr>
                    <m:t>H</m:t>
                  </m:r>
                </m:sup>
                <m:e>
                  <m:r>
                    <w:rPr>
                      <w:rFonts w:ascii="Cambria Math" w:eastAsiaTheme="minorEastAsia" w:hAnsi="Cambria Math"/>
                      <w:sz w:val="22"/>
                      <w:szCs w:val="22"/>
                    </w:rPr>
                    <m:t xml:space="preserve"> f</m:t>
                  </m:r>
                  <m:d>
                    <m:dPr>
                      <m:ctrlPr>
                        <w:rPr>
                          <w:rFonts w:ascii="Cambria Math" w:eastAsiaTheme="minorEastAsia" w:hAnsi="Cambria Math"/>
                          <w:i w:val="0"/>
                          <w:sz w:val="22"/>
                          <w:szCs w:val="22"/>
                        </w:rPr>
                      </m:ctrlPr>
                    </m:dPr>
                    <m:e>
                      <m:sSub>
                        <m:sSubPr>
                          <m:ctrlPr>
                            <w:rPr>
                              <w:rFonts w:ascii="Cambria Math" w:eastAsiaTheme="minorEastAsia" w:hAnsi="Cambria Math"/>
                              <w:i w:val="0"/>
                              <w:sz w:val="22"/>
                              <w:szCs w:val="22"/>
                            </w:rPr>
                          </m:ctrlPr>
                        </m:sSubPr>
                        <m:e>
                          <m:sSup>
                            <m:sSupPr>
                              <m:ctrlPr>
                                <w:rPr>
                                  <w:rFonts w:ascii="Cambria Math" w:eastAsiaTheme="minorEastAsia" w:hAnsi="Cambria Math"/>
                                  <w:i w:val="0"/>
                                  <w:sz w:val="22"/>
                                  <w:szCs w:val="22"/>
                                </w:rPr>
                              </m:ctrlPr>
                            </m:sSupPr>
                            <m:e>
                              <m:acc>
                                <m:accPr>
                                  <m:chr m:val="̃"/>
                                  <m:ctrlPr>
                                    <w:rPr>
                                      <w:rFonts w:ascii="Cambria Math" w:eastAsiaTheme="minorEastAsia" w:hAnsi="Cambria Math"/>
                                      <w:i w:val="0"/>
                                      <w:sz w:val="22"/>
                                      <w:szCs w:val="22"/>
                                    </w:rPr>
                                  </m:ctrlPr>
                                </m:accPr>
                                <m:e>
                                  <m:r>
                                    <w:rPr>
                                      <w:rFonts w:ascii="Cambria Math" w:eastAsiaTheme="minorEastAsia" w:hAnsi="Cambria Math"/>
                                      <w:sz w:val="22"/>
                                      <w:szCs w:val="22"/>
                                    </w:rPr>
                                    <m:t>y</m:t>
                                  </m:r>
                                </m:e>
                              </m:acc>
                            </m:e>
                            <m:sup>
                              <m:r>
                                <w:rPr>
                                  <w:rFonts w:ascii="Cambria Math" w:eastAsiaTheme="minorEastAsia" w:hAnsi="Cambria Math"/>
                                  <w:sz w:val="22"/>
                                  <w:szCs w:val="22"/>
                                </w:rPr>
                                <m:t>r</m:t>
                              </m:r>
                            </m:sup>
                          </m:sSup>
                        </m:e>
                        <m:sub>
                          <m:r>
                            <w:rPr>
                              <w:rFonts w:ascii="Cambria Math" w:eastAsiaTheme="minorEastAsia" w:hAnsi="Cambria Math"/>
                              <w:sz w:val="22"/>
                              <w:szCs w:val="22"/>
                            </w:rPr>
                            <m:t>ch</m:t>
                          </m:r>
                        </m:sub>
                      </m:sSub>
                    </m:e>
                  </m:d>
                  <m:sSub>
                    <m:sSubPr>
                      <m:ctrlPr>
                        <w:rPr>
                          <w:rFonts w:ascii="Cambria Math" w:eastAsiaTheme="minorEastAsia" w:hAnsi="Cambria Math"/>
                          <w:i w:val="0"/>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ch</m:t>
                      </m:r>
                    </m:sub>
                  </m:sSub>
                  <m:r>
                    <w:rPr>
                      <w:rFonts w:ascii="Cambria Math" w:eastAsiaTheme="minorEastAsia" w:hAnsi="Cambria Math"/>
                      <w:sz w:val="22"/>
                      <w:szCs w:val="22"/>
                    </w:rPr>
                    <m:t xml:space="preserve">       </m:t>
                  </m:r>
                </m:e>
              </m:nary>
            </m:e>
          </m:nary>
          <m:r>
            <w:rPr>
              <w:rStyle w:val="Strong"/>
              <w:rFonts w:ascii="Cambria Math" w:hAnsi="Cambria Math"/>
              <w:sz w:val="22"/>
              <w:szCs w:val="22"/>
            </w:rPr>
            <m:t>(</m:t>
          </m:r>
          <m:r>
            <m:rPr>
              <m:sty m:val="p"/>
            </m:rPr>
            <w:rPr>
              <w:rStyle w:val="Strong"/>
              <w:rFonts w:ascii="Cambria Math" w:hAnsi="Cambria Math"/>
              <w:b w:val="0"/>
              <w:bCs w:val="0"/>
              <w:i w:val="0"/>
              <w:sz w:val="22"/>
              <w:szCs w:val="22"/>
            </w:rPr>
            <w:fldChar w:fldCharType="begin"/>
          </m:r>
          <m:r>
            <w:rPr>
              <w:rStyle w:val="Strong"/>
              <w:rFonts w:ascii="Cambria Math" w:hAnsi="Cambria Math"/>
              <w:sz w:val="22"/>
              <w:szCs w:val="22"/>
            </w:rPr>
            <m:t xml:space="preserve"> SEQ Equation \* ARABIC </m:t>
          </m:r>
          <m:r>
            <m:rPr>
              <m:sty m:val="p"/>
            </m:rPr>
            <w:rPr>
              <w:rStyle w:val="Strong"/>
              <w:rFonts w:ascii="Cambria Math" w:hAnsi="Cambria Math"/>
              <w:b w:val="0"/>
              <w:bCs w:val="0"/>
              <w:i w:val="0"/>
              <w:sz w:val="22"/>
              <w:szCs w:val="22"/>
            </w:rPr>
            <w:fldChar w:fldCharType="separate"/>
          </m:r>
          <m:r>
            <w:rPr>
              <w:rStyle w:val="Strong"/>
              <w:rFonts w:ascii="Cambria Math" w:hAnsi="Cambria Math"/>
              <w:noProof/>
              <w:sz w:val="22"/>
              <w:szCs w:val="22"/>
            </w:rPr>
            <m:t>5</m:t>
          </m:r>
          <m:r>
            <m:rPr>
              <m:sty m:val="p"/>
            </m:rPr>
            <w:rPr>
              <w:rStyle w:val="Strong"/>
              <w:rFonts w:ascii="Cambria Math" w:hAnsi="Cambria Math"/>
              <w:b w:val="0"/>
              <w:bCs w:val="0"/>
              <w:i w:val="0"/>
              <w:sz w:val="22"/>
              <w:szCs w:val="22"/>
            </w:rPr>
            <w:fldChar w:fldCharType="end"/>
          </m:r>
          <m:r>
            <w:rPr>
              <w:rStyle w:val="Strong"/>
              <w:rFonts w:ascii="Cambria Math" w:hAnsi="Cambria Math"/>
              <w:sz w:val="22"/>
              <w:szCs w:val="22"/>
            </w:rPr>
            <m:t>)</m:t>
          </m:r>
        </m:oMath>
      </m:oMathPara>
    </w:p>
    <w:p w:rsidR="00D323F2" w:rsidRPr="00EC121C" w:rsidRDefault="00D323F2"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 xml:space="preserve">where </w:t>
      </w:r>
      <m:oMath>
        <m:sSub>
          <m:sSubPr>
            <m:ctrlPr>
              <w:rPr>
                <w:rStyle w:val="Strong"/>
                <w:rFonts w:ascii="Cambria Math" w:eastAsiaTheme="minorEastAsia" w:hAnsi="Cambria Math"/>
                <w:b w:val="0"/>
                <w:bCs w:val="0"/>
                <w:i/>
              </w:rPr>
            </m:ctrlPr>
          </m:sSubPr>
          <m:e>
            <m:r>
              <w:rPr>
                <w:rStyle w:val="Strong"/>
                <w:rFonts w:ascii="Cambria Math" w:eastAsiaTheme="minorEastAsia" w:hAnsi="Cambria Math"/>
              </w:rPr>
              <m:t>w</m:t>
            </m:r>
          </m:e>
          <m:sub>
            <m:r>
              <w:rPr>
                <w:rStyle w:val="Strong"/>
                <w:rFonts w:ascii="Cambria Math" w:eastAsiaTheme="minorEastAsia" w:hAnsi="Cambria Math"/>
              </w:rPr>
              <m:t>ch</m:t>
            </m:r>
          </m:sub>
        </m:sSub>
      </m:oMath>
      <w:r w:rsidRPr="00EC121C">
        <w:rPr>
          <w:rStyle w:val="Strong"/>
          <w:rFonts w:ascii="Garamond" w:eastAsiaTheme="minorEastAsia" w:hAnsi="Garamond"/>
          <w:b w:val="0"/>
          <w:bCs w:val="0"/>
        </w:rPr>
        <w:t xml:space="preserve">  is the population expansion factor (number of household members in household </w:t>
      </w:r>
      <m:oMath>
        <m:r>
          <w:rPr>
            <w:rStyle w:val="Strong"/>
            <w:rFonts w:ascii="Cambria Math" w:eastAsiaTheme="minorEastAsia" w:hAnsi="Cambria Math"/>
          </w:rPr>
          <m:t>h</m:t>
        </m:r>
      </m:oMath>
      <w:r w:rsidRPr="00EC121C">
        <w:rPr>
          <w:rStyle w:val="Strong"/>
          <w:rFonts w:ascii="Garamond" w:eastAsiaTheme="minorEastAsia" w:hAnsi="Garamond"/>
          <w:b w:val="0"/>
          <w:bCs w:val="0"/>
        </w:rPr>
        <w:t xml:space="preserve"> divided by the total population of Croatia in the census).  </w:t>
      </w:r>
    </w:p>
    <w:p w:rsidR="008C3506" w:rsidRPr="00EC121C" w:rsidRDefault="008C3506"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 xml:space="preserve">An alternative for the estimation of </w:t>
      </w:r>
      <m:oMath>
        <m:r>
          <w:rPr>
            <w:rStyle w:val="Strong"/>
            <w:rFonts w:ascii="Cambria Math" w:eastAsiaTheme="minorEastAsia" w:hAnsi="Cambria Math"/>
          </w:rPr>
          <m:t>η</m:t>
        </m:r>
      </m:oMath>
      <w:r w:rsidRPr="00EC121C">
        <w:rPr>
          <w:rStyle w:val="Strong"/>
          <w:rFonts w:ascii="Garamond" w:eastAsiaTheme="minorEastAsia" w:hAnsi="Garamond"/>
          <w:b w:val="0"/>
          <w:bCs w:val="0"/>
        </w:rPr>
        <w:t xml:space="preserve"> </w:t>
      </w:r>
      <w:r w:rsidR="00536827" w:rsidRPr="00EC121C">
        <w:rPr>
          <w:rStyle w:val="Strong"/>
          <w:rFonts w:ascii="Garamond" w:eastAsiaTheme="minorEastAsia" w:hAnsi="Garamond"/>
          <w:b w:val="0"/>
          <w:bCs w:val="0"/>
        </w:rPr>
        <w:t xml:space="preserve">is to use the information from the survey, Empirical-Best estimation (EB). The best estimate available to us of </w:t>
      </w:r>
      <m:oMath>
        <m:r>
          <w:rPr>
            <w:rStyle w:val="Strong"/>
            <w:rFonts w:ascii="Cambria Math" w:eastAsiaTheme="minorEastAsia" w:hAnsi="Cambria Math"/>
          </w:rPr>
          <m:t>η</m:t>
        </m:r>
      </m:oMath>
      <w:r w:rsidR="00536827" w:rsidRPr="00EC121C">
        <w:rPr>
          <w:rStyle w:val="Strong"/>
          <w:rFonts w:ascii="Garamond" w:eastAsiaTheme="minorEastAsia" w:hAnsi="Garamond"/>
          <w:b w:val="0"/>
          <w:bCs w:val="0"/>
        </w:rPr>
        <w:t xml:space="preserve">,  for a particular municipality is that which comes from the survey </w:t>
      </w:r>
      <m:oMath>
        <m:r>
          <w:rPr>
            <w:rStyle w:val="Strong"/>
            <w:rFonts w:ascii="Cambria Math" w:eastAsiaTheme="minorEastAsia" w:hAnsi="Cambria Math"/>
          </w:rPr>
          <m:t>(</m:t>
        </m:r>
        <m:func>
          <m:funcPr>
            <m:ctrlPr>
              <w:rPr>
                <w:rStyle w:val="Strong"/>
                <w:rFonts w:ascii="Cambria Math" w:hAnsi="Cambria Math"/>
                <w:b w:val="0"/>
                <w:bCs w:val="0"/>
                <w:i/>
              </w:rPr>
            </m:ctrlPr>
          </m:funcPr>
          <m:fName>
            <m:r>
              <m:rPr>
                <m:sty m:val="p"/>
              </m:rPr>
              <w:rPr>
                <w:rStyle w:val="Strong"/>
                <w:rFonts w:ascii="Cambria Math" w:hAnsi="Cambria Math"/>
              </w:rPr>
              <m:t>ln</m:t>
            </m:r>
          </m:fName>
          <m:e>
            <m:sSub>
              <m:sSubPr>
                <m:ctrlPr>
                  <w:rPr>
                    <w:rStyle w:val="Strong"/>
                    <w:rFonts w:ascii="Cambria Math" w:hAnsi="Cambria Math"/>
                    <w:b w:val="0"/>
                    <w:bCs w:val="0"/>
                    <w:i/>
                  </w:rPr>
                </m:ctrlPr>
              </m:sSubPr>
              <m:e>
                <m:r>
                  <w:rPr>
                    <w:rStyle w:val="Strong"/>
                    <w:rFonts w:ascii="Cambria Math" w:hAnsi="Cambria Math"/>
                  </w:rPr>
                  <m:t>y</m:t>
                </m:r>
              </m:e>
              <m:sub>
                <m:r>
                  <w:rPr>
                    <w:rStyle w:val="Strong"/>
                    <w:rFonts w:ascii="Cambria Math" w:hAnsi="Cambria Math"/>
                  </w:rPr>
                  <m:t>ch</m:t>
                </m:r>
              </m:sub>
            </m:sSub>
          </m:e>
        </m:func>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X'</m:t>
            </m:r>
          </m:e>
          <m:sub>
            <m:r>
              <w:rPr>
                <w:rStyle w:val="Strong"/>
                <w:rFonts w:ascii="Cambria Math" w:hAnsi="Cambria Math"/>
              </w:rPr>
              <m:t>ch</m:t>
            </m:r>
          </m:sub>
        </m:sSub>
        <m:r>
          <w:rPr>
            <w:rStyle w:val="Strong"/>
            <w:rFonts w:ascii="Cambria Math" w:hAnsi="Cambria Math"/>
          </w:rPr>
          <m:t xml:space="preserve"> β=</m:t>
        </m:r>
        <m:sSub>
          <m:sSubPr>
            <m:ctrlPr>
              <w:rPr>
                <w:rStyle w:val="Strong"/>
                <w:rFonts w:ascii="Cambria Math" w:hAnsi="Cambria Math"/>
                <w:b w:val="0"/>
                <w:bCs w:val="0"/>
                <w:i/>
              </w:rPr>
            </m:ctrlPr>
          </m:sSubPr>
          <m:e>
            <m:r>
              <w:rPr>
                <w:rStyle w:val="Strong"/>
                <w:rFonts w:ascii="Cambria Math" w:hAnsi="Cambria Math"/>
              </w:rPr>
              <m:t>u</m:t>
            </m:r>
          </m:e>
          <m:sub>
            <m:r>
              <w:rPr>
                <w:rStyle w:val="Strong"/>
                <w:rFonts w:ascii="Cambria Math" w:hAnsi="Cambria Math"/>
              </w:rPr>
              <m:t>ch</m:t>
            </m:r>
          </m:sub>
        </m:sSub>
        <m:r>
          <w:rPr>
            <w:rStyle w:val="Strong"/>
            <w:rFonts w:ascii="Cambria Math" w:hAnsi="Cambria Math"/>
          </w:rPr>
          <m:t>)</m:t>
        </m:r>
      </m:oMath>
      <w:r w:rsidR="00536827" w:rsidRPr="00EC121C">
        <w:rPr>
          <w:rStyle w:val="Strong"/>
          <w:rFonts w:ascii="Garamond" w:eastAsiaTheme="minorEastAsia" w:hAnsi="Garamond"/>
          <w:b w:val="0"/>
          <w:bCs w:val="0"/>
        </w:rPr>
        <w:t>. Therefore making use of this information the estimates for the municipalities</w:t>
      </w:r>
      <w:r w:rsidR="00212FDF">
        <w:rPr>
          <w:rStyle w:val="Strong"/>
          <w:rFonts w:ascii="Garamond" w:eastAsiaTheme="minorEastAsia" w:hAnsi="Garamond"/>
          <w:b w:val="0"/>
          <w:bCs w:val="0"/>
        </w:rPr>
        <w:t>, cities, and districts of Zagreb</w:t>
      </w:r>
      <w:r w:rsidR="00536827" w:rsidRPr="00EC121C">
        <w:rPr>
          <w:rStyle w:val="Strong"/>
          <w:rFonts w:ascii="Garamond" w:eastAsiaTheme="minorEastAsia" w:hAnsi="Garamond"/>
          <w:b w:val="0"/>
          <w:bCs w:val="0"/>
        </w:rPr>
        <w:t xml:space="preserve"> that are present in the </w:t>
      </w:r>
      <w:r w:rsidR="009F1C94" w:rsidRPr="00EC121C">
        <w:rPr>
          <w:rStyle w:val="Strong"/>
          <w:rFonts w:ascii="Garamond" w:eastAsiaTheme="minorEastAsia" w:hAnsi="Garamond"/>
          <w:b w:val="0"/>
          <w:bCs w:val="0"/>
        </w:rPr>
        <w:t>EU-SILC</w:t>
      </w:r>
      <w:r w:rsidR="00536827" w:rsidRPr="00EC121C">
        <w:rPr>
          <w:rStyle w:val="Strong"/>
          <w:rFonts w:ascii="Garamond" w:eastAsiaTheme="minorEastAsia" w:hAnsi="Garamond"/>
          <w:b w:val="0"/>
          <w:bCs w:val="0"/>
        </w:rPr>
        <w:t xml:space="preserve"> are tighter since more information is included into their drawing. For all </w:t>
      </w:r>
      <w:r w:rsidR="00212FDF">
        <w:rPr>
          <w:rStyle w:val="Strong"/>
          <w:rFonts w:ascii="Garamond" w:eastAsiaTheme="minorEastAsia" w:hAnsi="Garamond"/>
          <w:b w:val="0"/>
          <w:bCs w:val="0"/>
        </w:rPr>
        <w:t>locations that are not present in the EU-SILC</w:t>
      </w:r>
      <w:r w:rsidR="00536827" w:rsidRPr="00EC121C">
        <w:rPr>
          <w:rStyle w:val="Strong"/>
          <w:rFonts w:ascii="Garamond" w:eastAsiaTheme="minorEastAsia" w:hAnsi="Garamond"/>
          <w:b w:val="0"/>
          <w:bCs w:val="0"/>
        </w:rPr>
        <w:t xml:space="preserve">, the use </w:t>
      </w:r>
      <w:r w:rsidR="00EC121C" w:rsidRPr="00EC121C">
        <w:rPr>
          <w:rStyle w:val="Strong"/>
          <w:rFonts w:ascii="Garamond" w:eastAsiaTheme="minorEastAsia" w:hAnsi="Garamond"/>
          <w:b w:val="0"/>
          <w:bCs w:val="0"/>
        </w:rPr>
        <w:t>of EB</w:t>
      </w:r>
      <w:r w:rsidR="00536827" w:rsidRPr="00EC121C">
        <w:rPr>
          <w:rStyle w:val="Strong"/>
          <w:rFonts w:ascii="Garamond" w:eastAsiaTheme="minorEastAsia" w:hAnsi="Garamond"/>
          <w:b w:val="0"/>
          <w:bCs w:val="0"/>
        </w:rPr>
        <w:t xml:space="preserve"> makes no difference, since for these </w:t>
      </w:r>
      <w:r w:rsidR="00212FDF">
        <w:rPr>
          <w:rStyle w:val="Strong"/>
          <w:rFonts w:ascii="Garamond" w:eastAsiaTheme="minorEastAsia" w:hAnsi="Garamond"/>
          <w:b w:val="0"/>
          <w:bCs w:val="0"/>
        </w:rPr>
        <w:t>loca</w:t>
      </w:r>
      <w:r w:rsidR="00536827" w:rsidRPr="00EC121C">
        <w:rPr>
          <w:rStyle w:val="Strong"/>
          <w:rFonts w:ascii="Garamond" w:eastAsiaTheme="minorEastAsia" w:hAnsi="Garamond"/>
          <w:b w:val="0"/>
          <w:bCs w:val="0"/>
        </w:rPr>
        <w:t xml:space="preserve">lities there is no additional information and thus their data generation process is still normal with mean zero and </w:t>
      </w:r>
      <w:r w:rsidR="00EC121C" w:rsidRPr="00EC121C">
        <w:rPr>
          <w:rStyle w:val="Strong"/>
          <w:rFonts w:ascii="Garamond" w:eastAsiaTheme="minorEastAsia" w:hAnsi="Garamond"/>
          <w:b w:val="0"/>
          <w:bCs w:val="0"/>
        </w:rPr>
        <w:t>variance</w:t>
      </w:r>
      <w:r w:rsidR="00EC121C">
        <w:rPr>
          <w:rStyle w:val="Strong"/>
          <w:rFonts w:ascii="Garamond" w:eastAsiaTheme="minorEastAsia" w:hAnsi="Garamond"/>
          <w:b w:val="0"/>
          <w:bCs w:val="0"/>
        </w:rPr>
        <w:t xml:space="preserve"> </w:t>
      </w:r>
      <m:oMath>
        <m:sSup>
          <m:sSupPr>
            <m:ctrlPr>
              <w:rPr>
                <w:rFonts w:ascii="Cambria Math" w:hAnsi="Cambria Math"/>
                <w:i/>
              </w:rPr>
            </m:ctrlPr>
          </m:sSupPr>
          <m:e>
            <m:d>
              <m:dPr>
                <m:ctrlPr>
                  <w:rPr>
                    <w:rFonts w:ascii="Cambria Math" w:eastAsiaTheme="minorEastAsia" w:hAnsi="Cambria Math"/>
                    <w:i/>
                  </w:rPr>
                </m:ctrlPr>
              </m:dPr>
              <m:e>
                <m:sSubSup>
                  <m:sSubSupPr>
                    <m:ctrlPr>
                      <w:rPr>
                        <w:rFonts w:ascii="Cambria Math" w:hAnsi="Cambria Math"/>
                      </w:rPr>
                    </m:ctrlPr>
                  </m:sSubSupPr>
                  <m:e>
                    <m:r>
                      <w:rPr>
                        <w:rFonts w:ascii="Cambria Math" w:hAnsi="Cambria Math"/>
                      </w:rPr>
                      <m:t>σ</m:t>
                    </m:r>
                    <m:ctrlPr>
                      <w:rPr>
                        <w:rFonts w:ascii="Cambria Math" w:hAnsi="Cambria Math"/>
                        <w:i/>
                      </w:rPr>
                    </m:ctrlPr>
                  </m:e>
                  <m:sub>
                    <m:r>
                      <w:rPr>
                        <w:rFonts w:ascii="Cambria Math" w:hAnsi="Cambria Math"/>
                      </w:rPr>
                      <m:t>η</m:t>
                    </m:r>
                  </m:sub>
                  <m:sup>
                    <m:r>
                      <w:rPr>
                        <w:rFonts w:ascii="Cambria Math" w:hAnsi="Cambria Math"/>
                      </w:rPr>
                      <m:t>2</m:t>
                    </m:r>
                  </m:sup>
                </m:sSubSup>
                <m:ctrlPr>
                  <w:rPr>
                    <w:rFonts w:ascii="Cambria Math" w:hAnsi="Cambria Math"/>
                    <w:i/>
                  </w:rPr>
                </m:ctrlPr>
              </m:e>
            </m:d>
          </m:e>
          <m:sup>
            <m:r>
              <w:rPr>
                <w:rFonts w:ascii="Cambria Math" w:hAnsi="Cambria Math"/>
              </w:rPr>
              <m:t>r</m:t>
            </m:r>
          </m:sup>
        </m:sSup>
      </m:oMath>
      <w:r w:rsidR="00536827" w:rsidRPr="00EC121C">
        <w:rPr>
          <w:rFonts w:ascii="Garamond" w:eastAsiaTheme="minorEastAsia" w:hAnsi="Garamond"/>
        </w:rPr>
        <w:t>.</w:t>
      </w:r>
    </w:p>
    <w:p w:rsidR="008A29D2" w:rsidRPr="00EC121C" w:rsidRDefault="00D323F2"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Within the es</w:t>
      </w:r>
      <w:r w:rsidR="00462F7D" w:rsidRPr="00EC121C">
        <w:rPr>
          <w:rStyle w:val="Strong"/>
          <w:rFonts w:ascii="Garamond" w:eastAsiaTheme="minorEastAsia" w:hAnsi="Garamond"/>
          <w:b w:val="0"/>
          <w:bCs w:val="0"/>
        </w:rPr>
        <w:t xml:space="preserve">timated measures there are three main sources of error: model error, error due to the disturbance, </w:t>
      </w:r>
      <w:r w:rsidR="008A29D2" w:rsidRPr="00EC121C">
        <w:rPr>
          <w:rStyle w:val="Strong"/>
          <w:rFonts w:ascii="Garamond" w:eastAsiaTheme="minorEastAsia" w:hAnsi="Garamond"/>
          <w:b w:val="0"/>
          <w:bCs w:val="0"/>
        </w:rPr>
        <w:t xml:space="preserve">and due to computation error. These three sources of error, as noted by ELL (2003) are not correlated. </w:t>
      </w:r>
    </w:p>
    <w:p w:rsidR="00D323F2" w:rsidRPr="00EC121C" w:rsidRDefault="008A29D2"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 xml:space="preserve">The error in the welfare measure within a municipality due to the disturbance arises as a result of unobserved components of income within a particular </w:t>
      </w:r>
      <w:r w:rsidR="00212FDF">
        <w:rPr>
          <w:rStyle w:val="Strong"/>
          <w:rFonts w:ascii="Garamond" w:eastAsiaTheme="minorEastAsia" w:hAnsi="Garamond"/>
          <w:b w:val="0"/>
          <w:bCs w:val="0"/>
        </w:rPr>
        <w:t>locality</w:t>
      </w:r>
      <w:r w:rsidRPr="00EC121C">
        <w:rPr>
          <w:rStyle w:val="Strong"/>
          <w:rFonts w:ascii="Garamond" w:eastAsiaTheme="minorEastAsia" w:hAnsi="Garamond"/>
          <w:b w:val="0"/>
          <w:bCs w:val="0"/>
        </w:rPr>
        <w:t>. The smaller the population of the targeted municipality the larger this error will be, and thus limits the degree of disaggregation possible. The exact point at which this becomes unacceptable depends on how well the model fits the data</w:t>
      </w:r>
      <w:r w:rsidR="00436155" w:rsidRPr="00EC121C">
        <w:rPr>
          <w:rStyle w:val="Strong"/>
          <w:rFonts w:ascii="Garamond" w:eastAsiaTheme="minorEastAsia" w:hAnsi="Garamond"/>
          <w:b w:val="0"/>
          <w:bCs w:val="0"/>
        </w:rPr>
        <w:t>.</w:t>
      </w:r>
    </w:p>
    <w:p w:rsidR="008A29D2" w:rsidRPr="00EC121C" w:rsidRDefault="008A29D2"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The model error</w:t>
      </w:r>
      <w:r w:rsidR="00436155" w:rsidRPr="00EC121C">
        <w:rPr>
          <w:rStyle w:val="Strong"/>
          <w:rFonts w:ascii="Garamond" w:eastAsiaTheme="minorEastAsia" w:hAnsi="Garamond"/>
          <w:b w:val="0"/>
          <w:bCs w:val="0"/>
        </w:rPr>
        <w:t xml:space="preserve"> depends entirely on the properties of the first stage estimators it is independent from the population size of the municipality.  Within a given municipality the magnitude of this error component will also depend on how different the </w:t>
      </w:r>
      <m:oMath>
        <m:r>
          <w:rPr>
            <w:rStyle w:val="Strong"/>
            <w:rFonts w:ascii="Cambria Math" w:eastAsiaTheme="minorEastAsia" w:hAnsi="Cambria Math"/>
          </w:rPr>
          <m:t>X</m:t>
        </m:r>
      </m:oMath>
      <w:r w:rsidR="00436155" w:rsidRPr="00EC121C">
        <w:rPr>
          <w:rStyle w:val="Strong"/>
          <w:rFonts w:ascii="Garamond" w:eastAsiaTheme="minorEastAsia" w:hAnsi="Garamond"/>
          <w:b w:val="0"/>
          <w:bCs w:val="0"/>
        </w:rPr>
        <w:t xml:space="preserve"> variables are in that municipality from those of the EU-SILC data. </w:t>
      </w:r>
    </w:p>
    <w:p w:rsidR="00436155" w:rsidRPr="00EC121C" w:rsidRDefault="008C3506" w:rsidP="00C36306">
      <w:pPr>
        <w:spacing w:line="360" w:lineRule="auto"/>
        <w:jc w:val="both"/>
        <w:rPr>
          <w:rStyle w:val="Strong"/>
          <w:rFonts w:ascii="Garamond" w:eastAsiaTheme="minorEastAsia" w:hAnsi="Garamond"/>
          <w:b w:val="0"/>
          <w:bCs w:val="0"/>
        </w:rPr>
      </w:pPr>
      <w:r w:rsidRPr="00EC121C">
        <w:rPr>
          <w:rStyle w:val="Strong"/>
          <w:rFonts w:ascii="Garamond" w:eastAsiaTheme="minorEastAsia" w:hAnsi="Garamond"/>
          <w:b w:val="0"/>
          <w:bCs w:val="0"/>
        </w:rPr>
        <w:t>Finally, computation error is due to the method used for computation. This error can be made as small as possible depending on computational resources at hand. Because often simulations are a finite number, the larger the number of simulations, the smaller the error due to computation will be.</w:t>
      </w:r>
    </w:p>
    <w:p w:rsidR="003461AD" w:rsidRDefault="003461AD" w:rsidP="00A81189">
      <w:pPr>
        <w:pStyle w:val="Heading1"/>
        <w:rPr>
          <w:rStyle w:val="Strong"/>
          <w:rFonts w:ascii="Garamond" w:hAnsi="Garamond"/>
        </w:rPr>
      </w:pPr>
      <w:r w:rsidRPr="00EC121C">
        <w:rPr>
          <w:rStyle w:val="Strong"/>
          <w:rFonts w:ascii="Garamond" w:hAnsi="Garamond"/>
        </w:rPr>
        <w:t>Data description</w:t>
      </w:r>
    </w:p>
    <w:p w:rsidR="00212FDF" w:rsidRPr="00212FDF" w:rsidRDefault="00212FDF" w:rsidP="00212FDF"/>
    <w:p w:rsidR="003461AD" w:rsidRDefault="003461AD" w:rsidP="00C36306">
      <w:pPr>
        <w:spacing w:line="360" w:lineRule="auto"/>
        <w:jc w:val="both"/>
        <w:rPr>
          <w:rStyle w:val="Strong"/>
          <w:rFonts w:ascii="Garamond" w:hAnsi="Garamond"/>
          <w:b w:val="0"/>
        </w:rPr>
      </w:pPr>
      <w:r w:rsidRPr="00EC121C">
        <w:rPr>
          <w:rStyle w:val="Strong"/>
          <w:rFonts w:ascii="Garamond" w:hAnsi="Garamond"/>
          <w:b w:val="0"/>
        </w:rPr>
        <w:t xml:space="preserve">The poverty mapping analysis requires two sources of data. In this instance the Croatian EU-SILC for 2012, and the Census of Population, Households and Dwellings of 2011 for the Republic of Croatia. The EU-SILC </w:t>
      </w:r>
      <w:r w:rsidRPr="00EC121C">
        <w:rPr>
          <w:rStyle w:val="Strong"/>
          <w:rFonts w:ascii="Garamond" w:hAnsi="Garamond"/>
          <w:b w:val="0"/>
        </w:rPr>
        <w:lastRenderedPageBreak/>
        <w:t xml:space="preserve">for 2012 is an ideal household survey for the SAE analysis because incomes reported in the 2012 EU-SILC correspond to 2011 calendar year, and thus are </w:t>
      </w:r>
      <w:r w:rsidR="00714E15" w:rsidRPr="00EC121C">
        <w:rPr>
          <w:rStyle w:val="Strong"/>
          <w:rFonts w:ascii="Garamond" w:hAnsi="Garamond"/>
          <w:b w:val="0"/>
        </w:rPr>
        <w:t>for the same time period as the census.</w:t>
      </w:r>
    </w:p>
    <w:p w:rsidR="00286891" w:rsidRDefault="00286891" w:rsidP="00286891">
      <w:pPr>
        <w:keepNext/>
        <w:keepLines/>
        <w:spacing w:line="360" w:lineRule="auto"/>
        <w:jc w:val="both"/>
        <w:rPr>
          <w:rFonts w:ascii="Garamond" w:hAnsi="Garamond"/>
        </w:rPr>
      </w:pPr>
      <w:r>
        <w:rPr>
          <w:rFonts w:ascii="Garamond" w:hAnsi="Garamond"/>
        </w:rPr>
        <w:t xml:space="preserve">Small area estimation is done under the assumption that the same underlying population is being captured by the survey and the census. This last assumption will be valid if both datasets are from the same time frame. Nevertheless, the inclusion or the use of datasets that are from differing time periods, or if the survey is not representative of the population, will break down this assumption. This last remark is more salient in instances where there have been considerable shocks in between the collection of the survey and the collection of the census (Bedi et al. 2007). </w:t>
      </w:r>
    </w:p>
    <w:p w:rsidR="00714E15" w:rsidRDefault="00714E15" w:rsidP="00A81189">
      <w:pPr>
        <w:pStyle w:val="Heading2"/>
        <w:rPr>
          <w:rStyle w:val="Strong"/>
          <w:rFonts w:ascii="Garamond" w:hAnsi="Garamond"/>
        </w:rPr>
      </w:pPr>
      <w:r w:rsidRPr="00EC121C">
        <w:rPr>
          <w:rStyle w:val="Strong"/>
          <w:rFonts w:ascii="Garamond" w:hAnsi="Garamond"/>
        </w:rPr>
        <w:t>EU-SILC 2012, Croatia</w:t>
      </w:r>
    </w:p>
    <w:p w:rsidR="00286891" w:rsidRPr="00286891" w:rsidRDefault="00286891" w:rsidP="00286891"/>
    <w:p w:rsidR="00714E15" w:rsidRDefault="009D4BD9" w:rsidP="00C36306">
      <w:pPr>
        <w:spacing w:line="360" w:lineRule="auto"/>
        <w:jc w:val="both"/>
        <w:rPr>
          <w:rStyle w:val="Strong"/>
          <w:rFonts w:ascii="Garamond" w:hAnsi="Garamond"/>
          <w:b w:val="0"/>
        </w:rPr>
      </w:pPr>
      <w:r w:rsidRPr="00EC121C">
        <w:rPr>
          <w:rStyle w:val="Strong"/>
          <w:rFonts w:ascii="Garamond" w:hAnsi="Garamond"/>
          <w:b w:val="0"/>
        </w:rPr>
        <w:t>Th</w:t>
      </w:r>
      <w:r w:rsidR="00DD44CF" w:rsidRPr="00EC121C">
        <w:rPr>
          <w:rStyle w:val="Strong"/>
          <w:rFonts w:ascii="Garamond" w:hAnsi="Garamond"/>
          <w:b w:val="0"/>
        </w:rPr>
        <w:t xml:space="preserve">e EU-SILC data is the EU reference source for comparative statistics on income and social exclusion. The 2012 EU-SILC for Croatia was made up of </w:t>
      </w:r>
      <w:r w:rsidR="00DD44CF" w:rsidRPr="00EC121C">
        <w:rPr>
          <w:rStyle w:val="Strong"/>
          <w:rFonts w:ascii="Garamond" w:hAnsi="Garamond"/>
        </w:rPr>
        <w:t>5</w:t>
      </w:r>
      <w:r w:rsidR="00A81189">
        <w:rPr>
          <w:rStyle w:val="Strong"/>
          <w:rFonts w:ascii="Garamond" w:hAnsi="Garamond"/>
        </w:rPr>
        <w:t>,</w:t>
      </w:r>
      <w:r w:rsidR="00DD44CF" w:rsidRPr="00EC121C">
        <w:rPr>
          <w:rStyle w:val="Strong"/>
          <w:rFonts w:ascii="Garamond" w:hAnsi="Garamond"/>
        </w:rPr>
        <w:t>8</w:t>
      </w:r>
      <w:r w:rsidR="00286891">
        <w:rPr>
          <w:rStyle w:val="Strong"/>
          <w:rFonts w:ascii="Garamond" w:hAnsi="Garamond"/>
        </w:rPr>
        <w:t>53</w:t>
      </w:r>
      <w:r w:rsidR="00DD44CF" w:rsidRPr="00EC121C">
        <w:rPr>
          <w:rStyle w:val="Strong"/>
          <w:rFonts w:ascii="Garamond" w:hAnsi="Garamond"/>
          <w:b w:val="0"/>
        </w:rPr>
        <w:t xml:space="preserve"> households and is representative at the NUTS-2 level. The at risk of poverty threshold</w:t>
      </w:r>
      <w:r w:rsidR="00DD44CF" w:rsidRPr="00EC121C">
        <w:rPr>
          <w:rStyle w:val="FootnoteReference"/>
          <w:rFonts w:ascii="Garamond" w:hAnsi="Garamond"/>
          <w:bCs/>
        </w:rPr>
        <w:footnoteReference w:id="12"/>
      </w:r>
      <w:r w:rsidR="00DD44CF" w:rsidRPr="00EC121C">
        <w:rPr>
          <w:rStyle w:val="Strong"/>
          <w:rFonts w:ascii="Garamond" w:hAnsi="Garamond"/>
          <w:b w:val="0"/>
        </w:rPr>
        <w:t xml:space="preserve"> in Croatia for 2012</w:t>
      </w:r>
      <w:r w:rsidR="00525263">
        <w:rPr>
          <w:rStyle w:val="Strong"/>
          <w:rFonts w:ascii="Garamond" w:hAnsi="Garamond"/>
          <w:b w:val="0"/>
        </w:rPr>
        <w:t xml:space="preserve"> (income year 2011)</w:t>
      </w:r>
      <w:r w:rsidR="00DD44CF" w:rsidRPr="00EC121C">
        <w:rPr>
          <w:rStyle w:val="Strong"/>
          <w:rFonts w:ascii="Garamond" w:hAnsi="Garamond"/>
          <w:b w:val="0"/>
        </w:rPr>
        <w:t xml:space="preserve"> </w:t>
      </w:r>
      <w:r w:rsidR="00C16266" w:rsidRPr="00EC121C">
        <w:rPr>
          <w:rStyle w:val="Strong"/>
          <w:rFonts w:ascii="Garamond" w:hAnsi="Garamond"/>
          <w:b w:val="0"/>
        </w:rPr>
        <w:t>is 24,000</w:t>
      </w:r>
      <w:r w:rsidR="00525263">
        <w:rPr>
          <w:rStyle w:val="Strong"/>
          <w:rFonts w:ascii="Garamond" w:hAnsi="Garamond"/>
          <w:b w:val="0"/>
        </w:rPr>
        <w:t xml:space="preserve"> </w:t>
      </w:r>
      <w:r w:rsidR="00C16266" w:rsidRPr="00EC121C">
        <w:rPr>
          <w:rStyle w:val="Strong"/>
          <w:rFonts w:ascii="Garamond" w:hAnsi="Garamond"/>
          <w:b w:val="0"/>
        </w:rPr>
        <w:t>HRK</w:t>
      </w:r>
      <w:r w:rsidR="00DD44CF" w:rsidRPr="00EC121C">
        <w:rPr>
          <w:rStyle w:val="Strong"/>
          <w:rFonts w:ascii="Garamond" w:hAnsi="Garamond"/>
          <w:b w:val="0"/>
        </w:rPr>
        <w:t xml:space="preserve">. Using this poverty threshold, the at-risk-of-poverty head count rate is 20.4 percent. </w:t>
      </w:r>
    </w:p>
    <w:p w:rsidR="00525263" w:rsidRDefault="00525263" w:rsidP="00C36306">
      <w:pPr>
        <w:spacing w:line="360" w:lineRule="auto"/>
        <w:jc w:val="both"/>
        <w:rPr>
          <w:rStyle w:val="Strong"/>
          <w:rFonts w:ascii="Garamond" w:hAnsi="Garamond"/>
          <w:b w:val="0"/>
        </w:rPr>
      </w:pPr>
      <w:r>
        <w:rPr>
          <w:rStyle w:val="Strong"/>
          <w:rFonts w:ascii="Garamond" w:hAnsi="Garamond"/>
          <w:b w:val="0"/>
        </w:rPr>
        <w:t xml:space="preserve">The 2012 EU-SILC uses the 2001 Census as a sampling frame. The survey is performed as a stratified two-stage sample. </w:t>
      </w:r>
    </w:p>
    <w:p w:rsidR="00CA4933" w:rsidRPr="00EC121C" w:rsidRDefault="004561C9" w:rsidP="00C36306">
      <w:pPr>
        <w:spacing w:line="360" w:lineRule="auto"/>
        <w:jc w:val="both"/>
        <w:rPr>
          <w:rStyle w:val="Strong"/>
          <w:rFonts w:ascii="Garamond" w:hAnsi="Garamond"/>
          <w:b w:val="0"/>
        </w:rPr>
      </w:pPr>
      <w:r w:rsidRPr="00EC121C">
        <w:rPr>
          <w:rStyle w:val="Strong"/>
          <w:rFonts w:ascii="Garamond" w:hAnsi="Garamond"/>
          <w:b w:val="0"/>
        </w:rPr>
        <w:t>The</w:t>
      </w:r>
      <w:r w:rsidR="0003231A">
        <w:rPr>
          <w:rStyle w:val="Strong"/>
          <w:rFonts w:ascii="Garamond" w:hAnsi="Garamond"/>
          <w:b w:val="0"/>
        </w:rPr>
        <w:t xml:space="preserve"> at-risk-of-poverty</w:t>
      </w:r>
      <w:r w:rsidRPr="00EC121C">
        <w:rPr>
          <w:rStyle w:val="Strong"/>
          <w:rFonts w:ascii="Garamond" w:hAnsi="Garamond"/>
          <w:b w:val="0"/>
        </w:rPr>
        <w:t xml:space="preserve"> threshold is obtained by including all households, among these </w:t>
      </w:r>
      <w:r w:rsidR="00A81189">
        <w:rPr>
          <w:rStyle w:val="Strong"/>
          <w:rFonts w:ascii="Garamond" w:hAnsi="Garamond"/>
        </w:rPr>
        <w:t>2</w:t>
      </w:r>
      <w:r w:rsidRPr="00EC121C">
        <w:rPr>
          <w:rStyle w:val="Strong"/>
          <w:rFonts w:ascii="Garamond" w:hAnsi="Garamond"/>
          <w:b w:val="0"/>
        </w:rPr>
        <w:t xml:space="preserve"> have reported negative net disposable incomes. For purposes of the analysis don</w:t>
      </w:r>
      <w:r w:rsidR="008962A9" w:rsidRPr="00EC121C">
        <w:rPr>
          <w:rStyle w:val="Strong"/>
          <w:rFonts w:ascii="Garamond" w:hAnsi="Garamond"/>
          <w:b w:val="0"/>
        </w:rPr>
        <w:t xml:space="preserve">e these households are no longer included. </w:t>
      </w:r>
      <w:r w:rsidR="00CA4933" w:rsidRPr="00EC121C">
        <w:rPr>
          <w:rStyle w:val="Strong"/>
          <w:rFonts w:ascii="Garamond" w:hAnsi="Garamond"/>
          <w:b w:val="0"/>
        </w:rPr>
        <w:t xml:space="preserve">The households included in the EU-SILC dataset come from </w:t>
      </w:r>
      <w:r w:rsidR="00E902F2" w:rsidRPr="00E902F2">
        <w:rPr>
          <w:rStyle w:val="Strong"/>
          <w:rFonts w:ascii="Garamond" w:hAnsi="Garamond"/>
          <w:b w:val="0"/>
        </w:rPr>
        <w:t>370</w:t>
      </w:r>
      <w:r w:rsidR="00E902F2">
        <w:rPr>
          <w:rStyle w:val="Strong"/>
          <w:rFonts w:ascii="Garamond" w:hAnsi="Garamond"/>
        </w:rPr>
        <w:t xml:space="preserve"> </w:t>
      </w:r>
      <w:r w:rsidR="00CA4933" w:rsidRPr="00EC121C">
        <w:rPr>
          <w:rStyle w:val="Strong"/>
          <w:rFonts w:ascii="Garamond" w:hAnsi="Garamond"/>
          <w:b w:val="0"/>
        </w:rPr>
        <w:t xml:space="preserve">municipalities. </w:t>
      </w:r>
      <w:r w:rsidR="00951059" w:rsidRPr="00EC121C">
        <w:rPr>
          <w:rStyle w:val="Strong"/>
          <w:rFonts w:ascii="Garamond" w:hAnsi="Garamond"/>
          <w:b w:val="0"/>
        </w:rPr>
        <w:t>Finally, all municipalities with less than 3 households in the EU-SILC must be removed for the analysis.</w:t>
      </w:r>
      <w:r w:rsidR="00951059" w:rsidRPr="00EC121C">
        <w:rPr>
          <w:rStyle w:val="FootnoteReference"/>
          <w:rFonts w:ascii="Garamond" w:hAnsi="Garamond"/>
          <w:bCs/>
        </w:rPr>
        <w:footnoteReference w:id="13"/>
      </w:r>
      <w:r w:rsidR="00951059" w:rsidRPr="00EC121C">
        <w:rPr>
          <w:rStyle w:val="Strong"/>
          <w:rFonts w:ascii="Garamond" w:hAnsi="Garamond"/>
          <w:b w:val="0"/>
        </w:rPr>
        <w:t xml:space="preserve"> </w:t>
      </w:r>
      <w:r w:rsidR="00A81189">
        <w:rPr>
          <w:rStyle w:val="Strong"/>
          <w:rFonts w:ascii="Garamond" w:hAnsi="Garamond"/>
          <w:b w:val="0"/>
        </w:rPr>
        <w:t xml:space="preserve">The final sample for the EU-SILC is made up of 5,618 households. </w:t>
      </w:r>
    </w:p>
    <w:p w:rsidR="00951059" w:rsidRDefault="00951059" w:rsidP="00A81189">
      <w:pPr>
        <w:pStyle w:val="Heading2"/>
        <w:rPr>
          <w:rStyle w:val="Strong"/>
          <w:rFonts w:ascii="Garamond" w:hAnsi="Garamond"/>
        </w:rPr>
      </w:pPr>
      <w:r w:rsidRPr="00EC121C">
        <w:rPr>
          <w:rStyle w:val="Strong"/>
          <w:rFonts w:ascii="Garamond" w:hAnsi="Garamond"/>
        </w:rPr>
        <w:t>Census of Population, Households and Dwellings 2011, Population by Sex and Age</w:t>
      </w:r>
    </w:p>
    <w:p w:rsidR="0003231A" w:rsidRPr="0003231A" w:rsidRDefault="0003231A" w:rsidP="0003231A"/>
    <w:p w:rsidR="00951059" w:rsidRPr="00EC121C" w:rsidRDefault="00951059" w:rsidP="00C36306">
      <w:pPr>
        <w:spacing w:line="360" w:lineRule="auto"/>
        <w:jc w:val="both"/>
        <w:rPr>
          <w:rStyle w:val="Strong"/>
          <w:rFonts w:ascii="Garamond" w:hAnsi="Garamond"/>
          <w:b w:val="0"/>
        </w:rPr>
      </w:pPr>
      <w:r w:rsidRPr="00EC121C">
        <w:rPr>
          <w:rStyle w:val="Strong"/>
          <w:rFonts w:ascii="Garamond" w:hAnsi="Garamond"/>
          <w:b w:val="0"/>
        </w:rPr>
        <w:t xml:space="preserve">The 2011 Census for </w:t>
      </w:r>
      <w:r w:rsidR="00CB0336" w:rsidRPr="00EC121C">
        <w:rPr>
          <w:rStyle w:val="Strong"/>
          <w:rFonts w:ascii="Garamond" w:hAnsi="Garamond"/>
          <w:b w:val="0"/>
        </w:rPr>
        <w:t>Croatia</w:t>
      </w:r>
      <w:r w:rsidRPr="00EC121C">
        <w:rPr>
          <w:rStyle w:val="Strong"/>
          <w:rFonts w:ascii="Garamond" w:hAnsi="Garamond"/>
          <w:b w:val="0"/>
        </w:rPr>
        <w:t xml:space="preserve"> was provided by the Croatian Bureau of Statistics.</w:t>
      </w:r>
      <w:r w:rsidRPr="00EC121C">
        <w:rPr>
          <w:rStyle w:val="FootnoteReference"/>
          <w:rFonts w:ascii="Garamond" w:hAnsi="Garamond"/>
          <w:bCs/>
        </w:rPr>
        <w:footnoteReference w:id="14"/>
      </w:r>
      <w:r w:rsidRPr="00EC121C">
        <w:rPr>
          <w:rStyle w:val="Strong"/>
          <w:rFonts w:ascii="Garamond" w:hAnsi="Garamond"/>
          <w:b w:val="0"/>
        </w:rPr>
        <w:t xml:space="preserve"> The census includes key information on demographics of the household, education, labor force status, economic activity, occupation type, and labor status in main job. Along with these characteristics, the census also has information on the type of dwelling,</w:t>
      </w:r>
      <w:r w:rsidR="00EC121C" w:rsidRPr="00EC121C">
        <w:rPr>
          <w:rStyle w:val="Strong"/>
          <w:rFonts w:ascii="Garamond" w:hAnsi="Garamond"/>
          <w:b w:val="0"/>
        </w:rPr>
        <w:t xml:space="preserve"> the status of the dwelling, number of rooms in the dwelling, living area of the dwelling, and the construction year. </w:t>
      </w:r>
    </w:p>
    <w:p w:rsidR="00EC121C" w:rsidRDefault="00EC121C" w:rsidP="00A81189">
      <w:pPr>
        <w:pStyle w:val="Heading2"/>
        <w:rPr>
          <w:rStyle w:val="Strong"/>
          <w:rFonts w:ascii="Garamond" w:hAnsi="Garamond"/>
        </w:rPr>
      </w:pPr>
      <w:r>
        <w:rPr>
          <w:rStyle w:val="Strong"/>
          <w:rFonts w:ascii="Garamond" w:hAnsi="Garamond"/>
        </w:rPr>
        <w:lastRenderedPageBreak/>
        <w:t>Variable comparison between EU-SILC and Census</w:t>
      </w:r>
    </w:p>
    <w:p w:rsidR="0003231A" w:rsidRDefault="0003231A" w:rsidP="00C36306">
      <w:pPr>
        <w:spacing w:line="360" w:lineRule="auto"/>
        <w:jc w:val="both"/>
        <w:rPr>
          <w:rStyle w:val="Strong"/>
          <w:rFonts w:ascii="Garamond" w:hAnsi="Garamond"/>
          <w:b w:val="0"/>
        </w:rPr>
      </w:pPr>
    </w:p>
    <w:p w:rsidR="00EC121C" w:rsidRDefault="00D90846" w:rsidP="00C36306">
      <w:pPr>
        <w:spacing w:line="360" w:lineRule="auto"/>
        <w:jc w:val="both"/>
        <w:rPr>
          <w:rStyle w:val="Strong"/>
          <w:rFonts w:ascii="Garamond" w:hAnsi="Garamond"/>
          <w:b w:val="0"/>
        </w:rPr>
      </w:pPr>
      <w:r>
        <w:rPr>
          <w:rStyle w:val="Strong"/>
          <w:rFonts w:ascii="Garamond" w:hAnsi="Garamond"/>
          <w:b w:val="0"/>
        </w:rPr>
        <w:t xml:space="preserve">Because small area methods require an estimation of a welfare model in the first stage which will then be applied to the census it is necessary that the choice of correlates matches across surveys. This not only requires variables to be similar, but requires that </w:t>
      </w:r>
      <w:r w:rsidR="00711BDB">
        <w:rPr>
          <w:rStyle w:val="Strong"/>
          <w:rFonts w:ascii="Garamond" w:hAnsi="Garamond"/>
          <w:b w:val="0"/>
        </w:rPr>
        <w:t>these have similar distributions. The selection of candidate variable is done in a two stage process:</w:t>
      </w:r>
    </w:p>
    <w:p w:rsidR="00711BDB" w:rsidRDefault="00711BDB" w:rsidP="00C36306">
      <w:pPr>
        <w:pStyle w:val="ListParagraph"/>
        <w:numPr>
          <w:ilvl w:val="0"/>
          <w:numId w:val="1"/>
        </w:numPr>
        <w:spacing w:line="360" w:lineRule="auto"/>
        <w:jc w:val="both"/>
        <w:rPr>
          <w:rStyle w:val="Strong"/>
          <w:rFonts w:ascii="Garamond" w:hAnsi="Garamond"/>
          <w:b w:val="0"/>
        </w:rPr>
      </w:pPr>
      <w:r>
        <w:rPr>
          <w:rStyle w:val="Strong"/>
          <w:rFonts w:ascii="Garamond" w:hAnsi="Garamond"/>
          <w:b w:val="0"/>
        </w:rPr>
        <w:t xml:space="preserve">Comparison of questionnaires between the EU-SILC and the Census. </w:t>
      </w:r>
      <w:r w:rsidR="00DB682B">
        <w:rPr>
          <w:rStyle w:val="Strong"/>
          <w:rFonts w:ascii="Garamond" w:hAnsi="Garamond"/>
          <w:b w:val="0"/>
        </w:rPr>
        <w:t xml:space="preserve">The comparison yields a first set of candidate variables for the estimation. Candidate variables must come from similar questions. </w:t>
      </w:r>
    </w:p>
    <w:p w:rsidR="00DB682B" w:rsidRDefault="00DB682B" w:rsidP="00C36306">
      <w:pPr>
        <w:pStyle w:val="ListParagraph"/>
        <w:numPr>
          <w:ilvl w:val="0"/>
          <w:numId w:val="1"/>
        </w:numPr>
        <w:spacing w:line="360" w:lineRule="auto"/>
        <w:jc w:val="both"/>
        <w:rPr>
          <w:rStyle w:val="Strong"/>
          <w:rFonts w:ascii="Garamond" w:hAnsi="Garamond"/>
          <w:b w:val="0"/>
        </w:rPr>
      </w:pPr>
      <w:r w:rsidRPr="00DB682B">
        <w:rPr>
          <w:rStyle w:val="Strong"/>
          <w:rFonts w:ascii="Garamond" w:hAnsi="Garamond"/>
          <w:b w:val="0"/>
        </w:rPr>
        <w:t xml:space="preserve">Comparison of the distribution of the candidate variables across datasets. The comparison is undertaken at the </w:t>
      </w:r>
      <w:r w:rsidR="0003231A">
        <w:rPr>
          <w:rStyle w:val="Strong"/>
          <w:rFonts w:ascii="Garamond" w:hAnsi="Garamond"/>
          <w:b w:val="0"/>
        </w:rPr>
        <w:t xml:space="preserve">level of Republic of Croatia </w:t>
      </w:r>
      <w:r w:rsidRPr="00DB682B">
        <w:rPr>
          <w:rStyle w:val="Strong"/>
          <w:rFonts w:ascii="Garamond" w:hAnsi="Garamond"/>
          <w:b w:val="0"/>
        </w:rPr>
        <w:t>and at the NUTS-2 level. The comparability of the variables across surveys ensures that the welfare model</w:t>
      </w:r>
      <w:r>
        <w:rPr>
          <w:rStyle w:val="Strong"/>
          <w:rFonts w:ascii="Garamond" w:hAnsi="Garamond"/>
          <w:b w:val="0"/>
        </w:rPr>
        <w:t xml:space="preserve"> from the </w:t>
      </w:r>
      <w:r w:rsidR="0003231A">
        <w:rPr>
          <w:rStyle w:val="Strong"/>
          <w:rFonts w:ascii="Garamond" w:hAnsi="Garamond"/>
          <w:b w:val="0"/>
        </w:rPr>
        <w:t xml:space="preserve">2012 </w:t>
      </w:r>
      <w:r>
        <w:rPr>
          <w:rStyle w:val="Strong"/>
          <w:rFonts w:ascii="Garamond" w:hAnsi="Garamond"/>
          <w:b w:val="0"/>
        </w:rPr>
        <w:t>EU-SILC can be applied to</w:t>
      </w:r>
      <w:r w:rsidR="0003231A">
        <w:rPr>
          <w:rStyle w:val="Strong"/>
          <w:rFonts w:ascii="Garamond" w:hAnsi="Garamond"/>
          <w:b w:val="0"/>
        </w:rPr>
        <w:t xml:space="preserve"> the Census such that reliable income </w:t>
      </w:r>
      <w:r>
        <w:rPr>
          <w:rStyle w:val="Strong"/>
          <w:rFonts w:ascii="Garamond" w:hAnsi="Garamond"/>
          <w:b w:val="0"/>
        </w:rPr>
        <w:t>estimates for the population can be derived.</w:t>
      </w:r>
    </w:p>
    <w:p w:rsidR="00CB077F" w:rsidRDefault="00DB682B" w:rsidP="00C36306">
      <w:pPr>
        <w:spacing w:line="360" w:lineRule="auto"/>
        <w:jc w:val="both"/>
        <w:rPr>
          <w:rStyle w:val="Strong"/>
          <w:rFonts w:ascii="Garamond" w:hAnsi="Garamond"/>
          <w:b w:val="0"/>
        </w:rPr>
      </w:pPr>
      <w:r>
        <w:rPr>
          <w:rStyle w:val="Strong"/>
          <w:rFonts w:ascii="Garamond" w:hAnsi="Garamond"/>
          <w:b w:val="0"/>
        </w:rPr>
        <w:t xml:space="preserve">Making use of all variables that meet the above criteria several welfare models are estimated via </w:t>
      </w:r>
      <w:r>
        <w:rPr>
          <w:rStyle w:val="Strong"/>
          <w:rFonts w:ascii="Garamond" w:hAnsi="Garamond"/>
          <w:b w:val="0"/>
          <w:i/>
        </w:rPr>
        <w:t>OLS</w:t>
      </w:r>
      <w:r>
        <w:rPr>
          <w:rStyle w:val="Strong"/>
          <w:rFonts w:ascii="Garamond" w:hAnsi="Garamond"/>
          <w:b w:val="0"/>
        </w:rPr>
        <w:t xml:space="preserve">. </w:t>
      </w:r>
      <w:r w:rsidR="009C7987">
        <w:rPr>
          <w:rStyle w:val="Strong"/>
          <w:rFonts w:ascii="Garamond" w:hAnsi="Garamond"/>
          <w:b w:val="0"/>
        </w:rPr>
        <w:t xml:space="preserve">Unlike most of econometrics, the purpose of the model is not to find any causal </w:t>
      </w:r>
      <w:r w:rsidR="002D6283">
        <w:rPr>
          <w:rStyle w:val="Strong"/>
          <w:rFonts w:ascii="Garamond" w:hAnsi="Garamond"/>
          <w:b w:val="0"/>
        </w:rPr>
        <w:t xml:space="preserve">relationships but to find a model that best reflects the income level of a household. The income of a household is assumed to be a function of </w:t>
      </w:r>
      <w:r w:rsidR="00365A6C">
        <w:rPr>
          <w:rStyle w:val="Strong"/>
          <w:rFonts w:ascii="Garamond" w:hAnsi="Garamond"/>
          <w:b w:val="0"/>
        </w:rPr>
        <w:t xml:space="preserve">the number of household members present in the household, and the age composition of the household members. Additionally, </w:t>
      </w:r>
      <w:r w:rsidR="00057B16">
        <w:rPr>
          <w:rStyle w:val="Strong"/>
          <w:rFonts w:ascii="Garamond" w:hAnsi="Garamond"/>
          <w:b w:val="0"/>
        </w:rPr>
        <w:t>income</w:t>
      </w:r>
      <w:r w:rsidR="00365A6C">
        <w:rPr>
          <w:rStyle w:val="Strong"/>
          <w:rFonts w:ascii="Garamond" w:hAnsi="Garamond"/>
          <w:b w:val="0"/>
        </w:rPr>
        <w:t xml:space="preserve"> is assumed to be a function of the marital status of individuals aged 15 and over, their level of </w:t>
      </w:r>
      <w:r w:rsidR="00A62777">
        <w:rPr>
          <w:rStyle w:val="Strong"/>
          <w:rFonts w:ascii="Garamond" w:hAnsi="Garamond"/>
          <w:b w:val="0"/>
        </w:rPr>
        <w:t>education, their occupation, and</w:t>
      </w:r>
      <w:r w:rsidR="00365A6C">
        <w:rPr>
          <w:rStyle w:val="Strong"/>
          <w:rFonts w:ascii="Garamond" w:hAnsi="Garamond"/>
          <w:b w:val="0"/>
        </w:rPr>
        <w:t xml:space="preserve"> the sector in which they are employed in. </w:t>
      </w:r>
      <w:r w:rsidR="00CB077F">
        <w:rPr>
          <w:rStyle w:val="Strong"/>
          <w:rFonts w:ascii="Garamond" w:hAnsi="Garamond"/>
          <w:b w:val="0"/>
        </w:rPr>
        <w:t>In addition</w:t>
      </w:r>
      <w:r w:rsidR="00365A6C">
        <w:rPr>
          <w:rStyle w:val="Strong"/>
          <w:rFonts w:ascii="Garamond" w:hAnsi="Garamond"/>
          <w:b w:val="0"/>
        </w:rPr>
        <w:t>, and while likely not a determinant of income</w:t>
      </w:r>
      <w:r w:rsidR="00CB077F">
        <w:rPr>
          <w:rStyle w:val="Strong"/>
          <w:rFonts w:ascii="Garamond" w:hAnsi="Garamond"/>
          <w:b w:val="0"/>
        </w:rPr>
        <w:t>, we include a variable which reports the area of the dwelling in square meter</w:t>
      </w:r>
      <w:r w:rsidR="00737F08">
        <w:rPr>
          <w:rStyle w:val="Strong"/>
          <w:rFonts w:ascii="Garamond" w:hAnsi="Garamond"/>
          <w:b w:val="0"/>
        </w:rPr>
        <w:t>s</w:t>
      </w:r>
      <w:r w:rsidR="00CB077F">
        <w:rPr>
          <w:rStyle w:val="Strong"/>
          <w:rFonts w:ascii="Garamond" w:hAnsi="Garamond"/>
          <w:b w:val="0"/>
        </w:rPr>
        <w:t xml:space="preserve">. This variable is expected to have reasonable correlation with welfare. </w:t>
      </w:r>
      <w:r w:rsidR="009605B7">
        <w:rPr>
          <w:rStyle w:val="Strong"/>
          <w:rFonts w:ascii="Garamond" w:hAnsi="Garamond"/>
          <w:b w:val="0"/>
        </w:rPr>
        <w:t>Finally, the use of location means of household level variables are included.</w:t>
      </w:r>
      <w:r w:rsidR="009605B7">
        <w:rPr>
          <w:rStyle w:val="FootnoteReference"/>
          <w:rFonts w:ascii="Garamond" w:hAnsi="Garamond"/>
          <w:bCs/>
        </w:rPr>
        <w:footnoteReference w:id="15"/>
      </w:r>
      <w:r w:rsidR="009605B7">
        <w:rPr>
          <w:rStyle w:val="Strong"/>
          <w:rFonts w:ascii="Garamond" w:hAnsi="Garamond"/>
          <w:b w:val="0"/>
        </w:rPr>
        <w:t xml:space="preserve"> This is done in order to explain the variation in welfare due to location as much as possible and thus improve precision of the welfare estimates.</w:t>
      </w:r>
    </w:p>
    <w:p w:rsidR="00057B16" w:rsidRDefault="009605B7" w:rsidP="00C36306">
      <w:pPr>
        <w:spacing w:line="360" w:lineRule="auto"/>
        <w:jc w:val="both"/>
        <w:rPr>
          <w:rStyle w:val="Strong"/>
          <w:rFonts w:ascii="Garamond" w:hAnsi="Garamond"/>
          <w:b w:val="0"/>
        </w:rPr>
      </w:pPr>
      <w:r>
        <w:rPr>
          <w:rStyle w:val="Strong"/>
          <w:rFonts w:ascii="Garamond" w:hAnsi="Garamond"/>
          <w:b w:val="0"/>
        </w:rPr>
        <w:t>Table 1 contains a l</w:t>
      </w:r>
      <w:r w:rsidR="00956236">
        <w:rPr>
          <w:rStyle w:val="Strong"/>
          <w:rFonts w:ascii="Garamond" w:hAnsi="Garamond"/>
          <w:b w:val="0"/>
        </w:rPr>
        <w:t xml:space="preserve">isting of the candidate variables </w:t>
      </w:r>
      <w:r w:rsidR="00B04082">
        <w:rPr>
          <w:rStyle w:val="Strong"/>
          <w:rFonts w:ascii="Garamond" w:hAnsi="Garamond"/>
          <w:b w:val="0"/>
        </w:rPr>
        <w:t xml:space="preserve">for use in the </w:t>
      </w:r>
      <w:r w:rsidR="00956236">
        <w:rPr>
          <w:rStyle w:val="Strong"/>
          <w:rFonts w:ascii="Garamond" w:hAnsi="Garamond"/>
          <w:b w:val="0"/>
        </w:rPr>
        <w:t xml:space="preserve">model. </w:t>
      </w:r>
      <w:r w:rsidR="00057B16">
        <w:rPr>
          <w:rStyle w:val="Strong"/>
          <w:rFonts w:ascii="Garamond" w:hAnsi="Garamond"/>
          <w:b w:val="0"/>
        </w:rPr>
        <w:t xml:space="preserve">The </w:t>
      </w:r>
      <w:r w:rsidR="00737F08">
        <w:rPr>
          <w:rStyle w:val="Strong"/>
          <w:rFonts w:ascii="Garamond" w:hAnsi="Garamond"/>
          <w:b w:val="0"/>
        </w:rPr>
        <w:t>EU-</w:t>
      </w:r>
      <w:r w:rsidR="00057B16">
        <w:rPr>
          <w:rStyle w:val="Strong"/>
          <w:rFonts w:ascii="Garamond" w:hAnsi="Garamond"/>
          <w:b w:val="0"/>
        </w:rPr>
        <w:t xml:space="preserve">SILC and the Census contain a comprehensive set of variables which match the criteria for modelling income at the household level. Both datasets contain information on the number of household members present in a household. </w:t>
      </w:r>
      <w:r w:rsidR="00737F08">
        <w:rPr>
          <w:rStyle w:val="Strong"/>
          <w:rFonts w:ascii="Garamond" w:hAnsi="Garamond"/>
          <w:b w:val="0"/>
        </w:rPr>
        <w:t>Given that the sampling frame for the 2012 EU-SILC is the previous Census (</w:t>
      </w:r>
      <w:r w:rsidR="00737F08" w:rsidRPr="008243FB">
        <w:rPr>
          <w:rStyle w:val="Strong"/>
          <w:rFonts w:ascii="Garamond" w:hAnsi="Garamond"/>
          <w:b w:val="0"/>
        </w:rPr>
        <w:t>Census of Population, Households and Dwellings 2001</w:t>
      </w:r>
      <w:r w:rsidR="00737F08">
        <w:rPr>
          <w:rStyle w:val="Strong"/>
          <w:rFonts w:ascii="Garamond" w:hAnsi="Garamond"/>
          <w:b w:val="0"/>
        </w:rPr>
        <w:t>) it is not unexpected that the first moments of the EU-SILC and Census are somewhat different.  Nevertheless, at</w:t>
      </w:r>
      <w:r w:rsidR="00057B16">
        <w:rPr>
          <w:rStyle w:val="Strong"/>
          <w:rFonts w:ascii="Garamond" w:hAnsi="Garamond"/>
          <w:b w:val="0"/>
        </w:rPr>
        <w:t xml:space="preserve"> the national level the means </w:t>
      </w:r>
      <w:r w:rsidR="00737F08">
        <w:rPr>
          <w:rStyle w:val="Strong"/>
          <w:rFonts w:ascii="Garamond" w:hAnsi="Garamond"/>
          <w:b w:val="0"/>
        </w:rPr>
        <w:t xml:space="preserve">of the candidate variables </w:t>
      </w:r>
      <w:r w:rsidR="00057B16">
        <w:rPr>
          <w:rStyle w:val="Strong"/>
          <w:rFonts w:ascii="Garamond" w:hAnsi="Garamond"/>
          <w:b w:val="0"/>
        </w:rPr>
        <w:t xml:space="preserve">match up considerably well. </w:t>
      </w:r>
    </w:p>
    <w:p w:rsidR="00057B16" w:rsidRDefault="00956236" w:rsidP="00C36306">
      <w:pPr>
        <w:spacing w:line="360" w:lineRule="auto"/>
        <w:jc w:val="both"/>
        <w:rPr>
          <w:rStyle w:val="Strong"/>
          <w:rFonts w:ascii="Garamond" w:hAnsi="Garamond"/>
          <w:b w:val="0"/>
        </w:rPr>
      </w:pPr>
      <w:r>
        <w:rPr>
          <w:rStyle w:val="Strong"/>
          <w:rFonts w:ascii="Garamond" w:hAnsi="Garamond"/>
          <w:b w:val="0"/>
        </w:rPr>
        <w:lastRenderedPageBreak/>
        <w:t xml:space="preserve">The mean values for the EU-SILC and for the Census are presented. </w:t>
      </w:r>
      <w:r w:rsidR="00B04082">
        <w:rPr>
          <w:rStyle w:val="Strong"/>
          <w:rFonts w:ascii="Garamond" w:hAnsi="Garamond"/>
          <w:b w:val="0"/>
        </w:rPr>
        <w:t xml:space="preserve">The final choice of variables for the model is not only dependent upon how well the variables match up, but on how well they explain the variation of income. </w:t>
      </w:r>
    </w:p>
    <w:p w:rsidR="002A66C6" w:rsidRDefault="002A66C6" w:rsidP="00C36306">
      <w:pPr>
        <w:spacing w:line="360" w:lineRule="auto"/>
        <w:jc w:val="both"/>
        <w:rPr>
          <w:rStyle w:val="Strong"/>
          <w:rFonts w:ascii="Garamond" w:hAnsi="Garamond"/>
          <w:b w:val="0"/>
        </w:rPr>
      </w:pPr>
      <w:r>
        <w:rPr>
          <w:rStyle w:val="Strong"/>
          <w:rFonts w:ascii="Garamond" w:hAnsi="Garamond"/>
          <w:b w:val="0"/>
        </w:rPr>
        <w:t>As the numbers on Table 1 illustrate, the two datasets match up quite we</w:t>
      </w:r>
      <w:r w:rsidR="00465AB0">
        <w:rPr>
          <w:rStyle w:val="Strong"/>
          <w:rFonts w:ascii="Garamond" w:hAnsi="Garamond"/>
          <w:b w:val="0"/>
        </w:rPr>
        <w:t>ll. The</w:t>
      </w:r>
      <w:r w:rsidR="00C16266">
        <w:rPr>
          <w:rStyle w:val="Strong"/>
          <w:rFonts w:ascii="Garamond" w:hAnsi="Garamond"/>
          <w:b w:val="0"/>
        </w:rPr>
        <w:t xml:space="preserve"> age groups,</w:t>
      </w:r>
      <w:r w:rsidR="00602860">
        <w:rPr>
          <w:rStyle w:val="Strong"/>
          <w:rFonts w:ascii="Garamond" w:hAnsi="Garamond"/>
          <w:b w:val="0"/>
        </w:rPr>
        <w:t xml:space="preserve"> </w:t>
      </w:r>
      <w:r w:rsidR="00C16266">
        <w:rPr>
          <w:rStyle w:val="Strong"/>
          <w:rFonts w:ascii="Garamond" w:hAnsi="Garamond"/>
          <w:b w:val="0"/>
        </w:rPr>
        <w:t>proportion of males, and household size</w:t>
      </w:r>
      <w:r w:rsidR="00602860">
        <w:rPr>
          <w:rStyle w:val="Strong"/>
          <w:rFonts w:ascii="Garamond" w:hAnsi="Garamond"/>
          <w:b w:val="0"/>
        </w:rPr>
        <w:t xml:space="preserve"> are very close to one another, even at the statistical area level the variable</w:t>
      </w:r>
      <w:r w:rsidR="00C16266">
        <w:rPr>
          <w:rStyle w:val="Strong"/>
          <w:rFonts w:ascii="Garamond" w:hAnsi="Garamond"/>
          <w:b w:val="0"/>
        </w:rPr>
        <w:t xml:space="preserve">s are comparable with one another (Table 1A). </w:t>
      </w:r>
    </w:p>
    <w:p w:rsidR="00097041" w:rsidRDefault="00C16266" w:rsidP="00C36306">
      <w:pPr>
        <w:spacing w:line="360" w:lineRule="auto"/>
        <w:jc w:val="both"/>
        <w:rPr>
          <w:rStyle w:val="Strong"/>
          <w:rFonts w:ascii="Garamond" w:hAnsi="Garamond"/>
          <w:b w:val="0"/>
        </w:rPr>
      </w:pPr>
      <w:r>
        <w:rPr>
          <w:rStyle w:val="Strong"/>
          <w:rFonts w:ascii="Garamond" w:hAnsi="Garamond"/>
          <w:b w:val="0"/>
        </w:rPr>
        <w:t xml:space="preserve">Comparison between labor market variables also reveal that the datasets are close to each other with some differences arising in some of the occupations. Similarly these slight differences are also reflected at the regional level comparisons. </w:t>
      </w:r>
    </w:p>
    <w:p w:rsidR="00097041" w:rsidRDefault="00097041" w:rsidP="00C36306">
      <w:pPr>
        <w:spacing w:line="360" w:lineRule="auto"/>
        <w:jc w:val="both"/>
        <w:rPr>
          <w:rStyle w:val="Strong"/>
          <w:rFonts w:ascii="Garamond" w:hAnsi="Garamond"/>
          <w:b w:val="0"/>
        </w:rPr>
      </w:pPr>
      <w:r>
        <w:rPr>
          <w:rStyle w:val="Strong"/>
          <w:rFonts w:ascii="Garamond" w:hAnsi="Garamond"/>
          <w:b w:val="0"/>
        </w:rPr>
        <w:t xml:space="preserve">Given that the differences that arise are not considerable all of the variables are valid candidates for the welfare model to be estimated in the next stage. Variables that are highly correlated are not included simultaneously. Keeping this in mind the selected model is the one which maximizes the </w:t>
      </w:r>
      <w:r w:rsidR="004E6D14">
        <w:rPr>
          <w:rStyle w:val="Strong"/>
          <w:rFonts w:ascii="Garamond" w:hAnsi="Garamond"/>
          <w:b w:val="0"/>
        </w:rPr>
        <w:t>adjusted R-squared of the model, but at the same time conform</w:t>
      </w:r>
      <w:r w:rsidR="00F24CCE">
        <w:rPr>
          <w:rStyle w:val="Strong"/>
          <w:rFonts w:ascii="Garamond" w:hAnsi="Garamond"/>
          <w:b w:val="0"/>
        </w:rPr>
        <w:t>s</w:t>
      </w:r>
      <w:r w:rsidR="004E6D14">
        <w:rPr>
          <w:rStyle w:val="Strong"/>
          <w:rFonts w:ascii="Garamond" w:hAnsi="Garamond"/>
          <w:b w:val="0"/>
        </w:rPr>
        <w:t xml:space="preserve"> to prior beliefs of how should the variable be related to income. </w:t>
      </w:r>
    </w:p>
    <w:p w:rsidR="00EF19D2" w:rsidRDefault="00EF19D2" w:rsidP="00EF19D2">
      <w:pPr>
        <w:keepNext/>
        <w:spacing w:line="360" w:lineRule="auto"/>
        <w:jc w:val="center"/>
        <w:rPr>
          <w:rStyle w:val="Strong"/>
          <w:rFonts w:ascii="Garamond" w:hAnsi="Garamond"/>
        </w:rPr>
      </w:pPr>
      <w:r w:rsidRPr="00EF19D2">
        <w:rPr>
          <w:rStyle w:val="Strong"/>
          <w:rFonts w:ascii="Garamond" w:hAnsi="Garamond"/>
        </w:rPr>
        <w:t>Table 1: Population weighted candidate variable means in Census and EU-SILC</w:t>
      </w:r>
    </w:p>
    <w:tbl>
      <w:tblPr>
        <w:tblW w:w="7280" w:type="dxa"/>
        <w:jc w:val="center"/>
        <w:tblLook w:val="04A0" w:firstRow="1" w:lastRow="0" w:firstColumn="1" w:lastColumn="0" w:noHBand="0" w:noVBand="1"/>
      </w:tblPr>
      <w:tblGrid>
        <w:gridCol w:w="5360"/>
        <w:gridCol w:w="960"/>
        <w:gridCol w:w="960"/>
      </w:tblGrid>
      <w:tr w:rsidR="00602860" w:rsidRPr="00602860" w:rsidTr="00602860">
        <w:trPr>
          <w:trHeight w:val="315"/>
          <w:jc w:val="center"/>
        </w:trPr>
        <w:tc>
          <w:tcPr>
            <w:tcW w:w="5360" w:type="dxa"/>
            <w:tcBorders>
              <w:top w:val="nil"/>
              <w:left w:val="nil"/>
              <w:bottom w:val="double" w:sz="6"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Variable name</w:t>
            </w:r>
          </w:p>
        </w:tc>
        <w:tc>
          <w:tcPr>
            <w:tcW w:w="960" w:type="dxa"/>
            <w:tcBorders>
              <w:top w:val="nil"/>
              <w:left w:val="nil"/>
              <w:bottom w:val="double" w:sz="6"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Census</w:t>
            </w:r>
          </w:p>
        </w:tc>
        <w:tc>
          <w:tcPr>
            <w:tcW w:w="960" w:type="dxa"/>
            <w:tcBorders>
              <w:top w:val="nil"/>
              <w:left w:val="nil"/>
              <w:bottom w:val="double" w:sz="6"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EU-SILC</w:t>
            </w:r>
          </w:p>
        </w:tc>
      </w:tr>
      <w:tr w:rsidR="00602860" w:rsidRPr="00602860" w:rsidTr="00602860">
        <w:trPr>
          <w:trHeight w:val="315"/>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Male</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0.483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0.482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Age [0,5)</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0.050</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0.045</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Age [5,15)</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0.103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0.106</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Age [15,30)</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0.186</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0.186</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Age [30,65)</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0.486</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0.490</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Age [65+)</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0.174</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0.172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Household size (Share of individuals living in household type)</w:t>
            </w:r>
          </w:p>
        </w:tc>
        <w:tc>
          <w:tcPr>
            <w:tcW w:w="9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Times New Roman" w:eastAsia="Times New Roman" w:hAnsi="Times New Roman" w:cs="Times New Roman"/>
                <w:sz w:val="20"/>
                <w:szCs w:val="20"/>
              </w:rPr>
            </w:pP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1</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0.088</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0.088</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2</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0.183</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0.202</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0.202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4</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0.248</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0.247</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5</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0.143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0.143</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Households size of 6</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0.076</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0.073</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Household size of 7 or more</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0.060</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0.063</w:t>
            </w:r>
          </w:p>
        </w:tc>
      </w:tr>
      <w:tr w:rsidR="00602860" w:rsidRPr="00602860" w:rsidTr="00602860">
        <w:trPr>
          <w:trHeight w:val="300"/>
          <w:jc w:val="center"/>
        </w:trPr>
        <w:tc>
          <w:tcPr>
            <w:tcW w:w="7280" w:type="dxa"/>
            <w:gridSpan w:val="3"/>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Occupation (15+) (Share of individuals in households with at least one member)</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Manager</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0.051</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0.032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Professionals</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0.150</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0.142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Technicians</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0.182</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0.132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Clerical support</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0.129</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0.118</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Service and sales</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0.223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0.214</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lastRenderedPageBreak/>
              <w:t>Skilled agriculture</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0.041</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0.051</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Craft and trade</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0.153</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0.167</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Machine operators</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0.112</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0.117</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Elementary occupations</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0.091</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0.071</w:t>
            </w:r>
          </w:p>
        </w:tc>
      </w:tr>
      <w:tr w:rsidR="00602860" w:rsidRPr="00602860" w:rsidTr="00602860">
        <w:trPr>
          <w:trHeight w:val="300"/>
          <w:jc w:val="center"/>
        </w:trPr>
        <w:tc>
          <w:tcPr>
            <w:tcW w:w="7280" w:type="dxa"/>
            <w:gridSpan w:val="3"/>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Labor status, age 15-64 (Share of individuals in households with at least one member)</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Employed</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0.742</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0.724</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Retired</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0.497</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0.503</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Student</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0.220</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0.213</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Disabled</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0.038</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0.024</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Other</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0.749</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0.726</w:t>
            </w:r>
          </w:p>
        </w:tc>
      </w:tr>
      <w:tr w:rsidR="00602860" w:rsidRPr="00602860" w:rsidTr="00602860">
        <w:trPr>
          <w:trHeight w:val="300"/>
          <w:jc w:val="center"/>
        </w:trPr>
        <w:tc>
          <w:tcPr>
            <w:tcW w:w="7280" w:type="dxa"/>
            <w:gridSpan w:val="3"/>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Industry, age 15-64 (Share of individuals in households with at least one member)</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Agriculture, mining, and fishing</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0.065</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0.068</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Manufacturing</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0.189</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0.195</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Services and Sales</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0.630</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0.572</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Share of members with education in HH (age 15-64)</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Times New Roman" w:eastAsia="Times New Roman" w:hAnsi="Times New Roman" w:cs="Times New Roman"/>
                <w:sz w:val="20"/>
                <w:szCs w:val="20"/>
              </w:rPr>
            </w:pP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Primary education</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0.086</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0.071</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Lower secondary</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0.199</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0.196</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Upper secondary</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0.547</w:t>
            </w:r>
          </w:p>
        </w:tc>
        <w:tc>
          <w:tcPr>
            <w:tcW w:w="960" w:type="dxa"/>
            <w:tcBorders>
              <w:top w:val="nil"/>
              <w:left w:val="nil"/>
              <w:bottom w:val="nil"/>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0.595</w:t>
            </w: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Tertiary education</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0.169</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0.138</w:t>
            </w:r>
          </w:p>
        </w:tc>
      </w:tr>
      <w:tr w:rsidR="00602860" w:rsidRPr="00602860" w:rsidTr="00602860">
        <w:trPr>
          <w:trHeight w:val="300"/>
          <w:jc w:val="center"/>
        </w:trPr>
        <w:tc>
          <w:tcPr>
            <w:tcW w:w="53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r w:rsidRPr="00602860">
              <w:rPr>
                <w:rFonts w:ascii="Garamond" w:eastAsia="Times New Roman" w:hAnsi="Garamond" w:cs="Times New Roman"/>
                <w:b/>
                <w:bCs/>
                <w:color w:val="000000"/>
                <w:sz w:val="20"/>
                <w:szCs w:val="20"/>
              </w:rPr>
              <w:t>Dwelling characteristics</w:t>
            </w:r>
          </w:p>
        </w:tc>
        <w:tc>
          <w:tcPr>
            <w:tcW w:w="9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602860" w:rsidRPr="00602860" w:rsidRDefault="00602860" w:rsidP="00602860">
            <w:pPr>
              <w:spacing w:after="0" w:line="240" w:lineRule="auto"/>
              <w:rPr>
                <w:rFonts w:ascii="Times New Roman" w:eastAsia="Times New Roman" w:hAnsi="Times New Roman" w:cs="Times New Roman"/>
                <w:sz w:val="20"/>
                <w:szCs w:val="20"/>
              </w:rPr>
            </w:pPr>
          </w:p>
        </w:tc>
      </w:tr>
      <w:tr w:rsidR="00602860" w:rsidRPr="00602860" w:rsidTr="00602860">
        <w:trPr>
          <w:trHeight w:val="315"/>
          <w:jc w:val="center"/>
        </w:trPr>
        <w:tc>
          <w:tcPr>
            <w:tcW w:w="5360" w:type="dxa"/>
            <w:tcBorders>
              <w:top w:val="nil"/>
              <w:left w:val="nil"/>
              <w:bottom w:val="single" w:sz="8" w:space="0" w:color="auto"/>
              <w:right w:val="nil"/>
            </w:tcBorders>
            <w:shd w:val="clear" w:color="auto" w:fill="auto"/>
            <w:noWrap/>
            <w:vAlign w:val="bottom"/>
            <w:hideMark/>
          </w:tcPr>
          <w:p w:rsidR="00602860" w:rsidRPr="00602860" w:rsidRDefault="00602860" w:rsidP="00602860">
            <w:pPr>
              <w:spacing w:after="0" w:line="240" w:lineRule="auto"/>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Square meters</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87.542</w:t>
            </w:r>
          </w:p>
        </w:tc>
        <w:tc>
          <w:tcPr>
            <w:tcW w:w="960" w:type="dxa"/>
            <w:tcBorders>
              <w:top w:val="nil"/>
              <w:left w:val="nil"/>
              <w:bottom w:val="single" w:sz="8" w:space="0" w:color="auto"/>
              <w:right w:val="nil"/>
            </w:tcBorders>
            <w:shd w:val="clear" w:color="auto" w:fill="auto"/>
            <w:noWrap/>
            <w:vAlign w:val="center"/>
            <w:hideMark/>
          </w:tcPr>
          <w:p w:rsidR="00602860" w:rsidRPr="00602860" w:rsidRDefault="00602860" w:rsidP="00602860">
            <w:pPr>
              <w:spacing w:after="0" w:line="240" w:lineRule="auto"/>
              <w:jc w:val="center"/>
              <w:rPr>
                <w:rFonts w:ascii="Garamond" w:eastAsia="Times New Roman" w:hAnsi="Garamond" w:cs="Times New Roman"/>
                <w:color w:val="000000"/>
                <w:sz w:val="20"/>
                <w:szCs w:val="20"/>
              </w:rPr>
            </w:pPr>
            <w:r w:rsidRPr="00602860">
              <w:rPr>
                <w:rFonts w:ascii="Garamond" w:eastAsia="Times New Roman" w:hAnsi="Garamond" w:cs="Times New Roman"/>
                <w:color w:val="000000"/>
                <w:sz w:val="20"/>
                <w:szCs w:val="20"/>
              </w:rPr>
              <w:t>88.942</w:t>
            </w:r>
          </w:p>
        </w:tc>
      </w:tr>
    </w:tbl>
    <w:p w:rsidR="00951059" w:rsidRDefault="00951059" w:rsidP="00C36306">
      <w:pPr>
        <w:spacing w:line="360" w:lineRule="auto"/>
        <w:jc w:val="both"/>
        <w:rPr>
          <w:rStyle w:val="Strong"/>
          <w:rFonts w:ascii="Garamond" w:hAnsi="Garamond"/>
        </w:rPr>
      </w:pPr>
    </w:p>
    <w:p w:rsidR="00465AB0" w:rsidRDefault="00465AB0" w:rsidP="00A81189">
      <w:pPr>
        <w:pStyle w:val="Heading1"/>
        <w:rPr>
          <w:rStyle w:val="Strong"/>
          <w:rFonts w:ascii="Garamond" w:hAnsi="Garamond"/>
        </w:rPr>
      </w:pPr>
      <w:r w:rsidRPr="00A81189">
        <w:rPr>
          <w:rStyle w:val="Strong"/>
          <w:rFonts w:ascii="Garamond" w:hAnsi="Garamond"/>
        </w:rPr>
        <w:t>Model results</w:t>
      </w:r>
    </w:p>
    <w:p w:rsidR="00F24CCE" w:rsidRDefault="00F24CCE" w:rsidP="00A81189">
      <w:pPr>
        <w:keepNext/>
        <w:spacing w:line="360" w:lineRule="auto"/>
        <w:jc w:val="both"/>
        <w:rPr>
          <w:rStyle w:val="Strong"/>
          <w:rFonts w:ascii="Garamond" w:hAnsi="Garamond"/>
          <w:b w:val="0"/>
        </w:rPr>
      </w:pPr>
    </w:p>
    <w:p w:rsidR="00D95F51" w:rsidRDefault="002F0051" w:rsidP="00D95F51">
      <w:pPr>
        <w:spacing w:line="360" w:lineRule="auto"/>
        <w:jc w:val="both"/>
        <w:rPr>
          <w:rStyle w:val="Strong"/>
          <w:rFonts w:ascii="Garamond" w:eastAsiaTheme="minorEastAsia" w:hAnsi="Garamond"/>
          <w:b w:val="0"/>
        </w:rPr>
      </w:pPr>
      <w:r>
        <w:rPr>
          <w:rStyle w:val="Strong"/>
          <w:rFonts w:ascii="Garamond" w:hAnsi="Garamond"/>
          <w:b w:val="0"/>
        </w:rPr>
        <w:t>The initial welfare model corresponding to equation</w:t>
      </w:r>
      <w:r w:rsidR="00EB027C">
        <w:rPr>
          <w:rStyle w:val="Strong"/>
          <w:rFonts w:ascii="Garamond" w:hAnsi="Garamond"/>
          <w:b w:val="0"/>
        </w:rPr>
        <w:t xml:space="preserve"> (1) is presented in</w:t>
      </w:r>
      <w:r w:rsidR="00C21080">
        <w:rPr>
          <w:rStyle w:val="Strong"/>
          <w:rFonts w:ascii="Garamond" w:hAnsi="Garamond"/>
          <w:b w:val="0"/>
        </w:rPr>
        <w:t xml:space="preserve"> column 1 of Table</w:t>
      </w:r>
      <w:r w:rsidR="00EB027C">
        <w:rPr>
          <w:rStyle w:val="Strong"/>
          <w:rFonts w:ascii="Garamond" w:hAnsi="Garamond"/>
          <w:b w:val="0"/>
        </w:rPr>
        <w:t xml:space="preserve"> 2. The adjusted R-Squared for the model is (</w:t>
      </w:r>
      <w:r w:rsidR="00A81189">
        <w:rPr>
          <w:rStyle w:val="Strong"/>
          <w:rFonts w:ascii="Garamond" w:hAnsi="Garamond"/>
        </w:rPr>
        <w:t>0.52</w:t>
      </w:r>
      <w:r w:rsidR="00EB027C">
        <w:rPr>
          <w:rStyle w:val="Strong"/>
          <w:rFonts w:ascii="Garamond" w:hAnsi="Garamond"/>
          <w:b w:val="0"/>
        </w:rPr>
        <w:t xml:space="preserve">) reflecting that the chosen model explains the variation on income well. </w:t>
      </w:r>
      <w:r w:rsidR="00DD2FBD">
        <w:rPr>
          <w:rStyle w:val="Strong"/>
          <w:rFonts w:ascii="Garamond" w:hAnsi="Garamond"/>
          <w:b w:val="0"/>
        </w:rPr>
        <w:t xml:space="preserve">In addition to the </w:t>
      </w:r>
      <w:r w:rsidR="002F0D87">
        <w:rPr>
          <w:rStyle w:val="Strong"/>
          <w:rFonts w:ascii="Garamond" w:hAnsi="Garamond"/>
          <w:b w:val="0"/>
        </w:rPr>
        <w:t>variables present in both the Census and EU-SILC, variable means for municipalities</w:t>
      </w:r>
      <w:r w:rsidR="00154EB9">
        <w:rPr>
          <w:rStyle w:val="Strong"/>
          <w:rFonts w:ascii="Garamond" w:hAnsi="Garamond"/>
          <w:b w:val="0"/>
        </w:rPr>
        <w:t>, cities, and districts of Zagreb</w:t>
      </w:r>
      <w:r w:rsidR="002F0D87">
        <w:rPr>
          <w:rStyle w:val="Strong"/>
          <w:rFonts w:ascii="Garamond" w:hAnsi="Garamond"/>
          <w:b w:val="0"/>
        </w:rPr>
        <w:t xml:space="preserve"> are obtained from the Census and introduced to the </w:t>
      </w:r>
      <w:r w:rsidR="00E976E5">
        <w:rPr>
          <w:rStyle w:val="Strong"/>
          <w:rFonts w:ascii="Garamond" w:hAnsi="Garamond"/>
          <w:b w:val="0"/>
        </w:rPr>
        <w:t>model;</w:t>
      </w:r>
      <w:r w:rsidR="002F0D87">
        <w:rPr>
          <w:rStyle w:val="Strong"/>
          <w:rFonts w:ascii="Garamond" w:hAnsi="Garamond"/>
          <w:b w:val="0"/>
        </w:rPr>
        <w:t xml:space="preserve"> these variables are introduced to improve precision by reducing the unexplained variation in income due to location.</w:t>
      </w:r>
      <w:r w:rsidR="00E749DE">
        <w:rPr>
          <w:rStyle w:val="Strong"/>
          <w:rFonts w:ascii="Garamond" w:hAnsi="Garamond"/>
          <w:b w:val="0"/>
        </w:rPr>
        <w:t xml:space="preserve"> With the inclusion of these variables the ratio of the variance of </w:t>
      </w:r>
      <m:oMath>
        <m:r>
          <w:rPr>
            <w:rStyle w:val="Strong"/>
            <w:rFonts w:ascii="Cambria Math" w:hAnsi="Cambria Math"/>
          </w:rPr>
          <m:t>η</m:t>
        </m:r>
      </m:oMath>
      <w:r w:rsidR="004268CF">
        <w:rPr>
          <w:rStyle w:val="Strong"/>
          <w:rFonts w:ascii="Garamond" w:eastAsiaTheme="minorEastAsia" w:hAnsi="Garamond"/>
          <w:b w:val="0"/>
        </w:rPr>
        <w:t xml:space="preserve"> over the model’s MSE is 0.035</w:t>
      </w:r>
      <w:r w:rsidR="00E749DE">
        <w:rPr>
          <w:rStyle w:val="Strong"/>
          <w:rFonts w:ascii="Garamond" w:eastAsiaTheme="minorEastAsia" w:hAnsi="Garamond"/>
          <w:b w:val="0"/>
        </w:rPr>
        <w:t>. The low ratio illustrates the key role the variables play in improving precision of the estimates.</w:t>
      </w:r>
    </w:p>
    <w:p w:rsidR="00D95F51" w:rsidRDefault="00D95F51" w:rsidP="00D95F51">
      <w:pPr>
        <w:spacing w:line="360" w:lineRule="auto"/>
        <w:jc w:val="both"/>
        <w:rPr>
          <w:rStyle w:val="Strong"/>
          <w:rFonts w:ascii="Garamond" w:eastAsiaTheme="minorEastAsia" w:hAnsi="Garamond"/>
          <w:b w:val="0"/>
        </w:rPr>
      </w:pPr>
    </w:p>
    <w:p w:rsidR="00D95F51" w:rsidRDefault="00D95F51" w:rsidP="00D95F51">
      <w:pPr>
        <w:spacing w:line="360" w:lineRule="auto"/>
        <w:jc w:val="both"/>
        <w:rPr>
          <w:rStyle w:val="Strong"/>
          <w:rFonts w:ascii="Garamond" w:eastAsiaTheme="minorEastAsia" w:hAnsi="Garamond"/>
        </w:rPr>
      </w:pPr>
      <w:r>
        <w:rPr>
          <w:rStyle w:val="Strong"/>
          <w:rFonts w:ascii="Garamond" w:eastAsiaTheme="minorEastAsia" w:hAnsi="Garamond"/>
        </w:rPr>
        <w:t xml:space="preserve"> </w:t>
      </w:r>
    </w:p>
    <w:p w:rsidR="00C21080" w:rsidRDefault="00C21080" w:rsidP="00C21080">
      <w:pPr>
        <w:keepNext/>
        <w:spacing w:line="360" w:lineRule="auto"/>
        <w:jc w:val="center"/>
        <w:rPr>
          <w:rStyle w:val="Strong"/>
          <w:rFonts w:ascii="Garamond" w:eastAsiaTheme="minorEastAsia" w:hAnsi="Garamond"/>
        </w:rPr>
      </w:pPr>
      <w:r w:rsidRPr="00C21080">
        <w:rPr>
          <w:rStyle w:val="Strong"/>
          <w:rFonts w:ascii="Garamond" w:eastAsiaTheme="minorEastAsia" w:hAnsi="Garamond"/>
        </w:rPr>
        <w:lastRenderedPageBreak/>
        <w:t>Table 2: W</w:t>
      </w:r>
      <w:r w:rsidR="00D95F51">
        <w:rPr>
          <w:rStyle w:val="Strong"/>
          <w:rFonts w:ascii="Garamond" w:eastAsiaTheme="minorEastAsia" w:hAnsi="Garamond"/>
        </w:rPr>
        <w:t xml:space="preserve">eighted </w:t>
      </w:r>
      <w:r w:rsidRPr="00C21080">
        <w:rPr>
          <w:rStyle w:val="Strong"/>
          <w:rFonts w:ascii="Garamond" w:eastAsiaTheme="minorEastAsia" w:hAnsi="Garamond"/>
        </w:rPr>
        <w:t>OLS &amp; GLS estimates for Income model</w:t>
      </w:r>
      <w:r w:rsidR="00D95F51">
        <w:rPr>
          <w:rStyle w:val="Strong"/>
          <w:rFonts w:ascii="Garamond" w:eastAsiaTheme="minorEastAsia" w:hAnsi="Garamond"/>
        </w:rPr>
        <w:t>: 2012 EU-SILC</w:t>
      </w:r>
    </w:p>
    <w:tbl>
      <w:tblPr>
        <w:tblW w:w="6960" w:type="dxa"/>
        <w:jc w:val="center"/>
        <w:tblLook w:val="04A0" w:firstRow="1" w:lastRow="0" w:firstColumn="1" w:lastColumn="0" w:noHBand="0" w:noVBand="1"/>
      </w:tblPr>
      <w:tblGrid>
        <w:gridCol w:w="4360"/>
        <w:gridCol w:w="1360"/>
        <w:gridCol w:w="1240"/>
      </w:tblGrid>
      <w:tr w:rsidR="00A16BA5" w:rsidRPr="00A16BA5" w:rsidTr="00A16BA5">
        <w:trPr>
          <w:trHeight w:val="315"/>
          <w:jc w:val="center"/>
        </w:trPr>
        <w:tc>
          <w:tcPr>
            <w:tcW w:w="4360" w:type="dxa"/>
            <w:tcBorders>
              <w:top w:val="single" w:sz="4" w:space="0" w:color="auto"/>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 </w:t>
            </w:r>
          </w:p>
        </w:tc>
        <w:tc>
          <w:tcPr>
            <w:tcW w:w="1360" w:type="dxa"/>
            <w:tcBorders>
              <w:top w:val="single" w:sz="8" w:space="0" w:color="auto"/>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Coeff. WOLS</w:t>
            </w:r>
          </w:p>
        </w:tc>
        <w:tc>
          <w:tcPr>
            <w:tcW w:w="1240" w:type="dxa"/>
            <w:tcBorders>
              <w:top w:val="single" w:sz="8" w:space="0" w:color="auto"/>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Coeff. GLS</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Intercept</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8.4124***</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8.5379***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children under 5</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-0.104***</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-0.0781***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children between 5 and 15</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-0.1322***</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-0.1294***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One child between 5 and 15</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-0.0795**</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-0.0834**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indiv. with lower secondary</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0.0433**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0.045**</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indiv. with primary</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0.2104***</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0.1671***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One individual with primary</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0.1113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0.0943</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One person with tertiary education</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0.1123***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0.0989***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Two people with tertiary education</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0.1207***</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0.1299***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1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0.8795***</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0.9324***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2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0.7396***</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0.8062***</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3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0.533***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0.5899***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4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0.3815***</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0.4271***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5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0.1972***</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0.2414***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6 member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0.1801***</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0.2069***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Nat. log Sq. M</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0.1091***</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0.0933***</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married ind. In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-0.1337***</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-0.134***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Proportion of dwellings built 1990-2000</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0.3398**</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0.3602**</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Proportion of dwellings with sewerage</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0.0967***</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0.0891***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Proportion of HH with pension income</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1.0688***</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0.994***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Municipal employment rates</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0.9721***</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0.9221***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 is a clerk</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-0.1071***</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-0.1107***</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 is elementary teacher</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0.0743*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0.0752**</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 is a manager</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-0.2233***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-0.224***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 is a professor</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-0.174***</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-0.1781***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 ind. is a technician</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-0.1427***</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-0.1298***</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Northwest × no lower education</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0.0966***</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0.074**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Northwest × 2p retired</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0.0101</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0.0251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Central East × lnM2</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0.1009**</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0.1074***</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Central East × 2p workers</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-0.0755*</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-0.0819**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Central Eastern</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-0.3389*</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-0.3659**</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Adriatic</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0.1142***</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0.1063***</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1 retiree</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0.2299***</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0.1921***</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2 retirees</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0.2733***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0.2303***</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 administrative workers</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0.085*</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0.0788**</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 public employees</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-0.1317***</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-0.1248***</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1p working in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0.5493***</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0.5428***</w:t>
            </w:r>
          </w:p>
        </w:tc>
      </w:tr>
      <w:tr w:rsidR="00A16BA5" w:rsidRPr="00A16BA5" w:rsidTr="00A16BA5">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2p working in HH</w:t>
            </w:r>
          </w:p>
        </w:tc>
        <w:tc>
          <w:tcPr>
            <w:tcW w:w="1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0.3499***</w:t>
            </w:r>
          </w:p>
        </w:tc>
        <w:tc>
          <w:tcPr>
            <w:tcW w:w="124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0.3463***</w:t>
            </w:r>
          </w:p>
        </w:tc>
      </w:tr>
      <w:tr w:rsidR="00A16BA5" w:rsidRPr="00A16BA5" w:rsidTr="00A16BA5">
        <w:trPr>
          <w:trHeight w:val="315"/>
          <w:jc w:val="center"/>
        </w:trPr>
        <w:tc>
          <w:tcPr>
            <w:tcW w:w="4360" w:type="dxa"/>
            <w:tcBorders>
              <w:top w:val="nil"/>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3p working in HH</w:t>
            </w:r>
          </w:p>
        </w:tc>
        <w:tc>
          <w:tcPr>
            <w:tcW w:w="1360" w:type="dxa"/>
            <w:tcBorders>
              <w:top w:val="nil"/>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0.1464***</w:t>
            </w:r>
          </w:p>
        </w:tc>
        <w:tc>
          <w:tcPr>
            <w:tcW w:w="1240" w:type="dxa"/>
            <w:tcBorders>
              <w:top w:val="nil"/>
              <w:left w:val="nil"/>
              <w:bottom w:val="single" w:sz="8"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sz w:val="20"/>
                <w:szCs w:val="20"/>
              </w:rPr>
            </w:pPr>
            <w:r w:rsidRPr="00A16BA5">
              <w:rPr>
                <w:rFonts w:ascii="Garamond" w:eastAsia="Times New Roman" w:hAnsi="Garamond" w:cs="Times New Roman"/>
                <w:sz w:val="20"/>
                <w:szCs w:val="20"/>
              </w:rPr>
              <w:t>0.1529***</w:t>
            </w:r>
          </w:p>
        </w:tc>
      </w:tr>
      <w:tr w:rsidR="00A16BA5" w:rsidRPr="00A16BA5" w:rsidTr="00A81189">
        <w:trPr>
          <w:trHeight w:val="300"/>
          <w:jc w:val="center"/>
        </w:trPr>
        <w:tc>
          <w:tcPr>
            <w:tcW w:w="4360" w:type="dxa"/>
            <w:tcBorders>
              <w:top w:val="nil"/>
              <w:left w:val="nil"/>
              <w:bottom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Adjusted R-squared</w:t>
            </w:r>
          </w:p>
        </w:tc>
        <w:tc>
          <w:tcPr>
            <w:tcW w:w="1360" w:type="dxa"/>
            <w:tcBorders>
              <w:top w:val="nil"/>
              <w:left w:val="nil"/>
              <w:bottom w:val="nil"/>
              <w:right w:val="nil"/>
            </w:tcBorders>
            <w:shd w:val="clear" w:color="000000" w:fill="FFFFFF"/>
            <w:noWrap/>
            <w:vAlign w:val="bottom"/>
            <w:hideMark/>
          </w:tcPr>
          <w:p w:rsidR="00A16BA5" w:rsidRPr="00A81189" w:rsidRDefault="00A16BA5" w:rsidP="00A81189">
            <w:pPr>
              <w:spacing w:after="0" w:line="240" w:lineRule="auto"/>
              <w:rPr>
                <w:rFonts w:ascii="Garamond" w:eastAsia="Times New Roman" w:hAnsi="Garamond" w:cs="Times New Roman"/>
                <w:color w:val="000000"/>
                <w:sz w:val="20"/>
                <w:szCs w:val="20"/>
              </w:rPr>
            </w:pPr>
            <w:r w:rsidRPr="00A81189">
              <w:rPr>
                <w:rFonts w:ascii="Garamond" w:eastAsia="Times New Roman" w:hAnsi="Garamond" w:cs="Times New Roman"/>
                <w:color w:val="000000"/>
                <w:sz w:val="20"/>
                <w:szCs w:val="20"/>
              </w:rPr>
              <w:t> </w:t>
            </w:r>
            <w:r w:rsidR="00A81189" w:rsidRPr="00A81189">
              <w:rPr>
                <w:rFonts w:ascii="Garamond" w:eastAsia="Times New Roman" w:hAnsi="Garamond" w:cs="Times New Roman"/>
                <w:color w:val="000000"/>
                <w:sz w:val="20"/>
                <w:szCs w:val="20"/>
              </w:rPr>
              <w:t>0.52</w:t>
            </w:r>
          </w:p>
        </w:tc>
        <w:tc>
          <w:tcPr>
            <w:tcW w:w="1240" w:type="dxa"/>
            <w:tcBorders>
              <w:top w:val="nil"/>
              <w:left w:val="nil"/>
              <w:bottom w:val="nil"/>
              <w:right w:val="nil"/>
            </w:tcBorders>
            <w:shd w:val="clear" w:color="000000" w:fill="FFFFFF"/>
            <w:noWrap/>
            <w:vAlign w:val="bottom"/>
          </w:tcPr>
          <w:p w:rsidR="00A16BA5" w:rsidRPr="00A81189" w:rsidRDefault="00A16BA5" w:rsidP="00A16BA5">
            <w:pPr>
              <w:spacing w:after="0" w:line="240" w:lineRule="auto"/>
              <w:rPr>
                <w:rFonts w:ascii="Garamond" w:eastAsia="Times New Roman" w:hAnsi="Garamond" w:cs="Times New Roman"/>
                <w:sz w:val="20"/>
                <w:szCs w:val="20"/>
              </w:rPr>
            </w:pPr>
          </w:p>
        </w:tc>
      </w:tr>
      <w:tr w:rsidR="00A16BA5" w:rsidRPr="00A16BA5" w:rsidTr="003559E8">
        <w:trPr>
          <w:trHeight w:val="300"/>
          <w:jc w:val="center"/>
        </w:trPr>
        <w:tc>
          <w:tcPr>
            <w:tcW w:w="4360" w:type="dxa"/>
            <w:tcBorders>
              <w:top w:val="nil"/>
              <w:left w:val="nil"/>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lastRenderedPageBreak/>
              <w:t xml:space="preserve">Ratio of variance of </w:t>
            </w:r>
            <w:r w:rsidRPr="00A16BA5">
              <w:rPr>
                <w:rFonts w:ascii="Times New Roman" w:eastAsia="Times New Roman" w:hAnsi="Times New Roman" w:cs="Times New Roman"/>
                <w:color w:val="000000"/>
                <w:sz w:val="20"/>
                <w:szCs w:val="20"/>
              </w:rPr>
              <w:t>η</w:t>
            </w:r>
            <w:r w:rsidRPr="00A16BA5">
              <w:rPr>
                <w:rFonts w:ascii="Garamond" w:eastAsia="Times New Roman" w:hAnsi="Garamond" w:cs="Times New Roman"/>
                <w:color w:val="000000"/>
                <w:sz w:val="20"/>
                <w:szCs w:val="20"/>
              </w:rPr>
              <w:t xml:space="preserve"> over Mean Sq. error</w:t>
            </w:r>
          </w:p>
        </w:tc>
        <w:tc>
          <w:tcPr>
            <w:tcW w:w="1360" w:type="dxa"/>
            <w:tcBorders>
              <w:top w:val="nil"/>
              <w:left w:val="nil"/>
              <w:right w:val="nil"/>
            </w:tcBorders>
            <w:shd w:val="clear" w:color="000000" w:fill="FFFFFF"/>
            <w:noWrap/>
            <w:vAlign w:val="bottom"/>
            <w:hideMark/>
          </w:tcPr>
          <w:p w:rsidR="00A16BA5" w:rsidRPr="00A81189" w:rsidRDefault="00A81189" w:rsidP="001911BF">
            <w:pPr>
              <w:spacing w:after="0" w:line="240" w:lineRule="auto"/>
              <w:rPr>
                <w:rFonts w:ascii="Garamond" w:eastAsia="Times New Roman" w:hAnsi="Garamond" w:cs="Times New Roman"/>
                <w:color w:val="000000"/>
                <w:sz w:val="20"/>
                <w:szCs w:val="20"/>
              </w:rPr>
            </w:pPr>
            <w:r w:rsidRPr="00A81189">
              <w:rPr>
                <w:rFonts w:ascii="Garamond" w:eastAsia="Times New Roman" w:hAnsi="Garamond" w:cs="Times New Roman"/>
                <w:color w:val="000000"/>
                <w:sz w:val="20"/>
                <w:szCs w:val="20"/>
              </w:rPr>
              <w:t>0.0</w:t>
            </w:r>
            <w:r w:rsidR="001911BF">
              <w:rPr>
                <w:rFonts w:ascii="Garamond" w:eastAsia="Times New Roman" w:hAnsi="Garamond" w:cs="Times New Roman"/>
                <w:color w:val="000000"/>
                <w:sz w:val="20"/>
                <w:szCs w:val="20"/>
              </w:rPr>
              <w:t>35</w:t>
            </w:r>
            <w:r w:rsidR="00A16BA5" w:rsidRPr="00A81189">
              <w:rPr>
                <w:rFonts w:ascii="Garamond" w:eastAsia="Times New Roman" w:hAnsi="Garamond" w:cs="Times New Roman"/>
                <w:color w:val="000000"/>
                <w:sz w:val="20"/>
                <w:szCs w:val="20"/>
              </w:rPr>
              <w:t> </w:t>
            </w:r>
          </w:p>
        </w:tc>
        <w:tc>
          <w:tcPr>
            <w:tcW w:w="1240" w:type="dxa"/>
            <w:tcBorders>
              <w:top w:val="nil"/>
              <w:left w:val="nil"/>
              <w:right w:val="nil"/>
            </w:tcBorders>
            <w:shd w:val="clear" w:color="000000" w:fill="FFFFFF"/>
            <w:noWrap/>
            <w:vAlign w:val="bottom"/>
          </w:tcPr>
          <w:p w:rsidR="00A16BA5" w:rsidRPr="00A81189" w:rsidRDefault="00A16BA5" w:rsidP="00A16BA5">
            <w:pPr>
              <w:spacing w:after="0" w:line="240" w:lineRule="auto"/>
              <w:rPr>
                <w:rFonts w:ascii="Garamond" w:eastAsia="Times New Roman" w:hAnsi="Garamond" w:cs="Times New Roman"/>
                <w:sz w:val="20"/>
                <w:szCs w:val="20"/>
              </w:rPr>
            </w:pPr>
          </w:p>
        </w:tc>
      </w:tr>
      <w:tr w:rsidR="00A16BA5" w:rsidRPr="00A16BA5" w:rsidTr="003559E8">
        <w:trPr>
          <w:trHeight w:val="315"/>
          <w:jc w:val="center"/>
        </w:trPr>
        <w:tc>
          <w:tcPr>
            <w:tcW w:w="4360" w:type="dxa"/>
            <w:tcBorders>
              <w:top w:val="nil"/>
              <w:left w:val="nil"/>
              <w:bottom w:val="single" w:sz="4" w:space="0" w:color="auto"/>
              <w:right w:val="nil"/>
            </w:tcBorders>
            <w:shd w:val="clear" w:color="000000" w:fill="FFFFFF"/>
            <w:noWrap/>
            <w:vAlign w:val="bottom"/>
            <w:hideMark/>
          </w:tcPr>
          <w:p w:rsidR="00A16BA5" w:rsidRPr="00A16BA5" w:rsidRDefault="00A16BA5" w:rsidP="00A16BA5">
            <w:pPr>
              <w:spacing w:after="0" w:line="240" w:lineRule="auto"/>
              <w:rPr>
                <w:rFonts w:ascii="Garamond" w:eastAsia="Times New Roman" w:hAnsi="Garamond" w:cs="Times New Roman"/>
                <w:color w:val="000000"/>
                <w:sz w:val="20"/>
                <w:szCs w:val="20"/>
              </w:rPr>
            </w:pPr>
            <w:r w:rsidRPr="00A16BA5">
              <w:rPr>
                <w:rFonts w:ascii="Garamond" w:eastAsia="Times New Roman" w:hAnsi="Garamond" w:cs="Times New Roman"/>
                <w:color w:val="000000"/>
                <w:sz w:val="20"/>
                <w:szCs w:val="20"/>
              </w:rPr>
              <w:t>Number of observations</w:t>
            </w:r>
          </w:p>
        </w:tc>
        <w:tc>
          <w:tcPr>
            <w:tcW w:w="1360" w:type="dxa"/>
            <w:tcBorders>
              <w:top w:val="nil"/>
              <w:left w:val="nil"/>
              <w:bottom w:val="single" w:sz="4" w:space="0" w:color="auto"/>
              <w:right w:val="nil"/>
            </w:tcBorders>
            <w:shd w:val="clear" w:color="000000" w:fill="FFFFFF"/>
            <w:noWrap/>
            <w:vAlign w:val="bottom"/>
            <w:hideMark/>
          </w:tcPr>
          <w:p w:rsidR="00A16BA5" w:rsidRPr="00A81189" w:rsidRDefault="00A16BA5" w:rsidP="00A16BA5">
            <w:pPr>
              <w:spacing w:after="0" w:line="240" w:lineRule="auto"/>
              <w:rPr>
                <w:rFonts w:ascii="Garamond" w:eastAsia="Times New Roman" w:hAnsi="Garamond" w:cs="Times New Roman"/>
                <w:color w:val="000000"/>
                <w:sz w:val="20"/>
                <w:szCs w:val="20"/>
              </w:rPr>
            </w:pPr>
            <w:r w:rsidRPr="00A81189">
              <w:rPr>
                <w:rFonts w:ascii="Garamond" w:eastAsia="Times New Roman" w:hAnsi="Garamond" w:cs="Times New Roman"/>
                <w:color w:val="000000"/>
                <w:sz w:val="20"/>
                <w:szCs w:val="20"/>
              </w:rPr>
              <w:t>5</w:t>
            </w:r>
            <w:r w:rsidR="00EB3B2C" w:rsidRPr="00A81189">
              <w:rPr>
                <w:rFonts w:ascii="Garamond" w:eastAsia="Times New Roman" w:hAnsi="Garamond" w:cs="Times New Roman"/>
                <w:color w:val="000000"/>
                <w:sz w:val="20"/>
                <w:szCs w:val="20"/>
              </w:rPr>
              <w:t>,</w:t>
            </w:r>
            <w:r w:rsidRPr="00A81189">
              <w:rPr>
                <w:rFonts w:ascii="Garamond" w:eastAsia="Times New Roman" w:hAnsi="Garamond" w:cs="Times New Roman"/>
                <w:color w:val="000000"/>
                <w:sz w:val="20"/>
                <w:szCs w:val="20"/>
              </w:rPr>
              <w:t>618</w:t>
            </w:r>
          </w:p>
        </w:tc>
        <w:tc>
          <w:tcPr>
            <w:tcW w:w="1240" w:type="dxa"/>
            <w:tcBorders>
              <w:top w:val="nil"/>
              <w:left w:val="nil"/>
              <w:bottom w:val="single" w:sz="4" w:space="0" w:color="auto"/>
              <w:right w:val="nil"/>
            </w:tcBorders>
            <w:shd w:val="clear" w:color="000000" w:fill="FFFFFF"/>
            <w:noWrap/>
            <w:vAlign w:val="bottom"/>
            <w:hideMark/>
          </w:tcPr>
          <w:p w:rsidR="00A16BA5" w:rsidRPr="00A81189" w:rsidRDefault="00A16BA5" w:rsidP="00A16BA5">
            <w:pPr>
              <w:spacing w:after="0" w:line="240" w:lineRule="auto"/>
              <w:rPr>
                <w:rFonts w:ascii="Garamond" w:eastAsia="Times New Roman" w:hAnsi="Garamond" w:cs="Times New Roman"/>
                <w:sz w:val="20"/>
                <w:szCs w:val="20"/>
              </w:rPr>
            </w:pPr>
            <w:r w:rsidRPr="00A81189">
              <w:rPr>
                <w:rFonts w:ascii="Garamond" w:eastAsia="Times New Roman" w:hAnsi="Garamond" w:cs="Times New Roman"/>
                <w:sz w:val="20"/>
                <w:szCs w:val="20"/>
              </w:rPr>
              <w:t> 5</w:t>
            </w:r>
            <w:r w:rsidR="00EB3B2C" w:rsidRPr="00A81189">
              <w:rPr>
                <w:rFonts w:ascii="Garamond" w:eastAsia="Times New Roman" w:hAnsi="Garamond" w:cs="Times New Roman"/>
                <w:sz w:val="20"/>
                <w:szCs w:val="20"/>
              </w:rPr>
              <w:t>,</w:t>
            </w:r>
            <w:r w:rsidRPr="00A81189">
              <w:rPr>
                <w:rFonts w:ascii="Garamond" w:eastAsia="Times New Roman" w:hAnsi="Garamond" w:cs="Times New Roman"/>
                <w:sz w:val="20"/>
                <w:szCs w:val="20"/>
              </w:rPr>
              <w:t>618</w:t>
            </w:r>
          </w:p>
        </w:tc>
      </w:tr>
      <w:tr w:rsidR="003559E8" w:rsidRPr="00A16BA5" w:rsidTr="00A7792A">
        <w:trPr>
          <w:trHeight w:val="315"/>
          <w:jc w:val="center"/>
        </w:trPr>
        <w:tc>
          <w:tcPr>
            <w:tcW w:w="6960" w:type="dxa"/>
            <w:gridSpan w:val="3"/>
            <w:tcBorders>
              <w:top w:val="single" w:sz="4" w:space="0" w:color="auto"/>
              <w:left w:val="nil"/>
              <w:bottom w:val="single" w:sz="8" w:space="0" w:color="auto"/>
              <w:right w:val="nil"/>
            </w:tcBorders>
            <w:shd w:val="clear" w:color="000000" w:fill="FFFFFF"/>
            <w:noWrap/>
            <w:vAlign w:val="bottom"/>
          </w:tcPr>
          <w:p w:rsidR="003559E8" w:rsidRPr="00A81189" w:rsidRDefault="003559E8" w:rsidP="00A16BA5">
            <w:pPr>
              <w:spacing w:after="0" w:line="240" w:lineRule="auto"/>
              <w:rPr>
                <w:rFonts w:ascii="Garamond" w:eastAsia="Times New Roman" w:hAnsi="Garamond" w:cs="Times New Roman"/>
                <w:sz w:val="20"/>
                <w:szCs w:val="20"/>
              </w:rPr>
            </w:pPr>
            <w:r w:rsidRPr="00E5493B">
              <w:rPr>
                <w:rFonts w:ascii="Garamond" w:eastAsia="Times New Roman" w:hAnsi="Garamond" w:cs="Times New Roman"/>
                <w:color w:val="000000"/>
                <w:sz w:val="18"/>
                <w:szCs w:val="18"/>
              </w:rPr>
              <w:t>*, **, *** significant at the 10, 5, 1 percent level respectively</w:t>
            </w:r>
            <w:r>
              <w:rPr>
                <w:rFonts w:ascii="Garamond" w:eastAsia="Times New Roman" w:hAnsi="Garamond" w:cs="Times New Roman"/>
                <w:color w:val="000000"/>
                <w:sz w:val="18"/>
                <w:szCs w:val="18"/>
              </w:rPr>
              <w:t>. All households which have inconsistent labor information are removed.</w:t>
            </w:r>
          </w:p>
        </w:tc>
      </w:tr>
    </w:tbl>
    <w:p w:rsidR="00C21080" w:rsidRPr="00C21080" w:rsidRDefault="00C21080" w:rsidP="00C21080">
      <w:pPr>
        <w:keepNext/>
        <w:spacing w:line="360" w:lineRule="auto"/>
        <w:jc w:val="center"/>
        <w:rPr>
          <w:rStyle w:val="Strong"/>
          <w:rFonts w:ascii="Garamond" w:eastAsiaTheme="minorEastAsia" w:hAnsi="Garamond"/>
        </w:rPr>
      </w:pPr>
    </w:p>
    <w:p w:rsidR="00C21080" w:rsidRDefault="00EB027C" w:rsidP="00465AB0">
      <w:pPr>
        <w:spacing w:line="360" w:lineRule="auto"/>
        <w:jc w:val="both"/>
        <w:rPr>
          <w:rStyle w:val="Strong"/>
          <w:rFonts w:ascii="Garamond" w:eastAsiaTheme="minorEastAsia" w:hAnsi="Garamond"/>
          <w:b w:val="0"/>
          <w:bCs w:val="0"/>
        </w:rPr>
      </w:pPr>
      <w:r>
        <w:rPr>
          <w:rStyle w:val="Strong"/>
          <w:rFonts w:ascii="Garamond" w:hAnsi="Garamond"/>
          <w:b w:val="0"/>
        </w:rPr>
        <w:t xml:space="preserve">As </w:t>
      </w:r>
      <w:r w:rsidR="007141A9">
        <w:rPr>
          <w:rStyle w:val="Strong"/>
          <w:rFonts w:ascii="Garamond" w:hAnsi="Garamond"/>
          <w:b w:val="0"/>
        </w:rPr>
        <w:t>noted</w:t>
      </w:r>
      <w:r>
        <w:rPr>
          <w:rStyle w:val="Strong"/>
          <w:rFonts w:ascii="Garamond" w:hAnsi="Garamond"/>
          <w:b w:val="0"/>
        </w:rPr>
        <w:t xml:space="preserve"> in </w:t>
      </w:r>
      <w:r w:rsidR="007141A9">
        <w:rPr>
          <w:rStyle w:val="Strong"/>
          <w:rFonts w:ascii="Garamond" w:hAnsi="Garamond"/>
          <w:b w:val="0"/>
        </w:rPr>
        <w:t xml:space="preserve">section 2, it is likely that income levels within a location are highly correlated </w:t>
      </w:r>
      <w:r w:rsidR="007F34A6">
        <w:rPr>
          <w:rStyle w:val="Strong"/>
          <w:rFonts w:ascii="Garamond" w:hAnsi="Garamond"/>
          <w:b w:val="0"/>
        </w:rPr>
        <w:t>and as a consequence</w:t>
      </w:r>
      <m:oMath>
        <m:r>
          <w:rPr>
            <w:rStyle w:val="Strong"/>
            <w:rFonts w:ascii="Cambria Math" w:hAnsi="Cambria Math"/>
          </w:rPr>
          <m:t xml:space="preserve">   E[</m:t>
        </m:r>
        <m:sSub>
          <m:sSubPr>
            <m:ctrlPr>
              <w:rPr>
                <w:rStyle w:val="Strong"/>
                <w:rFonts w:ascii="Cambria Math" w:hAnsi="Cambria Math"/>
                <w:b w:val="0"/>
                <w:bCs w:val="0"/>
                <w:i/>
              </w:rPr>
            </m:ctrlPr>
          </m:sSubPr>
          <m:e>
            <m:r>
              <w:rPr>
                <w:rStyle w:val="Strong"/>
                <w:rFonts w:ascii="Cambria Math" w:hAnsi="Cambria Math"/>
              </w:rPr>
              <m:t>u</m:t>
            </m:r>
          </m:e>
          <m:sub>
            <m:r>
              <w:rPr>
                <w:rStyle w:val="Strong"/>
                <w:rFonts w:ascii="Cambria Math" w:hAnsi="Cambria Math"/>
              </w:rPr>
              <m:t>ch</m:t>
            </m:r>
          </m:sub>
        </m:sSub>
        <m:sSub>
          <m:sSubPr>
            <m:ctrlPr>
              <w:rPr>
                <w:rStyle w:val="Strong"/>
                <w:rFonts w:ascii="Cambria Math" w:hAnsi="Cambria Math"/>
                <w:b w:val="0"/>
                <w:bCs w:val="0"/>
                <w:i/>
              </w:rPr>
            </m:ctrlPr>
          </m:sSubPr>
          <m:e>
            <m:r>
              <w:rPr>
                <w:rStyle w:val="Strong"/>
                <w:rFonts w:ascii="Cambria Math" w:hAnsi="Cambria Math"/>
              </w:rPr>
              <m:t>u</m:t>
            </m:r>
          </m:e>
          <m:sub>
            <m:r>
              <w:rPr>
                <w:rStyle w:val="Strong"/>
                <w:rFonts w:ascii="Cambria Math" w:hAnsi="Cambria Math"/>
              </w:rPr>
              <m:t>ci</m:t>
            </m:r>
          </m:sub>
        </m:sSub>
        <m:r>
          <w:rPr>
            <w:rStyle w:val="Strong"/>
            <w:rFonts w:ascii="Cambria Math" w:hAnsi="Cambria Math"/>
          </w:rPr>
          <m:t>|X]≠0</m:t>
        </m:r>
      </m:oMath>
      <w:r w:rsidR="007F34A6">
        <w:rPr>
          <w:rStyle w:val="Strong"/>
          <w:rFonts w:ascii="Garamond" w:eastAsiaTheme="minorEastAsia" w:hAnsi="Garamond"/>
          <w:b w:val="0"/>
          <w:bCs w:val="0"/>
        </w:rPr>
        <w:t>. Additionally, error terms will likely have differing variances across observations (</w:t>
      </w:r>
      <m:oMath>
        <m:r>
          <w:rPr>
            <w:rStyle w:val="Strong"/>
            <w:rFonts w:ascii="Cambria Math" w:eastAsiaTheme="minorEastAsia" w:hAnsi="Cambria Math"/>
          </w:rPr>
          <m:t>E[</m:t>
        </m:r>
        <m:sSubSup>
          <m:sSubSupPr>
            <m:ctrlPr>
              <w:rPr>
                <w:rStyle w:val="Strong"/>
                <w:rFonts w:ascii="Cambria Math" w:eastAsiaTheme="minorEastAsia" w:hAnsi="Cambria Math"/>
                <w:b w:val="0"/>
                <w:bCs w:val="0"/>
                <w:i/>
              </w:rPr>
            </m:ctrlPr>
          </m:sSubSupPr>
          <m:e>
            <m:r>
              <w:rPr>
                <w:rStyle w:val="Strong"/>
                <w:rFonts w:ascii="Cambria Math" w:eastAsiaTheme="minorEastAsia" w:hAnsi="Cambria Math"/>
              </w:rPr>
              <m:t>u</m:t>
            </m:r>
          </m:e>
          <m:sub>
            <m:r>
              <w:rPr>
                <w:rStyle w:val="Strong"/>
                <w:rFonts w:ascii="Cambria Math" w:eastAsiaTheme="minorEastAsia" w:hAnsi="Cambria Math"/>
              </w:rPr>
              <m:t>ch</m:t>
            </m:r>
          </m:sub>
          <m:sup>
            <m:r>
              <w:rPr>
                <w:rStyle w:val="Strong"/>
                <w:rFonts w:ascii="Cambria Math" w:eastAsiaTheme="minorEastAsia" w:hAnsi="Cambria Math"/>
              </w:rPr>
              <m:t>2</m:t>
            </m:r>
          </m:sup>
        </m:sSubSup>
        <m:r>
          <w:rPr>
            <w:rStyle w:val="Strong"/>
            <w:rFonts w:ascii="Cambria Math" w:eastAsiaTheme="minorEastAsia" w:hAnsi="Cambria Math"/>
          </w:rPr>
          <m:t>|X]≠</m:t>
        </m:r>
        <m:sSup>
          <m:sSupPr>
            <m:ctrlPr>
              <w:rPr>
                <w:rStyle w:val="Strong"/>
                <w:rFonts w:ascii="Cambria Math" w:eastAsiaTheme="minorEastAsia" w:hAnsi="Cambria Math"/>
                <w:b w:val="0"/>
                <w:bCs w:val="0"/>
                <w:i/>
              </w:rPr>
            </m:ctrlPr>
          </m:sSupPr>
          <m:e>
            <m:r>
              <w:rPr>
                <w:rStyle w:val="Strong"/>
                <w:rFonts w:ascii="Cambria Math" w:eastAsiaTheme="minorEastAsia" w:hAnsi="Cambria Math"/>
              </w:rPr>
              <m:t>σ</m:t>
            </m:r>
          </m:e>
          <m:sup>
            <m:r>
              <w:rPr>
                <w:rStyle w:val="Strong"/>
                <w:rFonts w:ascii="Cambria Math" w:eastAsiaTheme="minorEastAsia" w:hAnsi="Cambria Math"/>
              </w:rPr>
              <m:t>2</m:t>
            </m:r>
          </m:sup>
        </m:sSup>
      </m:oMath>
      <w:r w:rsidR="007F34A6">
        <w:rPr>
          <w:rStyle w:val="Strong"/>
          <w:rFonts w:ascii="Garamond" w:eastAsiaTheme="minorEastAsia" w:hAnsi="Garamond"/>
          <w:b w:val="0"/>
          <w:bCs w:val="0"/>
        </w:rPr>
        <w:t>)</w:t>
      </w:r>
      <w:r w:rsidR="00DD2FBD">
        <w:rPr>
          <w:rStyle w:val="Strong"/>
          <w:rFonts w:ascii="Garamond" w:eastAsiaTheme="minorEastAsia" w:hAnsi="Garamond"/>
          <w:b w:val="0"/>
          <w:bCs w:val="0"/>
        </w:rPr>
        <w:t>. Due to these issues the model is re-estimated using Generalized Least Squares (GLS).</w:t>
      </w:r>
      <w:r w:rsidR="00095E46">
        <w:rPr>
          <w:rStyle w:val="Strong"/>
          <w:rFonts w:ascii="Garamond" w:eastAsiaTheme="minorEastAsia" w:hAnsi="Garamond"/>
          <w:b w:val="0"/>
          <w:bCs w:val="0"/>
        </w:rPr>
        <w:t xml:space="preserve"> </w:t>
      </w:r>
      <w:r w:rsidR="00C21080">
        <w:rPr>
          <w:rStyle w:val="Strong"/>
          <w:rFonts w:ascii="Garamond" w:eastAsiaTheme="minorEastAsia" w:hAnsi="Garamond"/>
          <w:b w:val="0"/>
          <w:bCs w:val="0"/>
        </w:rPr>
        <w:t>The results for the GLS fitted model are presented in column 2 of Table 2.</w:t>
      </w:r>
      <w:r w:rsidR="005845CF">
        <w:rPr>
          <w:rStyle w:val="FootnoteReference"/>
          <w:rFonts w:ascii="Garamond" w:eastAsiaTheme="minorEastAsia" w:hAnsi="Garamond"/>
        </w:rPr>
        <w:footnoteReference w:id="16"/>
      </w:r>
    </w:p>
    <w:p w:rsidR="00E478F9" w:rsidRDefault="005D3BFC" w:rsidP="00465AB0">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 xml:space="preserve">Equivalized income is positively correlated to household size. The omitted group is households with 7 or more individuals. Furthermore, equivalized income is negatively correlated to the absence of children in the household. Under the modified </w:t>
      </w:r>
      <w:r w:rsidR="00E478F9">
        <w:rPr>
          <w:rStyle w:val="Strong"/>
          <w:rFonts w:ascii="Garamond" w:eastAsiaTheme="minorEastAsia" w:hAnsi="Garamond"/>
          <w:b w:val="0"/>
          <w:bCs w:val="0"/>
        </w:rPr>
        <w:t xml:space="preserve">OECD scale, when comparing two households with equal household income, the household with lower adult equivalents will have greater adult equivalized income. Thus, all else equal, a household with 2 adults and a child will have greater adult equivalized income than one with 3 adults. </w:t>
      </w:r>
      <w:r w:rsidR="00F255A6">
        <w:rPr>
          <w:rStyle w:val="Strong"/>
          <w:rFonts w:ascii="Garamond" w:eastAsiaTheme="minorEastAsia" w:hAnsi="Garamond"/>
          <w:b w:val="0"/>
          <w:bCs w:val="0"/>
        </w:rPr>
        <w:t xml:space="preserve">Households with retirees also have greater equivalized incomes, this is </w:t>
      </w:r>
      <w:r w:rsidR="002658BE">
        <w:rPr>
          <w:rStyle w:val="Strong"/>
          <w:rFonts w:ascii="Garamond" w:eastAsiaTheme="minorEastAsia" w:hAnsi="Garamond"/>
          <w:b w:val="0"/>
          <w:bCs w:val="0"/>
        </w:rPr>
        <w:t>most likely</w:t>
      </w:r>
      <w:r w:rsidR="00F255A6">
        <w:rPr>
          <w:rStyle w:val="Strong"/>
          <w:rFonts w:ascii="Garamond" w:eastAsiaTheme="minorEastAsia" w:hAnsi="Garamond"/>
          <w:b w:val="0"/>
          <w:bCs w:val="0"/>
        </w:rPr>
        <w:t xml:space="preserve"> due to pensions being received</w:t>
      </w:r>
      <w:r w:rsidR="002658BE">
        <w:rPr>
          <w:rStyle w:val="Strong"/>
          <w:rFonts w:ascii="Garamond" w:eastAsiaTheme="minorEastAsia" w:hAnsi="Garamond"/>
          <w:b w:val="0"/>
          <w:bCs w:val="0"/>
        </w:rPr>
        <w:t xml:space="preserve"> by these individuals</w:t>
      </w:r>
      <w:r w:rsidR="00F255A6">
        <w:rPr>
          <w:rStyle w:val="Strong"/>
          <w:rFonts w:ascii="Garamond" w:eastAsiaTheme="minorEastAsia" w:hAnsi="Garamond"/>
          <w:b w:val="0"/>
          <w:bCs w:val="0"/>
        </w:rPr>
        <w:t>.</w:t>
      </w:r>
      <w:r w:rsidR="002658BE">
        <w:rPr>
          <w:rStyle w:val="Strong"/>
          <w:rFonts w:ascii="Garamond" w:eastAsiaTheme="minorEastAsia" w:hAnsi="Garamond"/>
          <w:b w:val="0"/>
          <w:bCs w:val="0"/>
        </w:rPr>
        <w:t xml:space="preserve"> After labor the most important source of labor income in Croatia is pension income.</w:t>
      </w:r>
    </w:p>
    <w:p w:rsidR="005845CF" w:rsidRDefault="00E478F9" w:rsidP="00465AB0">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 xml:space="preserve">Education is also </w:t>
      </w:r>
      <w:r w:rsidR="00F255A6">
        <w:rPr>
          <w:rStyle w:val="Strong"/>
          <w:rFonts w:ascii="Garamond" w:eastAsiaTheme="minorEastAsia" w:hAnsi="Garamond"/>
          <w:b w:val="0"/>
          <w:bCs w:val="0"/>
        </w:rPr>
        <w:t>strongly correlated to equivalized income, households with members who have tertiary education have on average greater equivalized incomes. Also correlated to income is the presence of working members and most of the labor variables included are significantly correlated to equivalized income. Among these</w:t>
      </w:r>
      <w:r w:rsidR="00DB7F41">
        <w:rPr>
          <w:rStyle w:val="Strong"/>
          <w:rFonts w:ascii="Garamond" w:eastAsiaTheme="minorEastAsia" w:hAnsi="Garamond"/>
          <w:b w:val="0"/>
          <w:bCs w:val="0"/>
        </w:rPr>
        <w:t xml:space="preserve"> variables</w:t>
      </w:r>
      <w:r w:rsidR="002658BE">
        <w:rPr>
          <w:rStyle w:val="Strong"/>
          <w:rFonts w:ascii="Garamond" w:eastAsiaTheme="minorEastAsia" w:hAnsi="Garamond"/>
          <w:b w:val="0"/>
          <w:bCs w:val="0"/>
        </w:rPr>
        <w:t>,</w:t>
      </w:r>
      <w:r w:rsidR="00F255A6">
        <w:rPr>
          <w:rStyle w:val="Strong"/>
          <w:rFonts w:ascii="Garamond" w:eastAsiaTheme="minorEastAsia" w:hAnsi="Garamond"/>
          <w:b w:val="0"/>
          <w:bCs w:val="0"/>
        </w:rPr>
        <w:t xml:space="preserve"> the presence of working members </w:t>
      </w:r>
      <w:r w:rsidR="002658BE">
        <w:rPr>
          <w:rStyle w:val="Strong"/>
          <w:rFonts w:ascii="Garamond" w:eastAsiaTheme="minorEastAsia" w:hAnsi="Garamond"/>
          <w:b w:val="0"/>
          <w:bCs w:val="0"/>
        </w:rPr>
        <w:t xml:space="preserve">have the greatest coefficients. </w:t>
      </w:r>
    </w:p>
    <w:p w:rsidR="00372DBB" w:rsidRDefault="00372DBB" w:rsidP="00465AB0">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 xml:space="preserve">Location, and location variable means are also correlated to equivalized income. </w:t>
      </w:r>
      <w:r w:rsidR="004C2979">
        <w:rPr>
          <w:rStyle w:val="Strong"/>
          <w:rFonts w:ascii="Garamond" w:eastAsiaTheme="minorEastAsia" w:hAnsi="Garamond"/>
          <w:b w:val="0"/>
          <w:bCs w:val="0"/>
        </w:rPr>
        <w:t>Adult equivalized income</w:t>
      </w:r>
      <w:r w:rsidR="00A81189">
        <w:rPr>
          <w:rStyle w:val="Strong"/>
          <w:rFonts w:ascii="Garamond" w:eastAsiaTheme="minorEastAsia" w:hAnsi="Garamond"/>
          <w:b w:val="0"/>
          <w:bCs w:val="0"/>
        </w:rPr>
        <w:t xml:space="preserve"> </w:t>
      </w:r>
      <w:r w:rsidR="004C2979">
        <w:rPr>
          <w:rStyle w:val="Strong"/>
          <w:rFonts w:ascii="Garamond" w:eastAsiaTheme="minorEastAsia" w:hAnsi="Garamond"/>
          <w:b w:val="0"/>
          <w:bCs w:val="0"/>
        </w:rPr>
        <w:t>is negatively correlated to being located in</w:t>
      </w:r>
      <w:r w:rsidR="001C09CF">
        <w:rPr>
          <w:rStyle w:val="Strong"/>
          <w:rFonts w:ascii="Garamond" w:eastAsiaTheme="minorEastAsia" w:hAnsi="Garamond"/>
          <w:b w:val="0"/>
          <w:bCs w:val="0"/>
        </w:rPr>
        <w:t xml:space="preserve"> </w:t>
      </w:r>
      <w:r w:rsidR="004C2979">
        <w:rPr>
          <w:rStyle w:val="Strong"/>
          <w:rFonts w:ascii="Garamond" w:eastAsiaTheme="minorEastAsia" w:hAnsi="Garamond"/>
          <w:b w:val="0"/>
          <w:bCs w:val="0"/>
        </w:rPr>
        <w:t xml:space="preserve">Central and Eastern Croatia as opposed to being in the Northwest. On the other hand residing in the Adriatic is positively and significantly correlated to adult equivalized income. In addition, equivalized income is positive and significantly correlated to </w:t>
      </w:r>
      <w:r w:rsidR="00491674">
        <w:rPr>
          <w:rStyle w:val="Strong"/>
          <w:rFonts w:ascii="Garamond" w:eastAsiaTheme="minorEastAsia" w:hAnsi="Garamond"/>
          <w:b w:val="0"/>
          <w:bCs w:val="0"/>
        </w:rPr>
        <w:t>localities</w:t>
      </w:r>
      <w:r w:rsidR="004C2979">
        <w:rPr>
          <w:rStyle w:val="Strong"/>
          <w:rFonts w:ascii="Garamond" w:eastAsiaTheme="minorEastAsia" w:hAnsi="Garamond"/>
          <w:b w:val="0"/>
          <w:bCs w:val="0"/>
        </w:rPr>
        <w:t xml:space="preserve"> with higher shares of households with pension incomes, households with sewerage, and dwellings built between 1990 and 2000.</w:t>
      </w:r>
    </w:p>
    <w:p w:rsidR="000F469C" w:rsidRDefault="000F469C" w:rsidP="000F469C">
      <w:pPr>
        <w:pStyle w:val="Heading1"/>
        <w:numPr>
          <w:ilvl w:val="0"/>
          <w:numId w:val="0"/>
        </w:numPr>
        <w:ind w:left="432"/>
        <w:rPr>
          <w:rStyle w:val="Strong"/>
          <w:rFonts w:ascii="Garamond" w:hAnsi="Garamond"/>
        </w:rPr>
      </w:pPr>
    </w:p>
    <w:p w:rsidR="000F469C" w:rsidRPr="000F469C" w:rsidRDefault="000F469C" w:rsidP="000F469C"/>
    <w:p w:rsidR="00465AB0" w:rsidRDefault="00465AB0" w:rsidP="005B028C">
      <w:pPr>
        <w:pStyle w:val="Heading1"/>
        <w:rPr>
          <w:rStyle w:val="Strong"/>
          <w:rFonts w:ascii="Garamond" w:hAnsi="Garamond"/>
        </w:rPr>
      </w:pPr>
      <w:r>
        <w:rPr>
          <w:rStyle w:val="Strong"/>
          <w:rFonts w:ascii="Garamond" w:hAnsi="Garamond"/>
        </w:rPr>
        <w:lastRenderedPageBreak/>
        <w:t>Poverty results</w:t>
      </w:r>
    </w:p>
    <w:p w:rsidR="00FF3E27" w:rsidRPr="00FF3E27" w:rsidRDefault="00FF3E27" w:rsidP="00FF3E27"/>
    <w:p w:rsidR="004C2979" w:rsidRDefault="00A977FD" w:rsidP="00465AB0">
      <w:pPr>
        <w:spacing w:line="360" w:lineRule="auto"/>
        <w:jc w:val="both"/>
        <w:rPr>
          <w:rStyle w:val="Strong"/>
          <w:rFonts w:ascii="Garamond" w:eastAsiaTheme="minorEastAsia" w:hAnsi="Garamond"/>
          <w:b w:val="0"/>
          <w:bCs w:val="0"/>
        </w:rPr>
      </w:pPr>
      <w:r>
        <w:rPr>
          <w:rStyle w:val="Strong"/>
          <w:rFonts w:ascii="Garamond" w:hAnsi="Garamond"/>
          <w:b w:val="0"/>
        </w:rPr>
        <w:t>The coefficients estimated in the previous section provide the necessary inputs in order to estimate the first part of equation 4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ch</m:t>
            </m:r>
          </m:sub>
        </m:sSub>
        <m:acc>
          <m:accPr>
            <m:ctrlPr>
              <w:rPr>
                <w:rFonts w:ascii="Cambria Math" w:eastAsiaTheme="minorEastAsia" w:hAnsi="Cambria Math"/>
                <w:i/>
              </w:rPr>
            </m:ctrlPr>
          </m:accPr>
          <m:e>
            <m:r>
              <w:rPr>
                <w:rFonts w:ascii="Cambria Math" w:eastAsiaTheme="minorEastAsia" w:hAnsi="Cambria Math"/>
              </w:rPr>
              <m:t>β</m:t>
            </m:r>
          </m:e>
        </m:acc>
        <m:r>
          <w:rPr>
            <w:rStyle w:val="Strong"/>
            <w:rFonts w:ascii="Cambria Math" w:hAnsi="Cambria Math"/>
          </w:rPr>
          <m:t>)</m:t>
        </m:r>
      </m:oMath>
      <w:r>
        <w:rPr>
          <w:rStyle w:val="Strong"/>
          <w:rFonts w:ascii="Garamond" w:eastAsiaTheme="minorEastAsia" w:hAnsi="Garamond"/>
          <w:b w:val="0"/>
          <w:bCs w:val="0"/>
        </w:rPr>
        <w:t xml:space="preserve"> by combining coefficients with the Census variables. The vectors of disturbances for households are unknown, and must be estimated. As mentioned before, the error component is decomposed using Henderson’s method III, and the coefficients, </w:t>
      </w:r>
      <m:oMath>
        <m:r>
          <w:rPr>
            <w:rStyle w:val="Strong"/>
            <w:rFonts w:ascii="Cambria Math" w:eastAsiaTheme="minorEastAsia" w:hAnsi="Cambria Math"/>
          </w:rPr>
          <m:t>β</m:t>
        </m:r>
      </m:oMath>
      <w:r>
        <w:rPr>
          <w:rStyle w:val="Strong"/>
          <w:rFonts w:ascii="Garamond" w:eastAsiaTheme="minorEastAsia" w:hAnsi="Garamond"/>
          <w:b w:val="0"/>
          <w:bCs w:val="0"/>
        </w:rPr>
        <w:t xml:space="preserve">, are obtained by bootstrapped samples of the EU-SILC data. The model chosen is where </w:t>
      </w:r>
      <m:oMath>
        <m:r>
          <w:rPr>
            <w:rStyle w:val="Strong"/>
            <w:rFonts w:ascii="Cambria Math" w:eastAsiaTheme="minorEastAsia" w:hAnsi="Cambria Math"/>
          </w:rPr>
          <m:t>η</m:t>
        </m:r>
      </m:oMath>
      <w:r w:rsidR="00636C01">
        <w:rPr>
          <w:rStyle w:val="Strong"/>
          <w:rFonts w:ascii="Garamond" w:eastAsiaTheme="minorEastAsia" w:hAnsi="Garamond"/>
          <w:b w:val="0"/>
          <w:bCs w:val="0"/>
        </w:rPr>
        <w:t xml:space="preserve"> and </w:t>
      </w:r>
      <m:oMath>
        <m:r>
          <w:rPr>
            <w:rStyle w:val="Strong"/>
            <w:rFonts w:ascii="Cambria Math" w:eastAsiaTheme="minorEastAsia" w:hAnsi="Cambria Math"/>
          </w:rPr>
          <m:t xml:space="preserve">ε </m:t>
        </m:r>
      </m:oMath>
      <w:r w:rsidR="00636C01">
        <w:rPr>
          <w:rStyle w:val="Strong"/>
          <w:rFonts w:ascii="Garamond" w:eastAsiaTheme="minorEastAsia" w:hAnsi="Garamond"/>
          <w:b w:val="0"/>
          <w:bCs w:val="0"/>
        </w:rPr>
        <w:t xml:space="preserve"> are drawn from a normal distribution, with their respective variance structures. Finally, empirical best methods are chosen since these incorporate more information and are thus expected to provide a better fit.</w:t>
      </w:r>
    </w:p>
    <w:p w:rsidR="00BB0752" w:rsidRDefault="00636C01" w:rsidP="00CE787A">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The clustering used for estimations is at the municipal</w:t>
      </w:r>
      <w:r w:rsidR="0031611D">
        <w:rPr>
          <w:rStyle w:val="Strong"/>
          <w:rFonts w:ascii="Garamond" w:eastAsiaTheme="minorEastAsia" w:hAnsi="Garamond"/>
          <w:b w:val="0"/>
          <w:bCs w:val="0"/>
        </w:rPr>
        <w:t>, city, and districts of Zagreb</w:t>
      </w:r>
      <w:r>
        <w:rPr>
          <w:rStyle w:val="Strong"/>
          <w:rFonts w:ascii="Garamond" w:eastAsiaTheme="minorEastAsia" w:hAnsi="Garamond"/>
          <w:b w:val="0"/>
          <w:bCs w:val="0"/>
        </w:rPr>
        <w:t xml:space="preserve"> level, the resulting poverty map </w:t>
      </w:r>
      <w:r w:rsidR="0053732B">
        <w:rPr>
          <w:rStyle w:val="Strong"/>
          <w:rFonts w:ascii="Garamond" w:eastAsiaTheme="minorEastAsia" w:hAnsi="Garamond"/>
          <w:b w:val="0"/>
          <w:bCs w:val="0"/>
        </w:rPr>
        <w:t>aggregated to the NUTS-3 level is presented in Figure 3 and at the municipal</w:t>
      </w:r>
      <w:r w:rsidR="0031611D">
        <w:rPr>
          <w:rStyle w:val="Strong"/>
          <w:rFonts w:ascii="Garamond" w:eastAsiaTheme="minorEastAsia" w:hAnsi="Garamond"/>
          <w:b w:val="0"/>
          <w:bCs w:val="0"/>
        </w:rPr>
        <w:t>, city, and districts of Zagreb</w:t>
      </w:r>
      <w:r w:rsidR="0053732B">
        <w:rPr>
          <w:rStyle w:val="Strong"/>
          <w:rFonts w:ascii="Garamond" w:eastAsiaTheme="minorEastAsia" w:hAnsi="Garamond"/>
          <w:b w:val="0"/>
          <w:bCs w:val="0"/>
        </w:rPr>
        <w:t xml:space="preserve"> level in Figure 4.</w:t>
      </w:r>
      <w:r>
        <w:rPr>
          <w:rStyle w:val="Strong"/>
          <w:rFonts w:ascii="Garamond" w:eastAsiaTheme="minorEastAsia" w:hAnsi="Garamond"/>
          <w:b w:val="0"/>
          <w:bCs w:val="0"/>
        </w:rPr>
        <w:t xml:space="preserve"> </w:t>
      </w:r>
      <w:r w:rsidR="00851477">
        <w:rPr>
          <w:rStyle w:val="Strong"/>
          <w:rFonts w:ascii="Garamond" w:eastAsiaTheme="minorEastAsia" w:hAnsi="Garamond"/>
          <w:b w:val="0"/>
          <w:bCs w:val="0"/>
        </w:rPr>
        <w:t>The r</w:t>
      </w:r>
      <w:r>
        <w:rPr>
          <w:rStyle w:val="Strong"/>
          <w:rFonts w:ascii="Garamond" w:eastAsiaTheme="minorEastAsia" w:hAnsi="Garamond"/>
          <w:b w:val="0"/>
          <w:bCs w:val="0"/>
        </w:rPr>
        <w:t xml:space="preserve">esulting poverty rates </w:t>
      </w:r>
      <w:r w:rsidR="00052A83">
        <w:rPr>
          <w:rStyle w:val="Strong"/>
          <w:rFonts w:ascii="Garamond" w:eastAsiaTheme="minorEastAsia" w:hAnsi="Garamond"/>
          <w:b w:val="0"/>
          <w:bCs w:val="0"/>
        </w:rPr>
        <w:t xml:space="preserve">used for validation of the small area estimation </w:t>
      </w:r>
      <w:r w:rsidR="00BB0752">
        <w:rPr>
          <w:rStyle w:val="Strong"/>
          <w:rFonts w:ascii="Garamond" w:eastAsiaTheme="minorEastAsia" w:hAnsi="Garamond"/>
          <w:b w:val="0"/>
          <w:bCs w:val="0"/>
        </w:rPr>
        <w:t>undertaken</w:t>
      </w:r>
      <w:r>
        <w:rPr>
          <w:rStyle w:val="Strong"/>
          <w:rFonts w:ascii="Garamond" w:eastAsiaTheme="minorEastAsia" w:hAnsi="Garamond"/>
          <w:b w:val="0"/>
          <w:bCs w:val="0"/>
        </w:rPr>
        <w:t xml:space="preserve"> are presented in Table 3. </w:t>
      </w:r>
      <w:r w:rsidR="00BB0752">
        <w:rPr>
          <w:rStyle w:val="Strong"/>
          <w:rFonts w:ascii="Garamond" w:eastAsiaTheme="minorEastAsia" w:hAnsi="Garamond"/>
          <w:b w:val="0"/>
          <w:bCs w:val="0"/>
        </w:rPr>
        <w:t xml:space="preserve">These compare the poverty rates obtained from the small area estimation to the direct estimates from the EU-SILC at the statistical area level. This provides support to the quality of the estimates obtained. </w:t>
      </w:r>
    </w:p>
    <w:p w:rsidR="00915A59" w:rsidRPr="001B437F" w:rsidRDefault="00915A59" w:rsidP="00915A59">
      <w:pPr>
        <w:spacing w:line="360" w:lineRule="auto"/>
        <w:jc w:val="center"/>
        <w:rPr>
          <w:rStyle w:val="Strong"/>
          <w:rFonts w:ascii="Garamond" w:eastAsiaTheme="minorEastAsia" w:hAnsi="Garamond"/>
          <w:bCs w:val="0"/>
        </w:rPr>
      </w:pPr>
      <w:r>
        <w:rPr>
          <w:rStyle w:val="Strong"/>
          <w:rFonts w:ascii="Garamond" w:eastAsiaTheme="minorEastAsia" w:hAnsi="Garamond"/>
          <w:bCs w:val="0"/>
        </w:rPr>
        <w:t xml:space="preserve">Table 3: Poverty rates from EU-SILC and from poverty map exercise </w:t>
      </w:r>
    </w:p>
    <w:tbl>
      <w:tblPr>
        <w:tblW w:w="8060" w:type="dxa"/>
        <w:jc w:val="center"/>
        <w:tblLook w:val="04A0" w:firstRow="1" w:lastRow="0" w:firstColumn="1" w:lastColumn="0" w:noHBand="0" w:noVBand="1"/>
      </w:tblPr>
      <w:tblGrid>
        <w:gridCol w:w="2300"/>
        <w:gridCol w:w="1235"/>
        <w:gridCol w:w="827"/>
        <w:gridCol w:w="827"/>
        <w:gridCol w:w="1217"/>
        <w:gridCol w:w="827"/>
        <w:gridCol w:w="827"/>
      </w:tblGrid>
      <w:tr w:rsidR="00915A59" w:rsidRPr="00ED67C1" w:rsidTr="005B09F9">
        <w:trPr>
          <w:trHeight w:val="315"/>
          <w:jc w:val="center"/>
        </w:trPr>
        <w:tc>
          <w:tcPr>
            <w:tcW w:w="2300" w:type="dxa"/>
            <w:vMerge w:val="restart"/>
            <w:tcBorders>
              <w:top w:val="single" w:sz="8" w:space="0" w:color="auto"/>
              <w:left w:val="nil"/>
              <w:bottom w:val="double" w:sz="6" w:space="0" w:color="000000"/>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Statistical region</w:t>
            </w:r>
          </w:p>
        </w:tc>
        <w:tc>
          <w:tcPr>
            <w:tcW w:w="5760" w:type="dxa"/>
            <w:gridSpan w:val="6"/>
            <w:tcBorders>
              <w:top w:val="single" w:sz="8" w:space="0" w:color="auto"/>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 xml:space="preserve">AROP EU-SILC </w:t>
            </w:r>
          </w:p>
        </w:tc>
      </w:tr>
      <w:tr w:rsidR="00915A59" w:rsidRPr="00ED67C1" w:rsidTr="005B09F9">
        <w:trPr>
          <w:trHeight w:val="315"/>
          <w:jc w:val="center"/>
        </w:trPr>
        <w:tc>
          <w:tcPr>
            <w:tcW w:w="2300" w:type="dxa"/>
            <w:vMerge/>
            <w:tcBorders>
              <w:top w:val="single" w:sz="8" w:space="0" w:color="auto"/>
              <w:left w:val="nil"/>
              <w:bottom w:val="double" w:sz="6" w:space="0" w:color="000000"/>
              <w:right w:val="nil"/>
            </w:tcBorders>
            <w:vAlign w:val="center"/>
            <w:hideMark/>
          </w:tcPr>
          <w:p w:rsidR="00915A59" w:rsidRPr="00ED67C1" w:rsidRDefault="00915A59" w:rsidP="005B09F9">
            <w:pPr>
              <w:spacing w:after="0" w:line="240" w:lineRule="auto"/>
              <w:rPr>
                <w:rFonts w:ascii="Garamond" w:eastAsia="Times New Roman" w:hAnsi="Garamond" w:cs="Times New Roman"/>
                <w:color w:val="000000"/>
              </w:rPr>
            </w:pPr>
          </w:p>
        </w:tc>
        <w:tc>
          <w:tcPr>
            <w:tcW w:w="1235" w:type="dxa"/>
            <w:tcBorders>
              <w:top w:val="nil"/>
              <w:left w:val="nil"/>
              <w:bottom w:val="double" w:sz="6"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EU-SILC</w:t>
            </w:r>
          </w:p>
        </w:tc>
        <w:tc>
          <w:tcPr>
            <w:tcW w:w="1654" w:type="dxa"/>
            <w:gridSpan w:val="2"/>
            <w:tcBorders>
              <w:top w:val="single" w:sz="8" w:space="0" w:color="auto"/>
              <w:left w:val="nil"/>
              <w:bottom w:val="double" w:sz="6"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95% CI</w:t>
            </w:r>
          </w:p>
        </w:tc>
        <w:tc>
          <w:tcPr>
            <w:tcW w:w="1217" w:type="dxa"/>
            <w:tcBorders>
              <w:top w:val="nil"/>
              <w:left w:val="nil"/>
              <w:bottom w:val="double" w:sz="6"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Predicted</w:t>
            </w:r>
          </w:p>
        </w:tc>
        <w:tc>
          <w:tcPr>
            <w:tcW w:w="1654" w:type="dxa"/>
            <w:gridSpan w:val="2"/>
            <w:tcBorders>
              <w:top w:val="single" w:sz="8" w:space="0" w:color="auto"/>
              <w:left w:val="nil"/>
              <w:bottom w:val="double" w:sz="6"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95% CI</w:t>
            </w:r>
          </w:p>
        </w:tc>
      </w:tr>
      <w:tr w:rsidR="00915A59" w:rsidRPr="00ED67C1" w:rsidTr="005B09F9">
        <w:trPr>
          <w:trHeight w:val="315"/>
          <w:jc w:val="center"/>
        </w:trPr>
        <w:tc>
          <w:tcPr>
            <w:tcW w:w="2300"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rPr>
                <w:rFonts w:ascii="Garamond" w:eastAsia="Times New Roman" w:hAnsi="Garamond" w:cs="Times New Roman"/>
                <w:color w:val="000000"/>
              </w:rPr>
            </w:pPr>
            <w:r w:rsidRPr="00ED67C1">
              <w:rPr>
                <w:rFonts w:ascii="Garamond" w:eastAsia="Times New Roman" w:hAnsi="Garamond" w:cs="Times New Roman"/>
                <w:color w:val="000000"/>
              </w:rPr>
              <w:t>Northwestern</w:t>
            </w:r>
          </w:p>
        </w:tc>
        <w:tc>
          <w:tcPr>
            <w:tcW w:w="1235" w:type="dxa"/>
            <w:tcBorders>
              <w:top w:val="nil"/>
              <w:left w:val="nil"/>
              <w:bottom w:val="nil"/>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16.7%</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13.6%</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20.4%</w:t>
            </w:r>
          </w:p>
        </w:tc>
        <w:tc>
          <w:tcPr>
            <w:tcW w:w="1217" w:type="dxa"/>
            <w:tcBorders>
              <w:top w:val="nil"/>
              <w:left w:val="nil"/>
              <w:bottom w:val="nil"/>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14.1%</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12.8%</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15.5%</w:t>
            </w:r>
          </w:p>
        </w:tc>
      </w:tr>
      <w:tr w:rsidR="00915A59" w:rsidRPr="00ED67C1" w:rsidTr="005B09F9">
        <w:trPr>
          <w:trHeight w:val="300"/>
          <w:jc w:val="center"/>
        </w:trPr>
        <w:tc>
          <w:tcPr>
            <w:tcW w:w="2300"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rPr>
                <w:rFonts w:ascii="Garamond" w:eastAsia="Times New Roman" w:hAnsi="Garamond" w:cs="Times New Roman"/>
                <w:color w:val="000000"/>
              </w:rPr>
            </w:pPr>
            <w:r w:rsidRPr="00ED67C1">
              <w:rPr>
                <w:rFonts w:ascii="Garamond" w:eastAsia="Times New Roman" w:hAnsi="Garamond" w:cs="Times New Roman"/>
                <w:color w:val="000000"/>
              </w:rPr>
              <w:t>Central &amp; Eastern</w:t>
            </w:r>
          </w:p>
        </w:tc>
        <w:tc>
          <w:tcPr>
            <w:tcW w:w="1235" w:type="dxa"/>
            <w:tcBorders>
              <w:top w:val="nil"/>
              <w:left w:val="nil"/>
              <w:bottom w:val="nil"/>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29.1%</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26.2%</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32.2%</w:t>
            </w:r>
          </w:p>
        </w:tc>
        <w:tc>
          <w:tcPr>
            <w:tcW w:w="1217" w:type="dxa"/>
            <w:tcBorders>
              <w:top w:val="nil"/>
              <w:left w:val="nil"/>
              <w:bottom w:val="nil"/>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28.0%</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25.7%</w:t>
            </w:r>
          </w:p>
        </w:tc>
        <w:tc>
          <w:tcPr>
            <w:tcW w:w="827" w:type="dxa"/>
            <w:tcBorders>
              <w:top w:val="nil"/>
              <w:left w:val="nil"/>
              <w:bottom w:val="nil"/>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30.2%</w:t>
            </w:r>
          </w:p>
        </w:tc>
      </w:tr>
      <w:tr w:rsidR="00915A59" w:rsidRPr="00ED67C1" w:rsidTr="005B09F9">
        <w:trPr>
          <w:trHeight w:val="315"/>
          <w:jc w:val="center"/>
        </w:trPr>
        <w:tc>
          <w:tcPr>
            <w:tcW w:w="2300"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rPr>
                <w:rFonts w:ascii="Garamond" w:eastAsia="Times New Roman" w:hAnsi="Garamond" w:cs="Times New Roman"/>
                <w:color w:val="000000"/>
              </w:rPr>
            </w:pPr>
            <w:r w:rsidRPr="00ED67C1">
              <w:rPr>
                <w:rFonts w:ascii="Garamond" w:eastAsia="Times New Roman" w:hAnsi="Garamond" w:cs="Times New Roman"/>
                <w:color w:val="000000"/>
              </w:rPr>
              <w:t>Adriatic</w:t>
            </w:r>
          </w:p>
        </w:tc>
        <w:tc>
          <w:tcPr>
            <w:tcW w:w="1235" w:type="dxa"/>
            <w:tcBorders>
              <w:top w:val="nil"/>
              <w:left w:val="nil"/>
              <w:bottom w:val="single" w:sz="8" w:space="0" w:color="auto"/>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17.0%</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14.0%</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20.6%</w:t>
            </w:r>
          </w:p>
        </w:tc>
        <w:tc>
          <w:tcPr>
            <w:tcW w:w="1217" w:type="dxa"/>
            <w:tcBorders>
              <w:top w:val="nil"/>
              <w:left w:val="nil"/>
              <w:bottom w:val="single" w:sz="8" w:space="0" w:color="auto"/>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17.4%</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15.8%</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19.1%</w:t>
            </w:r>
          </w:p>
        </w:tc>
      </w:tr>
      <w:tr w:rsidR="00915A59" w:rsidRPr="00ED67C1" w:rsidTr="005B09F9">
        <w:trPr>
          <w:trHeight w:val="315"/>
          <w:jc w:val="center"/>
        </w:trPr>
        <w:tc>
          <w:tcPr>
            <w:tcW w:w="2300"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rPr>
                <w:rFonts w:ascii="Garamond" w:eastAsia="Times New Roman" w:hAnsi="Garamond" w:cs="Times New Roman"/>
                <w:color w:val="000000"/>
              </w:rPr>
            </w:pPr>
            <w:r w:rsidRPr="00ED67C1">
              <w:rPr>
                <w:rFonts w:ascii="Garamond" w:eastAsia="Times New Roman" w:hAnsi="Garamond" w:cs="Times New Roman"/>
                <w:color w:val="000000"/>
              </w:rPr>
              <w:t>Total</w:t>
            </w:r>
          </w:p>
        </w:tc>
        <w:tc>
          <w:tcPr>
            <w:tcW w:w="1235" w:type="dxa"/>
            <w:tcBorders>
              <w:top w:val="nil"/>
              <w:left w:val="nil"/>
              <w:bottom w:val="single" w:sz="8" w:space="0" w:color="auto"/>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20.4%</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18.5%</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22.4%</w:t>
            </w:r>
          </w:p>
        </w:tc>
        <w:tc>
          <w:tcPr>
            <w:tcW w:w="1217" w:type="dxa"/>
            <w:tcBorders>
              <w:top w:val="nil"/>
              <w:left w:val="nil"/>
              <w:bottom w:val="single" w:sz="8" w:space="0" w:color="auto"/>
              <w:right w:val="nil"/>
            </w:tcBorders>
            <w:shd w:val="clear" w:color="000000" w:fill="FFFFFF"/>
            <w:noWrap/>
            <w:vAlign w:val="bottom"/>
            <w:hideMark/>
          </w:tcPr>
          <w:p w:rsidR="00915A59" w:rsidRPr="00ED67C1" w:rsidRDefault="00915A59" w:rsidP="005B09F9">
            <w:pPr>
              <w:spacing w:after="0" w:line="240" w:lineRule="auto"/>
              <w:jc w:val="center"/>
              <w:rPr>
                <w:rFonts w:ascii="Garamond" w:eastAsia="Times New Roman" w:hAnsi="Garamond" w:cs="Times New Roman"/>
                <w:b/>
                <w:bCs/>
                <w:color w:val="000000"/>
              </w:rPr>
            </w:pPr>
            <w:r w:rsidRPr="00ED67C1">
              <w:rPr>
                <w:rFonts w:ascii="Garamond" w:eastAsia="Times New Roman" w:hAnsi="Garamond" w:cs="Times New Roman"/>
                <w:b/>
                <w:bCs/>
                <w:color w:val="000000"/>
              </w:rPr>
              <w:t>19.2%</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18.0%</w:t>
            </w:r>
          </w:p>
        </w:tc>
        <w:tc>
          <w:tcPr>
            <w:tcW w:w="827" w:type="dxa"/>
            <w:tcBorders>
              <w:top w:val="nil"/>
              <w:left w:val="nil"/>
              <w:bottom w:val="single" w:sz="8" w:space="0" w:color="auto"/>
              <w:right w:val="nil"/>
            </w:tcBorders>
            <w:shd w:val="clear" w:color="000000" w:fill="FFFFFF"/>
            <w:noWrap/>
            <w:vAlign w:val="center"/>
            <w:hideMark/>
          </w:tcPr>
          <w:p w:rsidR="00915A59" w:rsidRPr="00ED67C1" w:rsidRDefault="00915A59" w:rsidP="005B09F9">
            <w:pPr>
              <w:spacing w:after="0" w:line="240" w:lineRule="auto"/>
              <w:jc w:val="center"/>
              <w:rPr>
                <w:rFonts w:ascii="Garamond" w:eastAsia="Times New Roman" w:hAnsi="Garamond" w:cs="Times New Roman"/>
                <w:color w:val="000000"/>
              </w:rPr>
            </w:pPr>
            <w:r w:rsidRPr="00ED67C1">
              <w:rPr>
                <w:rFonts w:ascii="Garamond" w:eastAsia="Times New Roman" w:hAnsi="Garamond" w:cs="Times New Roman"/>
                <w:color w:val="000000"/>
              </w:rPr>
              <w:t>20.4%</w:t>
            </w:r>
          </w:p>
        </w:tc>
      </w:tr>
      <w:tr w:rsidR="00915A59" w:rsidRPr="00ED67C1" w:rsidTr="005B09F9">
        <w:trPr>
          <w:trHeight w:val="300"/>
          <w:jc w:val="center"/>
        </w:trPr>
        <w:tc>
          <w:tcPr>
            <w:tcW w:w="8060" w:type="dxa"/>
            <w:gridSpan w:val="7"/>
            <w:tcBorders>
              <w:top w:val="single" w:sz="8" w:space="0" w:color="auto"/>
              <w:left w:val="nil"/>
              <w:bottom w:val="nil"/>
              <w:right w:val="nil"/>
            </w:tcBorders>
            <w:shd w:val="clear" w:color="auto" w:fill="auto"/>
            <w:noWrap/>
            <w:vAlign w:val="bottom"/>
            <w:hideMark/>
          </w:tcPr>
          <w:p w:rsidR="00915A59" w:rsidRPr="00ED67C1" w:rsidRDefault="00915A59" w:rsidP="005B09F9">
            <w:pPr>
              <w:spacing w:after="0" w:line="240" w:lineRule="auto"/>
              <w:rPr>
                <w:rFonts w:ascii="Garamond" w:eastAsia="Times New Roman" w:hAnsi="Garamond" w:cs="Times New Roman"/>
                <w:color w:val="000000"/>
                <w:sz w:val="20"/>
                <w:szCs w:val="20"/>
              </w:rPr>
            </w:pPr>
            <w:r w:rsidRPr="00ED67C1">
              <w:rPr>
                <w:rFonts w:ascii="Garamond" w:eastAsia="Times New Roman" w:hAnsi="Garamond" w:cs="Times New Roman"/>
                <w:color w:val="000000"/>
                <w:sz w:val="20"/>
                <w:szCs w:val="20"/>
              </w:rPr>
              <w:t>Note: Poverty line is at 24,000 HRK per adult equivalent</w:t>
            </w:r>
          </w:p>
        </w:tc>
      </w:tr>
    </w:tbl>
    <w:p w:rsidR="00915A59" w:rsidRDefault="00915A59" w:rsidP="00CE787A">
      <w:pPr>
        <w:spacing w:line="360" w:lineRule="auto"/>
        <w:jc w:val="both"/>
        <w:rPr>
          <w:rStyle w:val="Strong"/>
          <w:rFonts w:ascii="Garamond" w:eastAsiaTheme="minorEastAsia" w:hAnsi="Garamond"/>
          <w:b w:val="0"/>
          <w:bCs w:val="0"/>
        </w:rPr>
      </w:pPr>
    </w:p>
    <w:p w:rsidR="00BC20FE" w:rsidRDefault="00CC237C" w:rsidP="00CE787A">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 xml:space="preserve">Results at the NUTS-3 </w:t>
      </w:r>
      <w:r w:rsidR="00BB0752">
        <w:rPr>
          <w:rStyle w:val="Strong"/>
          <w:rFonts w:ascii="Garamond" w:eastAsiaTheme="minorEastAsia" w:hAnsi="Garamond"/>
          <w:b w:val="0"/>
          <w:bCs w:val="0"/>
        </w:rPr>
        <w:t xml:space="preserve">spatial unit </w:t>
      </w:r>
      <w:r>
        <w:rPr>
          <w:rStyle w:val="Strong"/>
          <w:rFonts w:ascii="Garamond" w:eastAsiaTheme="minorEastAsia" w:hAnsi="Garamond"/>
          <w:b w:val="0"/>
          <w:bCs w:val="0"/>
        </w:rPr>
        <w:t xml:space="preserve">level </w:t>
      </w:r>
      <w:r w:rsidR="00550141">
        <w:rPr>
          <w:rStyle w:val="Strong"/>
          <w:rFonts w:ascii="Garamond" w:eastAsiaTheme="minorEastAsia" w:hAnsi="Garamond"/>
          <w:b w:val="0"/>
          <w:bCs w:val="0"/>
        </w:rPr>
        <w:t xml:space="preserve">are presented in Table 4. These estimates </w:t>
      </w:r>
      <w:r>
        <w:rPr>
          <w:rStyle w:val="Strong"/>
          <w:rFonts w:ascii="Garamond" w:eastAsiaTheme="minorEastAsia" w:hAnsi="Garamond"/>
          <w:b w:val="0"/>
          <w:bCs w:val="0"/>
        </w:rPr>
        <w:t xml:space="preserve">illustrate the heterogeneity within </w:t>
      </w:r>
      <w:r w:rsidR="00BB0752">
        <w:rPr>
          <w:rStyle w:val="Strong"/>
          <w:rFonts w:ascii="Garamond" w:eastAsiaTheme="minorEastAsia" w:hAnsi="Garamond"/>
          <w:b w:val="0"/>
          <w:bCs w:val="0"/>
        </w:rPr>
        <w:t>the country</w:t>
      </w:r>
      <w:r>
        <w:rPr>
          <w:rStyle w:val="Strong"/>
          <w:rFonts w:ascii="Garamond" w:eastAsiaTheme="minorEastAsia" w:hAnsi="Garamond"/>
          <w:b w:val="0"/>
          <w:bCs w:val="0"/>
        </w:rPr>
        <w:t>. Within the Adriatic region pove</w:t>
      </w:r>
      <w:r w:rsidR="00BC20FE">
        <w:rPr>
          <w:rStyle w:val="Strong"/>
          <w:rFonts w:ascii="Garamond" w:eastAsiaTheme="minorEastAsia" w:hAnsi="Garamond"/>
          <w:b w:val="0"/>
          <w:bCs w:val="0"/>
        </w:rPr>
        <w:t>rty rates range from 11.9</w:t>
      </w:r>
      <w:r>
        <w:rPr>
          <w:rStyle w:val="Strong"/>
          <w:rFonts w:ascii="Garamond" w:eastAsiaTheme="minorEastAsia" w:hAnsi="Garamond"/>
          <w:b w:val="0"/>
          <w:bCs w:val="0"/>
        </w:rPr>
        <w:t xml:space="preserve"> to 25</w:t>
      </w:r>
      <w:r w:rsidR="00BC20FE">
        <w:rPr>
          <w:rStyle w:val="Strong"/>
          <w:rFonts w:ascii="Garamond" w:eastAsiaTheme="minorEastAsia" w:hAnsi="Garamond"/>
          <w:b w:val="0"/>
          <w:bCs w:val="0"/>
        </w:rPr>
        <w:t>.2</w:t>
      </w:r>
      <w:r>
        <w:rPr>
          <w:rStyle w:val="Strong"/>
          <w:rFonts w:ascii="Garamond" w:eastAsiaTheme="minorEastAsia" w:hAnsi="Garamond"/>
          <w:b w:val="0"/>
          <w:bCs w:val="0"/>
        </w:rPr>
        <w:t xml:space="preserve"> percent, within </w:t>
      </w:r>
      <w:r w:rsidR="00BB0752">
        <w:rPr>
          <w:rStyle w:val="Strong"/>
          <w:rFonts w:ascii="Garamond" w:eastAsiaTheme="minorEastAsia" w:hAnsi="Garamond"/>
          <w:b w:val="0"/>
          <w:bCs w:val="0"/>
        </w:rPr>
        <w:t xml:space="preserve">Continental </w:t>
      </w:r>
      <w:r w:rsidR="00BC20FE">
        <w:rPr>
          <w:rStyle w:val="Strong"/>
          <w:rFonts w:ascii="Garamond" w:eastAsiaTheme="minorEastAsia" w:hAnsi="Garamond"/>
          <w:b w:val="0"/>
          <w:bCs w:val="0"/>
        </w:rPr>
        <w:t>Croatia</w:t>
      </w:r>
      <w:r w:rsidR="00722726">
        <w:rPr>
          <w:rStyle w:val="Strong"/>
          <w:rFonts w:ascii="Garamond" w:eastAsiaTheme="minorEastAsia" w:hAnsi="Garamond"/>
          <w:b w:val="0"/>
          <w:bCs w:val="0"/>
        </w:rPr>
        <w:t xml:space="preserve"> (composed of the Northwestern, and Central and Eastern statistical area)</w:t>
      </w:r>
      <w:r w:rsidR="00BC20FE">
        <w:rPr>
          <w:rStyle w:val="Strong"/>
          <w:rFonts w:ascii="Garamond" w:eastAsiaTheme="minorEastAsia" w:hAnsi="Garamond"/>
          <w:b w:val="0"/>
          <w:bCs w:val="0"/>
        </w:rPr>
        <w:t xml:space="preserve"> poverty ranges from 9.8 percent in Grad Zagreb, to 35.9 percent in </w:t>
      </w:r>
      <w:r w:rsidR="00BC20FE" w:rsidRPr="00BC20FE">
        <w:rPr>
          <w:rStyle w:val="Strong"/>
          <w:rFonts w:ascii="Garamond" w:eastAsiaTheme="minorEastAsia" w:hAnsi="Garamond"/>
          <w:b w:val="0"/>
          <w:bCs w:val="0"/>
        </w:rPr>
        <w:t>Brodsko-posavska</w:t>
      </w:r>
      <w:r w:rsidR="00BC20FE">
        <w:rPr>
          <w:rStyle w:val="Strong"/>
          <w:rFonts w:ascii="Garamond" w:eastAsiaTheme="minorEastAsia" w:hAnsi="Garamond"/>
          <w:b w:val="0"/>
          <w:bCs w:val="0"/>
        </w:rPr>
        <w:t xml:space="preserve">.  </w:t>
      </w:r>
      <w:r w:rsidR="00722726">
        <w:rPr>
          <w:rStyle w:val="Strong"/>
          <w:rFonts w:ascii="Garamond" w:eastAsiaTheme="minorEastAsia" w:hAnsi="Garamond"/>
          <w:b w:val="0"/>
          <w:bCs w:val="0"/>
        </w:rPr>
        <w:t>Poverty levels within the Central and Eastern statistical area are considerably greater than the country average.</w:t>
      </w:r>
    </w:p>
    <w:p w:rsidR="000F469C" w:rsidRDefault="00851477" w:rsidP="000F469C">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At the municipal</w:t>
      </w:r>
      <w:r w:rsidR="00722726">
        <w:rPr>
          <w:rStyle w:val="Strong"/>
          <w:rFonts w:ascii="Garamond" w:eastAsiaTheme="minorEastAsia" w:hAnsi="Garamond"/>
          <w:b w:val="0"/>
          <w:bCs w:val="0"/>
        </w:rPr>
        <w:t>, city, and districts of Zagreb</w:t>
      </w:r>
      <w:r>
        <w:rPr>
          <w:rStyle w:val="Strong"/>
          <w:rFonts w:ascii="Garamond" w:eastAsiaTheme="minorEastAsia" w:hAnsi="Garamond"/>
          <w:b w:val="0"/>
          <w:bCs w:val="0"/>
        </w:rPr>
        <w:t xml:space="preserve"> level further heterogeneit</w:t>
      </w:r>
      <w:r w:rsidR="00DA2C36">
        <w:rPr>
          <w:rStyle w:val="Strong"/>
          <w:rFonts w:ascii="Garamond" w:eastAsiaTheme="minorEastAsia" w:hAnsi="Garamond"/>
          <w:b w:val="0"/>
          <w:bCs w:val="0"/>
        </w:rPr>
        <w:t>y is revealed. In the Contin</w:t>
      </w:r>
      <w:r w:rsidR="00A02A05">
        <w:rPr>
          <w:rStyle w:val="Strong"/>
          <w:rFonts w:ascii="Garamond" w:eastAsiaTheme="minorEastAsia" w:hAnsi="Garamond"/>
          <w:b w:val="0"/>
          <w:bCs w:val="0"/>
        </w:rPr>
        <w:t>en</w:t>
      </w:r>
      <w:r w:rsidR="00DA2C36">
        <w:rPr>
          <w:rStyle w:val="Strong"/>
          <w:rFonts w:ascii="Garamond" w:eastAsiaTheme="minorEastAsia" w:hAnsi="Garamond"/>
          <w:b w:val="0"/>
          <w:bCs w:val="0"/>
        </w:rPr>
        <w:t xml:space="preserve">tal NUTS-2 </w:t>
      </w:r>
      <w:r>
        <w:rPr>
          <w:rStyle w:val="Strong"/>
          <w:rFonts w:ascii="Garamond" w:eastAsiaTheme="minorEastAsia" w:hAnsi="Garamond"/>
          <w:b w:val="0"/>
          <w:bCs w:val="0"/>
        </w:rPr>
        <w:t xml:space="preserve">region certain pockets </w:t>
      </w:r>
      <w:r w:rsidR="000F469C">
        <w:rPr>
          <w:rStyle w:val="Strong"/>
          <w:rFonts w:ascii="Garamond" w:eastAsiaTheme="minorEastAsia" w:hAnsi="Garamond"/>
          <w:b w:val="0"/>
          <w:bCs w:val="0"/>
        </w:rPr>
        <w:t>of high poverty levels are detected, particularly in the Central and Eastern statistical region. I</w:t>
      </w:r>
      <w:r>
        <w:rPr>
          <w:rStyle w:val="Strong"/>
          <w:rFonts w:ascii="Garamond" w:eastAsiaTheme="minorEastAsia" w:hAnsi="Garamond"/>
          <w:b w:val="0"/>
          <w:bCs w:val="0"/>
        </w:rPr>
        <w:t xml:space="preserve">n the Adriatic region some municipalities with higher poverty rates are </w:t>
      </w:r>
      <w:r w:rsidR="000F469C">
        <w:rPr>
          <w:rStyle w:val="Strong"/>
          <w:rFonts w:ascii="Garamond" w:eastAsiaTheme="minorEastAsia" w:hAnsi="Garamond"/>
          <w:b w:val="0"/>
          <w:bCs w:val="0"/>
        </w:rPr>
        <w:t xml:space="preserve">also </w:t>
      </w:r>
      <w:r>
        <w:rPr>
          <w:rStyle w:val="Strong"/>
          <w:rFonts w:ascii="Garamond" w:eastAsiaTheme="minorEastAsia" w:hAnsi="Garamond"/>
          <w:b w:val="0"/>
          <w:bCs w:val="0"/>
        </w:rPr>
        <w:t xml:space="preserve">observed. </w:t>
      </w:r>
      <w:r w:rsidR="000F469C">
        <w:rPr>
          <w:rStyle w:val="Strong"/>
          <w:rFonts w:ascii="Garamond" w:eastAsiaTheme="minorEastAsia" w:hAnsi="Garamond"/>
          <w:b w:val="0"/>
          <w:bCs w:val="0"/>
        </w:rPr>
        <w:t xml:space="preserve">The </w:t>
      </w:r>
      <w:r w:rsidR="000F469C">
        <w:rPr>
          <w:rStyle w:val="Strong"/>
          <w:rFonts w:ascii="Garamond" w:eastAsiaTheme="minorEastAsia" w:hAnsi="Garamond"/>
          <w:b w:val="0"/>
          <w:bCs w:val="0"/>
        </w:rPr>
        <w:lastRenderedPageBreak/>
        <w:t>results of the poverty map suggest an overall spatial clustering of poverty; this is further analyzed in section 6, where basic analysis of the spatial association is undertaken.</w:t>
      </w:r>
    </w:p>
    <w:p w:rsidR="007C3C93" w:rsidRDefault="007C3C93" w:rsidP="007C3C93">
      <w:pPr>
        <w:keepNext/>
        <w:spacing w:line="360" w:lineRule="auto"/>
        <w:jc w:val="center"/>
        <w:rPr>
          <w:rStyle w:val="Strong"/>
          <w:rFonts w:ascii="Garamond" w:eastAsiaTheme="minorEastAsia" w:hAnsi="Garamond"/>
          <w:bCs w:val="0"/>
        </w:rPr>
      </w:pPr>
      <w:r>
        <w:rPr>
          <w:rStyle w:val="Strong"/>
          <w:rFonts w:ascii="Garamond" w:eastAsiaTheme="minorEastAsia" w:hAnsi="Garamond"/>
          <w:bCs w:val="0"/>
        </w:rPr>
        <w:t>Figure 3: Poverty Map for Croatia (NUTS-3 poverty headcount)</w:t>
      </w:r>
    </w:p>
    <w:p w:rsidR="007C3C93" w:rsidRDefault="007C3C93" w:rsidP="007C3C93">
      <w:pPr>
        <w:spacing w:line="360" w:lineRule="auto"/>
        <w:jc w:val="center"/>
        <w:rPr>
          <w:rStyle w:val="Strong"/>
          <w:rFonts w:ascii="Garamond" w:eastAsiaTheme="minorEastAsia" w:hAnsi="Garamond"/>
          <w:b w:val="0"/>
          <w:bCs w:val="0"/>
        </w:rPr>
      </w:pPr>
      <w:r>
        <w:rPr>
          <w:noProof/>
        </w:rPr>
        <w:drawing>
          <wp:inline distT="0" distB="0" distL="0" distR="0" wp14:anchorId="25AA0729" wp14:editId="06E178F4">
            <wp:extent cx="5233605" cy="46817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1181" cy="4688505"/>
                    </a:xfrm>
                    <a:prstGeom prst="rect">
                      <a:avLst/>
                    </a:prstGeom>
                  </pic:spPr>
                </pic:pic>
              </a:graphicData>
            </a:graphic>
          </wp:inline>
        </w:drawing>
      </w:r>
    </w:p>
    <w:p w:rsidR="00CE787A" w:rsidRDefault="000F469C" w:rsidP="00CE787A">
      <w:pPr>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t>Finally, t</w:t>
      </w:r>
      <w:r w:rsidR="00851477">
        <w:rPr>
          <w:rStyle w:val="Strong"/>
          <w:rFonts w:ascii="Garamond" w:eastAsiaTheme="minorEastAsia" w:hAnsi="Garamond"/>
          <w:b w:val="0"/>
          <w:bCs w:val="0"/>
        </w:rPr>
        <w:t>he d</w:t>
      </w:r>
      <w:r>
        <w:rPr>
          <w:rStyle w:val="Strong"/>
          <w:rFonts w:ascii="Garamond" w:eastAsiaTheme="minorEastAsia" w:hAnsi="Garamond"/>
          <w:b w:val="0"/>
          <w:bCs w:val="0"/>
        </w:rPr>
        <w:t>istribution</w:t>
      </w:r>
      <w:r w:rsidR="00851477">
        <w:rPr>
          <w:rStyle w:val="Strong"/>
          <w:rFonts w:ascii="Garamond" w:eastAsiaTheme="minorEastAsia" w:hAnsi="Garamond"/>
          <w:b w:val="0"/>
          <w:bCs w:val="0"/>
        </w:rPr>
        <w:t xml:space="preserve"> of</w:t>
      </w:r>
      <w:r>
        <w:rPr>
          <w:rStyle w:val="Strong"/>
          <w:rFonts w:ascii="Garamond" w:eastAsiaTheme="minorEastAsia" w:hAnsi="Garamond"/>
          <w:b w:val="0"/>
          <w:bCs w:val="0"/>
        </w:rPr>
        <w:t xml:space="preserve"> the Republic of Croatia’s</w:t>
      </w:r>
      <w:r w:rsidR="00851477">
        <w:rPr>
          <w:rStyle w:val="Strong"/>
          <w:rFonts w:ascii="Garamond" w:eastAsiaTheme="minorEastAsia" w:hAnsi="Garamond"/>
          <w:b w:val="0"/>
          <w:bCs w:val="0"/>
        </w:rPr>
        <w:t xml:space="preserve"> population</w:t>
      </w:r>
      <w:r>
        <w:rPr>
          <w:rStyle w:val="Strong"/>
          <w:rFonts w:ascii="Garamond" w:eastAsiaTheme="minorEastAsia" w:hAnsi="Garamond"/>
          <w:b w:val="0"/>
          <w:bCs w:val="0"/>
        </w:rPr>
        <w:t xml:space="preserve"> that is</w:t>
      </w:r>
      <w:r w:rsidR="00851477">
        <w:rPr>
          <w:rStyle w:val="Strong"/>
          <w:rFonts w:ascii="Garamond" w:eastAsiaTheme="minorEastAsia" w:hAnsi="Garamond"/>
          <w:b w:val="0"/>
          <w:bCs w:val="0"/>
        </w:rPr>
        <w:t xml:space="preserve"> at-risk-of-poverty is illustrated in Figure 5. The County with the lowest concentration of poor is in the Adriatic region, </w:t>
      </w:r>
      <w:r w:rsidR="00BB0752" w:rsidRPr="00BB0752">
        <w:rPr>
          <w:rStyle w:val="Strong"/>
          <w:rFonts w:ascii="Garamond" w:eastAsiaTheme="minorEastAsia" w:hAnsi="Garamond"/>
          <w:b w:val="0"/>
          <w:bCs w:val="0"/>
        </w:rPr>
        <w:t>Ličko-senjska</w:t>
      </w:r>
      <w:r w:rsidR="00851477">
        <w:rPr>
          <w:rStyle w:val="Strong"/>
          <w:rFonts w:ascii="Garamond" w:eastAsiaTheme="minorEastAsia" w:hAnsi="Garamond"/>
          <w:b w:val="0"/>
          <w:bCs w:val="0"/>
        </w:rPr>
        <w:t xml:space="preserve">. The county is one of the least populated in the country, and although it has an at-risk-of-poverty rate which is close to 20 percent it has the fewest poor. On the other hand Grad-Zagreb which is </w:t>
      </w:r>
      <w:r w:rsidR="00CE787A">
        <w:rPr>
          <w:rStyle w:val="Strong"/>
          <w:rFonts w:ascii="Garamond" w:eastAsiaTheme="minorEastAsia" w:hAnsi="Garamond"/>
          <w:b w:val="0"/>
          <w:bCs w:val="0"/>
        </w:rPr>
        <w:t xml:space="preserve">the least poor </w:t>
      </w:r>
      <w:r w:rsidR="00DA05B4">
        <w:rPr>
          <w:rStyle w:val="Strong"/>
          <w:rFonts w:ascii="Garamond" w:eastAsiaTheme="minorEastAsia" w:hAnsi="Garamond"/>
          <w:b w:val="0"/>
          <w:bCs w:val="0"/>
        </w:rPr>
        <w:t xml:space="preserve">county in the Republic of Croatia </w:t>
      </w:r>
      <w:r w:rsidR="00CE787A">
        <w:rPr>
          <w:rStyle w:val="Strong"/>
          <w:rFonts w:ascii="Garamond" w:eastAsiaTheme="minorEastAsia" w:hAnsi="Garamond"/>
          <w:b w:val="0"/>
          <w:bCs w:val="0"/>
        </w:rPr>
        <w:t xml:space="preserve">with an at-risk-of-poverty rate close to 10 </w:t>
      </w:r>
      <w:r w:rsidR="00A862DF">
        <w:rPr>
          <w:rStyle w:val="Strong"/>
          <w:rFonts w:ascii="Garamond" w:eastAsiaTheme="minorEastAsia" w:hAnsi="Garamond"/>
          <w:b w:val="0"/>
          <w:bCs w:val="0"/>
        </w:rPr>
        <w:t>percent</w:t>
      </w:r>
      <w:r w:rsidR="00CE787A">
        <w:rPr>
          <w:rStyle w:val="Strong"/>
          <w:rFonts w:ascii="Garamond" w:eastAsiaTheme="minorEastAsia" w:hAnsi="Garamond"/>
          <w:b w:val="0"/>
          <w:bCs w:val="0"/>
        </w:rPr>
        <w:t xml:space="preserve"> has the third highest concentration of the country’s poor. </w:t>
      </w:r>
    </w:p>
    <w:p w:rsidR="00CE787A" w:rsidRDefault="00CE787A" w:rsidP="00CE787A">
      <w:pPr>
        <w:keepNext/>
        <w:spacing w:line="360" w:lineRule="auto"/>
        <w:jc w:val="both"/>
        <w:rPr>
          <w:rStyle w:val="Strong"/>
          <w:rFonts w:ascii="Garamond" w:eastAsiaTheme="minorEastAsia" w:hAnsi="Garamond"/>
          <w:b w:val="0"/>
          <w:bCs w:val="0"/>
        </w:rPr>
      </w:pPr>
    </w:p>
    <w:p w:rsidR="00C83399" w:rsidRDefault="00CC237C" w:rsidP="00C83399">
      <w:pPr>
        <w:keepNext/>
        <w:spacing w:line="360" w:lineRule="auto"/>
        <w:jc w:val="center"/>
        <w:rPr>
          <w:rStyle w:val="Strong"/>
          <w:rFonts w:ascii="Garamond" w:eastAsiaTheme="minorEastAsia" w:hAnsi="Garamond"/>
          <w:bCs w:val="0"/>
        </w:rPr>
      </w:pPr>
      <w:r>
        <w:rPr>
          <w:rStyle w:val="Strong"/>
          <w:rFonts w:ascii="Garamond" w:eastAsiaTheme="minorEastAsia" w:hAnsi="Garamond"/>
          <w:bCs w:val="0"/>
        </w:rPr>
        <w:t>Figure 4</w:t>
      </w:r>
      <w:r w:rsidR="00747CE8">
        <w:rPr>
          <w:rStyle w:val="Strong"/>
          <w:rFonts w:ascii="Garamond" w:eastAsiaTheme="minorEastAsia" w:hAnsi="Garamond"/>
          <w:bCs w:val="0"/>
        </w:rPr>
        <w:t xml:space="preserve">: </w:t>
      </w:r>
      <w:r w:rsidR="00C83399">
        <w:rPr>
          <w:rStyle w:val="Strong"/>
          <w:rFonts w:ascii="Garamond" w:eastAsiaTheme="minorEastAsia" w:hAnsi="Garamond"/>
          <w:bCs w:val="0"/>
        </w:rPr>
        <w:t>Poverty Map for the Republic of Croatia (poverty headcount for municipalities, cities, and districts of Zagreb)</w:t>
      </w:r>
    </w:p>
    <w:p w:rsidR="00747CE8" w:rsidRPr="00747CE8" w:rsidRDefault="00C83399" w:rsidP="00C83399">
      <w:pPr>
        <w:keepNext/>
        <w:spacing w:line="360" w:lineRule="auto"/>
        <w:jc w:val="center"/>
        <w:rPr>
          <w:rStyle w:val="Strong"/>
          <w:rFonts w:ascii="Garamond" w:eastAsiaTheme="minorEastAsia" w:hAnsi="Garamond"/>
          <w:bCs w:val="0"/>
        </w:rPr>
      </w:pPr>
      <w:r>
        <w:rPr>
          <w:noProof/>
        </w:rPr>
        <w:drawing>
          <wp:inline distT="0" distB="0" distL="0" distR="0" wp14:anchorId="33E720A6" wp14:editId="555C709E">
            <wp:extent cx="5113325" cy="46271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2035" cy="4635004"/>
                    </a:xfrm>
                    <a:prstGeom prst="rect">
                      <a:avLst/>
                    </a:prstGeom>
                  </pic:spPr>
                </pic:pic>
              </a:graphicData>
            </a:graphic>
          </wp:inline>
        </w:drawing>
      </w:r>
    </w:p>
    <w:p w:rsidR="00490195" w:rsidRDefault="00490195" w:rsidP="00D44EAB">
      <w:pPr>
        <w:keepNext/>
        <w:spacing w:line="360" w:lineRule="auto"/>
        <w:jc w:val="center"/>
        <w:rPr>
          <w:rStyle w:val="Strong"/>
          <w:rFonts w:ascii="Garamond" w:hAnsi="Garamond"/>
        </w:rPr>
      </w:pPr>
    </w:p>
    <w:p w:rsidR="002109D4" w:rsidRDefault="002109D4" w:rsidP="00D44EAB">
      <w:pPr>
        <w:keepNext/>
        <w:spacing w:line="360" w:lineRule="auto"/>
        <w:jc w:val="center"/>
        <w:rPr>
          <w:rStyle w:val="Strong"/>
          <w:rFonts w:ascii="Garamond" w:hAnsi="Garamond"/>
        </w:rPr>
      </w:pPr>
    </w:p>
    <w:p w:rsidR="007C3C93" w:rsidRDefault="007C3C93" w:rsidP="00D44EAB">
      <w:pPr>
        <w:keepNext/>
        <w:spacing w:line="360" w:lineRule="auto"/>
        <w:jc w:val="center"/>
        <w:rPr>
          <w:rStyle w:val="Strong"/>
          <w:rFonts w:ascii="Garamond" w:hAnsi="Garamond"/>
        </w:rPr>
      </w:pPr>
    </w:p>
    <w:p w:rsidR="007C3C93" w:rsidRDefault="007C3C93" w:rsidP="00D44EAB">
      <w:pPr>
        <w:keepNext/>
        <w:spacing w:line="360" w:lineRule="auto"/>
        <w:jc w:val="center"/>
        <w:rPr>
          <w:rStyle w:val="Strong"/>
          <w:rFonts w:ascii="Garamond" w:hAnsi="Garamond"/>
        </w:rPr>
      </w:pPr>
    </w:p>
    <w:p w:rsidR="007C3C93" w:rsidRDefault="007C3C93" w:rsidP="00D44EAB">
      <w:pPr>
        <w:keepNext/>
        <w:spacing w:line="360" w:lineRule="auto"/>
        <w:jc w:val="center"/>
        <w:rPr>
          <w:rStyle w:val="Strong"/>
          <w:rFonts w:ascii="Garamond" w:hAnsi="Garamond"/>
        </w:rPr>
      </w:pPr>
    </w:p>
    <w:p w:rsidR="007C3C93" w:rsidRDefault="007C3C93" w:rsidP="00D44EAB">
      <w:pPr>
        <w:keepNext/>
        <w:spacing w:line="360" w:lineRule="auto"/>
        <w:jc w:val="center"/>
        <w:rPr>
          <w:rStyle w:val="Strong"/>
          <w:rFonts w:ascii="Garamond" w:hAnsi="Garamond"/>
        </w:rPr>
      </w:pPr>
    </w:p>
    <w:p w:rsidR="007C3C93" w:rsidRDefault="007C3C93" w:rsidP="00D44EAB">
      <w:pPr>
        <w:keepNext/>
        <w:spacing w:line="360" w:lineRule="auto"/>
        <w:jc w:val="center"/>
        <w:rPr>
          <w:rStyle w:val="Strong"/>
          <w:rFonts w:ascii="Garamond" w:hAnsi="Garamond"/>
        </w:rPr>
      </w:pPr>
    </w:p>
    <w:p w:rsidR="00D44EAB" w:rsidRDefault="00D44EAB" w:rsidP="00D44EAB">
      <w:pPr>
        <w:keepNext/>
        <w:spacing w:line="360" w:lineRule="auto"/>
        <w:jc w:val="center"/>
        <w:rPr>
          <w:rStyle w:val="Strong"/>
          <w:rFonts w:ascii="Garamond" w:hAnsi="Garamond"/>
        </w:rPr>
      </w:pPr>
      <w:r>
        <w:rPr>
          <w:rStyle w:val="Strong"/>
          <w:rFonts w:ascii="Garamond" w:hAnsi="Garamond"/>
        </w:rPr>
        <w:lastRenderedPageBreak/>
        <w:t>Table 4: County level poverty estimates</w:t>
      </w:r>
      <w:r w:rsidR="00396FA7">
        <w:rPr>
          <w:rStyle w:val="Strong"/>
          <w:rFonts w:ascii="Garamond" w:hAnsi="Garamond"/>
        </w:rPr>
        <w:t xml:space="preserve"> </w:t>
      </w:r>
    </w:p>
    <w:tbl>
      <w:tblPr>
        <w:tblW w:w="9256" w:type="dxa"/>
        <w:tblLook w:val="04A0" w:firstRow="1" w:lastRow="0" w:firstColumn="1" w:lastColumn="0" w:noHBand="0" w:noVBand="1"/>
      </w:tblPr>
      <w:tblGrid>
        <w:gridCol w:w="1700"/>
        <w:gridCol w:w="883"/>
        <w:gridCol w:w="789"/>
        <w:gridCol w:w="789"/>
        <w:gridCol w:w="1940"/>
        <w:gridCol w:w="1128"/>
        <w:gridCol w:w="713"/>
        <w:gridCol w:w="657"/>
        <w:gridCol w:w="657"/>
      </w:tblGrid>
      <w:tr w:rsidR="00A33719" w:rsidRPr="00A33719" w:rsidTr="00334101">
        <w:trPr>
          <w:trHeight w:val="315"/>
        </w:trPr>
        <w:tc>
          <w:tcPr>
            <w:tcW w:w="1700" w:type="dxa"/>
            <w:tcBorders>
              <w:top w:val="single" w:sz="4" w:space="0" w:color="auto"/>
              <w:left w:val="nil"/>
              <w:bottom w:val="nil"/>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w:t>
            </w:r>
          </w:p>
        </w:tc>
        <w:tc>
          <w:tcPr>
            <w:tcW w:w="2461" w:type="dxa"/>
            <w:gridSpan w:val="3"/>
            <w:tcBorders>
              <w:top w:val="single" w:sz="4" w:space="0" w:color="auto"/>
              <w:left w:val="nil"/>
              <w:bottom w:val="single" w:sz="4"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EU-SILC direct estimates</w:t>
            </w:r>
          </w:p>
        </w:tc>
        <w:tc>
          <w:tcPr>
            <w:tcW w:w="1940" w:type="dxa"/>
            <w:tcBorders>
              <w:top w:val="single" w:sz="4" w:space="0" w:color="auto"/>
              <w:left w:val="nil"/>
              <w:bottom w:val="single" w:sz="4"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 </w:t>
            </w:r>
          </w:p>
        </w:tc>
        <w:tc>
          <w:tcPr>
            <w:tcW w:w="3155" w:type="dxa"/>
            <w:gridSpan w:val="4"/>
            <w:tcBorders>
              <w:top w:val="single" w:sz="4" w:space="0" w:color="auto"/>
              <w:left w:val="nil"/>
              <w:bottom w:val="single" w:sz="4"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H3-EB Model prediction</w:t>
            </w:r>
          </w:p>
        </w:tc>
      </w:tr>
      <w:tr w:rsidR="00A33719" w:rsidRPr="00A33719" w:rsidTr="00334101">
        <w:trPr>
          <w:trHeight w:val="270"/>
        </w:trPr>
        <w:tc>
          <w:tcPr>
            <w:tcW w:w="1700" w:type="dxa"/>
            <w:tcBorders>
              <w:top w:val="nil"/>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Statistical Area</w:t>
            </w:r>
          </w:p>
        </w:tc>
        <w:tc>
          <w:tcPr>
            <w:tcW w:w="883" w:type="dxa"/>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AROP</w:t>
            </w:r>
          </w:p>
        </w:tc>
        <w:tc>
          <w:tcPr>
            <w:tcW w:w="1578" w:type="dxa"/>
            <w:gridSpan w:val="2"/>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95% CI</w:t>
            </w:r>
          </w:p>
        </w:tc>
        <w:tc>
          <w:tcPr>
            <w:tcW w:w="1940" w:type="dxa"/>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NUTS-3 (counties)</w:t>
            </w:r>
          </w:p>
        </w:tc>
        <w:tc>
          <w:tcPr>
            <w:tcW w:w="1128" w:type="dxa"/>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Population</w:t>
            </w:r>
          </w:p>
        </w:tc>
        <w:tc>
          <w:tcPr>
            <w:tcW w:w="713" w:type="dxa"/>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AROP</w:t>
            </w:r>
          </w:p>
        </w:tc>
        <w:tc>
          <w:tcPr>
            <w:tcW w:w="1314" w:type="dxa"/>
            <w:gridSpan w:val="2"/>
            <w:tcBorders>
              <w:top w:val="single" w:sz="4" w:space="0" w:color="auto"/>
              <w:left w:val="nil"/>
              <w:bottom w:val="double" w:sz="6"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95% CI</w:t>
            </w:r>
          </w:p>
        </w:tc>
      </w:tr>
      <w:tr w:rsidR="00334101" w:rsidRPr="00A33719" w:rsidTr="00334101">
        <w:trPr>
          <w:trHeight w:val="270"/>
        </w:trPr>
        <w:tc>
          <w:tcPr>
            <w:tcW w:w="1700"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Northwestern</w:t>
            </w:r>
          </w:p>
        </w:tc>
        <w:tc>
          <w:tcPr>
            <w:tcW w:w="883"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16.7%</w:t>
            </w:r>
          </w:p>
        </w:tc>
        <w:tc>
          <w:tcPr>
            <w:tcW w:w="789"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13.6%</w:t>
            </w:r>
          </w:p>
        </w:tc>
        <w:tc>
          <w:tcPr>
            <w:tcW w:w="789"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20.4%</w:t>
            </w: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Zagrebačka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311,918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16.7%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13.9%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19.5%</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Krapinsko-zagorska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129,393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18.8%</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15.9%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21.7%</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Varaždinska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170,380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17.1%</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14.6%</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19.7%</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Koprivničko-križevačka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112,540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20.3%</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17.4%</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23.3%</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Međimurska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110,888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20.8%</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17.5%</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24.0%</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single" w:sz="4" w:space="0" w:color="auto"/>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Grad Zagreb</w:t>
            </w:r>
          </w:p>
        </w:tc>
        <w:tc>
          <w:tcPr>
            <w:tcW w:w="1128"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772,340 </w:t>
            </w:r>
          </w:p>
        </w:tc>
        <w:tc>
          <w:tcPr>
            <w:tcW w:w="713"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9.8%</w:t>
            </w:r>
          </w:p>
        </w:tc>
        <w:tc>
          <w:tcPr>
            <w:tcW w:w="657"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8.0%</w:t>
            </w:r>
          </w:p>
        </w:tc>
        <w:tc>
          <w:tcPr>
            <w:tcW w:w="657"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11.6%</w:t>
            </w:r>
          </w:p>
        </w:tc>
      </w:tr>
      <w:tr w:rsidR="00334101" w:rsidRPr="00A33719" w:rsidTr="00334101">
        <w:trPr>
          <w:trHeight w:val="255"/>
        </w:trPr>
        <w:tc>
          <w:tcPr>
            <w:tcW w:w="1700" w:type="dxa"/>
            <w:vMerge w:val="restart"/>
            <w:tcBorders>
              <w:top w:val="nil"/>
              <w:left w:val="nil"/>
              <w:bottom w:val="single" w:sz="4" w:space="0" w:color="000000"/>
              <w:right w:val="nil"/>
            </w:tcBorders>
            <w:shd w:val="clear" w:color="auto" w:fill="auto"/>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Central &amp; Eastern</w:t>
            </w:r>
          </w:p>
        </w:tc>
        <w:tc>
          <w:tcPr>
            <w:tcW w:w="883"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29.1%</w:t>
            </w:r>
          </w:p>
        </w:tc>
        <w:tc>
          <w:tcPr>
            <w:tcW w:w="789"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26.2%</w:t>
            </w:r>
          </w:p>
        </w:tc>
        <w:tc>
          <w:tcPr>
            <w:tcW w:w="789" w:type="dxa"/>
            <w:vMerge w:val="restart"/>
            <w:tcBorders>
              <w:top w:val="nil"/>
              <w:left w:val="nil"/>
              <w:bottom w:val="single" w:sz="4"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32.2%</w:t>
            </w: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Sisačko-moslavačka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168,534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23.7%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19.6%</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27.8%</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Karlovačka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125,722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23.2%</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19.4%</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27.1%</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Bjelovarsko-bilogorska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117,420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20.0%</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15.6%</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24.5%</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Virovitičko-podravska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83,129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33.4%</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28.7%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38.2%</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Požeško-slavonska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75,912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26.5%</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21.1%</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31.9%</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Brodsko-posavska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154,863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35.9%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31.6%</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40.1%</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Osječko-baranjska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297,230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28.0%</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24.8%</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31.1%</w:t>
            </w:r>
          </w:p>
        </w:tc>
      </w:tr>
      <w:tr w:rsidR="00334101" w:rsidRPr="00A33719" w:rsidTr="00334101">
        <w:trPr>
          <w:trHeight w:val="255"/>
        </w:trPr>
        <w:tc>
          <w:tcPr>
            <w:tcW w:w="1700"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4"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single" w:sz="4" w:space="0" w:color="auto"/>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Vukovarsko-srijemska</w:t>
            </w:r>
          </w:p>
        </w:tc>
        <w:tc>
          <w:tcPr>
            <w:tcW w:w="1128"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174,324 </w:t>
            </w:r>
          </w:p>
        </w:tc>
        <w:tc>
          <w:tcPr>
            <w:tcW w:w="713"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31.9%</w:t>
            </w:r>
          </w:p>
        </w:tc>
        <w:tc>
          <w:tcPr>
            <w:tcW w:w="657"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28.4%</w:t>
            </w:r>
          </w:p>
        </w:tc>
        <w:tc>
          <w:tcPr>
            <w:tcW w:w="657" w:type="dxa"/>
            <w:tcBorders>
              <w:top w:val="nil"/>
              <w:left w:val="nil"/>
              <w:bottom w:val="single" w:sz="4"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35.3%</w:t>
            </w:r>
          </w:p>
        </w:tc>
      </w:tr>
      <w:tr w:rsidR="00334101" w:rsidRPr="00A33719" w:rsidTr="00334101">
        <w:trPr>
          <w:trHeight w:val="255"/>
        </w:trPr>
        <w:tc>
          <w:tcPr>
            <w:tcW w:w="1700" w:type="dxa"/>
            <w:vMerge w:val="restart"/>
            <w:tcBorders>
              <w:top w:val="nil"/>
              <w:left w:val="nil"/>
              <w:bottom w:val="single" w:sz="8" w:space="0" w:color="000000"/>
              <w:right w:val="nil"/>
            </w:tcBorders>
            <w:shd w:val="clear" w:color="auto" w:fill="auto"/>
            <w:noWrap/>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Adriatic</w:t>
            </w:r>
          </w:p>
        </w:tc>
        <w:tc>
          <w:tcPr>
            <w:tcW w:w="883" w:type="dxa"/>
            <w:vMerge w:val="restart"/>
            <w:tcBorders>
              <w:top w:val="nil"/>
              <w:left w:val="nil"/>
              <w:bottom w:val="single" w:sz="8"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17.0%</w:t>
            </w:r>
          </w:p>
        </w:tc>
        <w:tc>
          <w:tcPr>
            <w:tcW w:w="789" w:type="dxa"/>
            <w:vMerge w:val="restart"/>
            <w:tcBorders>
              <w:top w:val="nil"/>
              <w:left w:val="nil"/>
              <w:bottom w:val="single" w:sz="8"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14.0%</w:t>
            </w:r>
          </w:p>
        </w:tc>
        <w:tc>
          <w:tcPr>
            <w:tcW w:w="789" w:type="dxa"/>
            <w:vMerge w:val="restart"/>
            <w:tcBorders>
              <w:top w:val="nil"/>
              <w:left w:val="nil"/>
              <w:bottom w:val="single" w:sz="8" w:space="0" w:color="000000"/>
              <w:right w:val="nil"/>
            </w:tcBorders>
            <w:shd w:val="clear" w:color="auto" w:fill="auto"/>
            <w:noWrap/>
            <w:vAlign w:val="center"/>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20.6%</w:t>
            </w: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Primorsko-goranska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290,446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11.9%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10.0%</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13.8%</w:t>
            </w:r>
          </w:p>
        </w:tc>
      </w:tr>
      <w:tr w:rsidR="00334101" w:rsidRPr="00A33719" w:rsidTr="00334101">
        <w:trPr>
          <w:trHeight w:val="300"/>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Ličko-senjska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49,766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19.8%</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15.7%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24.0%</w:t>
            </w:r>
          </w:p>
        </w:tc>
      </w:tr>
      <w:tr w:rsidR="00334101" w:rsidRPr="00A33719" w:rsidTr="00334101">
        <w:trPr>
          <w:trHeight w:val="300"/>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Zadarska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167,029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25.2%</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29.5%</w:t>
            </w:r>
          </w:p>
        </w:tc>
      </w:tr>
      <w:tr w:rsidR="00334101" w:rsidRPr="00A33719" w:rsidTr="00334101">
        <w:trPr>
          <w:trHeight w:val="300"/>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Šibensko-kninska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107,345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24.7%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20.7%</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28.8%</w:t>
            </w:r>
          </w:p>
        </w:tc>
      </w:tr>
      <w:tr w:rsidR="00334101" w:rsidRPr="00A33719" w:rsidTr="00334101">
        <w:trPr>
          <w:trHeight w:val="300"/>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Splitsko-dalmatinska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445,049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19.5%</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16.9%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22.0%</w:t>
            </w:r>
          </w:p>
        </w:tc>
      </w:tr>
      <w:tr w:rsidR="00334101" w:rsidRPr="00A33719" w:rsidTr="00334101">
        <w:trPr>
          <w:trHeight w:val="300"/>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nil"/>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Istarska</w:t>
            </w:r>
          </w:p>
        </w:tc>
        <w:tc>
          <w:tcPr>
            <w:tcW w:w="1128"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204,025 </w:t>
            </w:r>
          </w:p>
        </w:tc>
        <w:tc>
          <w:tcPr>
            <w:tcW w:w="713"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11.9%</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9.6%</w:t>
            </w:r>
          </w:p>
        </w:tc>
        <w:tc>
          <w:tcPr>
            <w:tcW w:w="657" w:type="dxa"/>
            <w:tcBorders>
              <w:top w:val="nil"/>
              <w:left w:val="nil"/>
              <w:bottom w:val="nil"/>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14.1%</w:t>
            </w:r>
          </w:p>
        </w:tc>
      </w:tr>
      <w:tr w:rsidR="00334101" w:rsidRPr="00A33719" w:rsidTr="00334101">
        <w:trPr>
          <w:trHeight w:val="315"/>
        </w:trPr>
        <w:tc>
          <w:tcPr>
            <w:tcW w:w="1700"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b/>
                <w:bCs/>
                <w:color w:val="000000"/>
                <w:sz w:val="18"/>
                <w:szCs w:val="18"/>
              </w:rPr>
            </w:pPr>
          </w:p>
        </w:tc>
        <w:tc>
          <w:tcPr>
            <w:tcW w:w="883"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789" w:type="dxa"/>
            <w:vMerge/>
            <w:tcBorders>
              <w:top w:val="nil"/>
              <w:left w:val="nil"/>
              <w:bottom w:val="single" w:sz="8" w:space="0" w:color="000000"/>
              <w:right w:val="nil"/>
            </w:tcBorders>
            <w:vAlign w:val="center"/>
            <w:hideMark/>
          </w:tcPr>
          <w:p w:rsidR="00334101" w:rsidRPr="00A33719" w:rsidRDefault="00334101" w:rsidP="00334101">
            <w:pPr>
              <w:spacing w:after="0" w:line="240" w:lineRule="auto"/>
              <w:rPr>
                <w:rFonts w:ascii="Garamond" w:eastAsia="Times New Roman" w:hAnsi="Garamond" w:cs="Times New Roman"/>
                <w:color w:val="000000"/>
                <w:sz w:val="18"/>
                <w:szCs w:val="18"/>
              </w:rPr>
            </w:pPr>
          </w:p>
        </w:tc>
        <w:tc>
          <w:tcPr>
            <w:tcW w:w="1940" w:type="dxa"/>
            <w:tcBorders>
              <w:top w:val="nil"/>
              <w:left w:val="nil"/>
              <w:bottom w:val="single" w:sz="8" w:space="0" w:color="auto"/>
              <w:right w:val="nil"/>
            </w:tcBorders>
            <w:shd w:val="clear" w:color="auto" w:fill="auto"/>
            <w:noWrap/>
            <w:vAlign w:val="bottom"/>
            <w:hideMark/>
          </w:tcPr>
          <w:p w:rsidR="00334101" w:rsidRPr="00B5353D" w:rsidRDefault="00334101" w:rsidP="00334101">
            <w:pPr>
              <w:spacing w:after="0" w:line="240" w:lineRule="auto"/>
              <w:rPr>
                <w:rFonts w:ascii="Garamond" w:eastAsia="Times New Roman" w:hAnsi="Garamond" w:cs="Times New Roman"/>
                <w:color w:val="000000"/>
                <w:sz w:val="18"/>
                <w:szCs w:val="18"/>
              </w:rPr>
            </w:pPr>
            <w:r w:rsidRPr="00B5353D">
              <w:rPr>
                <w:rFonts w:ascii="Garamond" w:eastAsia="Times New Roman" w:hAnsi="Garamond" w:cs="Times New Roman"/>
                <w:color w:val="000000"/>
                <w:sz w:val="18"/>
                <w:szCs w:val="18"/>
              </w:rPr>
              <w:t>Dubrovačko-neretvanska</w:t>
            </w:r>
          </w:p>
        </w:tc>
        <w:tc>
          <w:tcPr>
            <w:tcW w:w="1128" w:type="dxa"/>
            <w:tcBorders>
              <w:top w:val="nil"/>
              <w:left w:val="nil"/>
              <w:bottom w:val="single" w:sz="8" w:space="0" w:color="auto"/>
              <w:right w:val="nil"/>
            </w:tcBorders>
            <w:shd w:val="clear" w:color="auto" w:fill="auto"/>
            <w:noWrap/>
            <w:vAlign w:val="bottom"/>
            <w:hideMark/>
          </w:tcPr>
          <w:p w:rsidR="00334101" w:rsidRPr="00A33719" w:rsidRDefault="00334101" w:rsidP="00334101">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118,707 </w:t>
            </w:r>
          </w:p>
        </w:tc>
        <w:tc>
          <w:tcPr>
            <w:tcW w:w="713" w:type="dxa"/>
            <w:tcBorders>
              <w:top w:val="nil"/>
              <w:left w:val="nil"/>
              <w:bottom w:val="single" w:sz="8"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14.5%</w:t>
            </w:r>
          </w:p>
        </w:tc>
        <w:tc>
          <w:tcPr>
            <w:tcW w:w="657" w:type="dxa"/>
            <w:tcBorders>
              <w:top w:val="nil"/>
              <w:left w:val="nil"/>
              <w:bottom w:val="single" w:sz="8"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11.3%</w:t>
            </w:r>
          </w:p>
        </w:tc>
        <w:tc>
          <w:tcPr>
            <w:tcW w:w="657" w:type="dxa"/>
            <w:tcBorders>
              <w:top w:val="nil"/>
              <w:left w:val="nil"/>
              <w:bottom w:val="single" w:sz="8" w:space="0" w:color="auto"/>
              <w:right w:val="nil"/>
            </w:tcBorders>
            <w:shd w:val="clear" w:color="auto" w:fill="auto"/>
            <w:noWrap/>
            <w:vAlign w:val="bottom"/>
            <w:hideMark/>
          </w:tcPr>
          <w:p w:rsidR="00334101" w:rsidRPr="00A33719" w:rsidRDefault="00334101" w:rsidP="00334101">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17.8%</w:t>
            </w:r>
          </w:p>
        </w:tc>
      </w:tr>
      <w:tr w:rsidR="00A33719" w:rsidRPr="00A33719" w:rsidTr="00334101">
        <w:trPr>
          <w:trHeight w:val="270"/>
        </w:trPr>
        <w:tc>
          <w:tcPr>
            <w:tcW w:w="1700"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b/>
                <w:bCs/>
                <w:color w:val="000000"/>
                <w:sz w:val="18"/>
                <w:szCs w:val="18"/>
              </w:rPr>
            </w:pPr>
            <w:r w:rsidRPr="00A33719">
              <w:rPr>
                <w:rFonts w:ascii="Garamond" w:eastAsia="Times New Roman" w:hAnsi="Garamond" w:cs="Times New Roman"/>
                <w:b/>
                <w:bCs/>
                <w:color w:val="000000"/>
                <w:sz w:val="18"/>
                <w:szCs w:val="18"/>
              </w:rPr>
              <w:t>Republic of Croatia</w:t>
            </w:r>
          </w:p>
        </w:tc>
        <w:tc>
          <w:tcPr>
            <w:tcW w:w="883"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20.4%</w:t>
            </w:r>
          </w:p>
        </w:tc>
        <w:tc>
          <w:tcPr>
            <w:tcW w:w="789"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18.5%</w:t>
            </w:r>
          </w:p>
        </w:tc>
        <w:tc>
          <w:tcPr>
            <w:tcW w:w="789"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22.4%</w:t>
            </w:r>
          </w:p>
        </w:tc>
        <w:tc>
          <w:tcPr>
            <w:tcW w:w="1940"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w:t>
            </w:r>
          </w:p>
        </w:tc>
        <w:tc>
          <w:tcPr>
            <w:tcW w:w="1128"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 xml:space="preserve">  4,186,960 </w:t>
            </w:r>
          </w:p>
        </w:tc>
        <w:tc>
          <w:tcPr>
            <w:tcW w:w="713"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19.2%</w:t>
            </w:r>
          </w:p>
        </w:tc>
        <w:tc>
          <w:tcPr>
            <w:tcW w:w="657"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18.0%</w:t>
            </w:r>
          </w:p>
        </w:tc>
        <w:tc>
          <w:tcPr>
            <w:tcW w:w="657" w:type="dxa"/>
            <w:tcBorders>
              <w:top w:val="nil"/>
              <w:left w:val="nil"/>
              <w:bottom w:val="single" w:sz="8" w:space="0" w:color="auto"/>
              <w:right w:val="nil"/>
            </w:tcBorders>
            <w:shd w:val="clear" w:color="auto" w:fill="auto"/>
            <w:noWrap/>
            <w:vAlign w:val="bottom"/>
            <w:hideMark/>
          </w:tcPr>
          <w:p w:rsidR="00A33719" w:rsidRPr="00A33719" w:rsidRDefault="00A33719" w:rsidP="00A33719">
            <w:pPr>
              <w:spacing w:after="0" w:line="240" w:lineRule="auto"/>
              <w:jc w:val="center"/>
              <w:rPr>
                <w:rFonts w:ascii="Garamond" w:eastAsia="Times New Roman" w:hAnsi="Garamond" w:cs="Times New Roman"/>
                <w:color w:val="000000"/>
                <w:sz w:val="18"/>
                <w:szCs w:val="18"/>
              </w:rPr>
            </w:pPr>
            <w:r w:rsidRPr="00A33719">
              <w:rPr>
                <w:rFonts w:ascii="Garamond" w:eastAsia="Times New Roman" w:hAnsi="Garamond" w:cs="Times New Roman"/>
                <w:color w:val="000000"/>
                <w:sz w:val="18"/>
                <w:szCs w:val="18"/>
              </w:rPr>
              <w:t>20.4%</w:t>
            </w:r>
          </w:p>
        </w:tc>
      </w:tr>
      <w:tr w:rsidR="00A33719" w:rsidRPr="00A33719" w:rsidTr="00334101">
        <w:trPr>
          <w:trHeight w:val="255"/>
        </w:trPr>
        <w:tc>
          <w:tcPr>
            <w:tcW w:w="6101" w:type="dxa"/>
            <w:gridSpan w:val="5"/>
            <w:tcBorders>
              <w:top w:val="nil"/>
              <w:left w:val="nil"/>
              <w:bottom w:val="nil"/>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color w:val="000000"/>
                <w:sz w:val="20"/>
                <w:szCs w:val="20"/>
              </w:rPr>
            </w:pPr>
            <w:r w:rsidRPr="00A33719">
              <w:rPr>
                <w:rFonts w:ascii="Garamond" w:eastAsia="Times New Roman" w:hAnsi="Garamond" w:cs="Times New Roman"/>
                <w:color w:val="000000"/>
                <w:sz w:val="20"/>
                <w:szCs w:val="20"/>
              </w:rPr>
              <w:t>Note: Poverty line is at 24,000 HRK per adult equivalent</w:t>
            </w:r>
          </w:p>
        </w:tc>
        <w:tc>
          <w:tcPr>
            <w:tcW w:w="1128" w:type="dxa"/>
            <w:tcBorders>
              <w:top w:val="nil"/>
              <w:left w:val="nil"/>
              <w:bottom w:val="nil"/>
              <w:right w:val="nil"/>
            </w:tcBorders>
            <w:shd w:val="clear" w:color="auto" w:fill="auto"/>
            <w:noWrap/>
            <w:vAlign w:val="bottom"/>
            <w:hideMark/>
          </w:tcPr>
          <w:p w:rsidR="00A33719" w:rsidRPr="00A33719" w:rsidRDefault="00A33719" w:rsidP="00A33719">
            <w:pPr>
              <w:spacing w:after="0" w:line="240" w:lineRule="auto"/>
              <w:rPr>
                <w:rFonts w:ascii="Garamond" w:eastAsia="Times New Roman" w:hAnsi="Garamond" w:cs="Times New Roman"/>
                <w:color w:val="000000"/>
                <w:sz w:val="20"/>
                <w:szCs w:val="20"/>
              </w:rPr>
            </w:pPr>
          </w:p>
        </w:tc>
        <w:tc>
          <w:tcPr>
            <w:tcW w:w="713" w:type="dxa"/>
            <w:tcBorders>
              <w:top w:val="nil"/>
              <w:left w:val="nil"/>
              <w:bottom w:val="nil"/>
              <w:right w:val="nil"/>
            </w:tcBorders>
            <w:shd w:val="clear" w:color="auto" w:fill="auto"/>
            <w:noWrap/>
            <w:vAlign w:val="bottom"/>
            <w:hideMark/>
          </w:tcPr>
          <w:p w:rsidR="00A33719" w:rsidRPr="00A33719" w:rsidRDefault="00A33719" w:rsidP="00A33719">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rsidR="00A33719" w:rsidRPr="00A33719" w:rsidRDefault="00A33719" w:rsidP="00A33719">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rsidR="00A33719" w:rsidRPr="00A33719" w:rsidRDefault="00A33719" w:rsidP="00A33719">
            <w:pPr>
              <w:spacing w:after="0" w:line="240" w:lineRule="auto"/>
              <w:rPr>
                <w:rFonts w:ascii="Times New Roman" w:eastAsia="Times New Roman" w:hAnsi="Times New Roman" w:cs="Times New Roman"/>
                <w:sz w:val="20"/>
                <w:szCs w:val="20"/>
              </w:rPr>
            </w:pPr>
          </w:p>
        </w:tc>
      </w:tr>
    </w:tbl>
    <w:p w:rsidR="00D44EAB" w:rsidRPr="00D44EAB" w:rsidRDefault="00D44EAB" w:rsidP="00D44EAB">
      <w:pPr>
        <w:spacing w:line="360" w:lineRule="auto"/>
        <w:jc w:val="center"/>
        <w:rPr>
          <w:rStyle w:val="Strong"/>
          <w:rFonts w:ascii="Garamond" w:hAnsi="Garamond"/>
        </w:rPr>
      </w:pPr>
    </w:p>
    <w:p w:rsidR="00A7314E" w:rsidRDefault="00A7314E" w:rsidP="009E57F3">
      <w:pPr>
        <w:keepNext/>
        <w:spacing w:line="360" w:lineRule="auto"/>
        <w:jc w:val="center"/>
        <w:rPr>
          <w:rStyle w:val="Strong"/>
          <w:rFonts w:ascii="Garamond" w:hAnsi="Garamond"/>
        </w:rPr>
      </w:pPr>
    </w:p>
    <w:p w:rsidR="009E57F3" w:rsidRDefault="009E57F3" w:rsidP="009E57F3">
      <w:pPr>
        <w:keepNext/>
        <w:spacing w:line="360" w:lineRule="auto"/>
        <w:jc w:val="center"/>
        <w:rPr>
          <w:rStyle w:val="Strong"/>
          <w:rFonts w:ascii="Garamond" w:hAnsi="Garamond"/>
        </w:rPr>
      </w:pPr>
      <w:r>
        <w:rPr>
          <w:rStyle w:val="Strong"/>
          <w:rFonts w:ascii="Garamond" w:hAnsi="Garamond"/>
        </w:rPr>
        <w:t xml:space="preserve">Figure 5: </w:t>
      </w:r>
      <w:r w:rsidR="00087C6E">
        <w:rPr>
          <w:rStyle w:val="Strong"/>
          <w:rFonts w:ascii="Garamond" w:hAnsi="Garamond"/>
        </w:rPr>
        <w:t>Distribution of the poor by NUTS-3 spatial units for the Republic of Croatia</w:t>
      </w:r>
    </w:p>
    <w:p w:rsidR="009E57F3" w:rsidRDefault="00E24B19" w:rsidP="009E57F3">
      <w:pPr>
        <w:spacing w:line="360" w:lineRule="auto"/>
        <w:jc w:val="center"/>
        <w:rPr>
          <w:rStyle w:val="Strong"/>
          <w:rFonts w:ascii="Garamond" w:hAnsi="Garamond"/>
        </w:rPr>
      </w:pPr>
      <w:r>
        <w:rPr>
          <w:noProof/>
        </w:rPr>
        <w:drawing>
          <wp:inline distT="0" distB="0" distL="0" distR="0" wp14:anchorId="0796AAF6" wp14:editId="7B64FE50">
            <wp:extent cx="4981651" cy="4692652"/>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9421" cy="4699971"/>
                    </a:xfrm>
                    <a:prstGeom prst="rect">
                      <a:avLst/>
                    </a:prstGeom>
                  </pic:spPr>
                </pic:pic>
              </a:graphicData>
            </a:graphic>
          </wp:inline>
        </w:drawing>
      </w:r>
    </w:p>
    <w:p w:rsidR="001D571E" w:rsidRPr="00610F9B" w:rsidRDefault="001D571E" w:rsidP="001D571E">
      <w:pPr>
        <w:pStyle w:val="Heading1"/>
        <w:rPr>
          <w:rStyle w:val="Strong"/>
          <w:rFonts w:ascii="Garamond" w:hAnsi="Garamond"/>
        </w:rPr>
      </w:pPr>
      <w:r w:rsidRPr="00610F9B">
        <w:rPr>
          <w:rStyle w:val="Strong"/>
          <w:rFonts w:ascii="Garamond" w:hAnsi="Garamond"/>
        </w:rPr>
        <w:lastRenderedPageBreak/>
        <w:t>The use of poverty maps</w:t>
      </w:r>
    </w:p>
    <w:p w:rsidR="001D571E" w:rsidRDefault="00610F9B" w:rsidP="001D571E">
      <w:pPr>
        <w:pStyle w:val="Heading2"/>
        <w:rPr>
          <w:rFonts w:ascii="Garamond" w:hAnsi="Garamond"/>
          <w:b w:val="0"/>
        </w:rPr>
      </w:pPr>
      <w:r w:rsidRPr="00610F9B">
        <w:rPr>
          <w:rStyle w:val="Strong"/>
          <w:rFonts w:ascii="Garamond" w:hAnsi="Garamond"/>
        </w:rPr>
        <w:t>Local</w:t>
      </w:r>
      <w:r w:rsidRPr="00610F9B">
        <w:rPr>
          <w:rFonts w:ascii="Garamond" w:hAnsi="Garamond"/>
        </w:rPr>
        <w:t xml:space="preserve"> </w:t>
      </w:r>
      <w:r w:rsidRPr="00610F9B">
        <w:rPr>
          <w:rFonts w:ascii="Garamond" w:hAnsi="Garamond"/>
          <w:b w:val="0"/>
        </w:rPr>
        <w:t>indicators of spatial association of poverty</w:t>
      </w:r>
    </w:p>
    <w:p w:rsidR="009D4445" w:rsidRDefault="009D4445" w:rsidP="009D4445">
      <w:pPr>
        <w:keepNext/>
        <w:keepLines/>
        <w:spacing w:line="360" w:lineRule="auto"/>
        <w:jc w:val="both"/>
        <w:rPr>
          <w:rFonts w:ascii="Garamond" w:eastAsia="Times New Roman" w:hAnsi="Garamond" w:cs="Times New Roman"/>
        </w:rPr>
      </w:pPr>
    </w:p>
    <w:p w:rsidR="009D4445" w:rsidRDefault="009D4445" w:rsidP="009D4445">
      <w:pPr>
        <w:keepNext/>
        <w:keepLines/>
        <w:spacing w:line="360" w:lineRule="auto"/>
        <w:jc w:val="both"/>
        <w:rPr>
          <w:rFonts w:ascii="Garamond" w:eastAsia="Times New Roman" w:hAnsi="Garamond" w:cs="Times New Roman"/>
        </w:rPr>
      </w:pPr>
      <w:r w:rsidRPr="009D4445">
        <w:rPr>
          <w:rFonts w:ascii="Garamond" w:eastAsia="Times New Roman" w:hAnsi="Garamond" w:cs="Times New Roman"/>
        </w:rPr>
        <w:t>Using the poverty map output we seek to determine if there is a pattern to how poverty rates</w:t>
      </w:r>
      <w:r w:rsidR="00095565">
        <w:rPr>
          <w:rFonts w:ascii="Garamond" w:eastAsia="Times New Roman" w:hAnsi="Garamond" w:cs="Times New Roman"/>
        </w:rPr>
        <w:t xml:space="preserve"> of municipalities, cities, and districts of Zagreb</w:t>
      </w:r>
      <w:r w:rsidRPr="009D4445">
        <w:rPr>
          <w:rFonts w:ascii="Garamond" w:eastAsia="Times New Roman" w:hAnsi="Garamond" w:cs="Times New Roman"/>
        </w:rPr>
        <w:t xml:space="preserve"> are distributed within </w:t>
      </w:r>
      <w:r w:rsidR="00095565">
        <w:rPr>
          <w:rFonts w:ascii="Garamond" w:eastAsia="Times New Roman" w:hAnsi="Garamond" w:cs="Times New Roman"/>
        </w:rPr>
        <w:t xml:space="preserve">the Republic of </w:t>
      </w:r>
      <w:r w:rsidRPr="009D4445">
        <w:rPr>
          <w:rFonts w:ascii="Garamond" w:eastAsia="Times New Roman" w:hAnsi="Garamond" w:cs="Times New Roman"/>
        </w:rPr>
        <w:t>Croatia. When analyzing geographical data it is assumed that things that are closer are more related to things that are farther away (Tobler, 1970). This supposes that two municipalities that are closer together will be more alike than municipalities which are farther away.</w:t>
      </w:r>
    </w:p>
    <w:p w:rsidR="000A4C7A" w:rsidRPr="009D4445" w:rsidRDefault="000A4C7A" w:rsidP="000A4C7A">
      <w:pPr>
        <w:keepNext/>
        <w:spacing w:line="360" w:lineRule="auto"/>
        <w:jc w:val="both"/>
        <w:rPr>
          <w:rFonts w:ascii="Garamond" w:eastAsia="Times New Roman" w:hAnsi="Garamond" w:cs="Times New Roman"/>
        </w:rPr>
      </w:pPr>
      <w:r w:rsidRPr="009D4445">
        <w:rPr>
          <w:rFonts w:ascii="Garamond" w:eastAsia="Times New Roman" w:hAnsi="Garamond" w:cs="Times New Roman"/>
        </w:rPr>
        <w:t>As noted in Section 5 and in Figure 4, there appears to be some spatial clustering in the results from the poverty maps. In fact the Central and Eastern</w:t>
      </w:r>
      <w:r>
        <w:rPr>
          <w:rFonts w:ascii="Garamond" w:eastAsia="Times New Roman" w:hAnsi="Garamond" w:cs="Times New Roman"/>
        </w:rPr>
        <w:t xml:space="preserve"> statistical area</w:t>
      </w:r>
      <w:r w:rsidRPr="009D4445">
        <w:rPr>
          <w:rFonts w:ascii="Garamond" w:eastAsia="Times New Roman" w:hAnsi="Garamond" w:cs="Times New Roman"/>
        </w:rPr>
        <w:t xml:space="preserve"> seem</w:t>
      </w:r>
      <w:r>
        <w:rPr>
          <w:rFonts w:ascii="Garamond" w:eastAsia="Times New Roman" w:hAnsi="Garamond" w:cs="Times New Roman"/>
        </w:rPr>
        <w:t>s</w:t>
      </w:r>
      <w:r w:rsidRPr="009D4445">
        <w:rPr>
          <w:rFonts w:ascii="Garamond" w:eastAsia="Times New Roman" w:hAnsi="Garamond" w:cs="Times New Roman"/>
        </w:rPr>
        <w:t xml:space="preserve"> to be lagging behind the Adriatic and Northwest. </w:t>
      </w:r>
      <w:r>
        <w:rPr>
          <w:rFonts w:ascii="Garamond" w:eastAsia="Times New Roman" w:hAnsi="Garamond" w:cs="Times New Roman"/>
        </w:rPr>
        <w:t xml:space="preserve">This illustrates a divergence within the Continental NUTS-2 region. </w:t>
      </w:r>
      <w:r w:rsidRPr="009D4445">
        <w:rPr>
          <w:rFonts w:ascii="Garamond" w:eastAsia="Times New Roman" w:hAnsi="Garamond" w:cs="Times New Roman"/>
        </w:rPr>
        <w:t xml:space="preserve">Poverty rates in Central and Eastern regions are considerably greater than the rest of the country, and the region appears to be a hotspot for poverty. Furthermore, there appears to be a clear demarcation of low versus high poverty areas. Insofar as determining if there is in fact spatial correlation we rely on Global Moran’s I as well as Local Moran’s I statistic. </w:t>
      </w:r>
    </w:p>
    <w:p w:rsidR="00E20898" w:rsidRDefault="00E20898" w:rsidP="00E20898">
      <w:pPr>
        <w:keepNext/>
        <w:spacing w:line="360" w:lineRule="auto"/>
        <w:jc w:val="both"/>
        <w:rPr>
          <w:rFonts w:ascii="Garamond" w:eastAsia="Times New Roman" w:hAnsi="Garamond" w:cs="Times New Roman"/>
        </w:rPr>
      </w:pPr>
      <w:r w:rsidRPr="009D4445">
        <w:rPr>
          <w:rFonts w:ascii="Garamond" w:eastAsia="Times New Roman" w:hAnsi="Garamond" w:cs="Times New Roman"/>
        </w:rPr>
        <w:t xml:space="preserve">In order to obtain </w:t>
      </w:r>
      <w:r>
        <w:rPr>
          <w:rFonts w:ascii="Garamond" w:eastAsia="Times New Roman" w:hAnsi="Garamond" w:cs="Times New Roman"/>
        </w:rPr>
        <w:t>undertake analysis of spatial association</w:t>
      </w:r>
      <w:r w:rsidRPr="009D4445">
        <w:rPr>
          <w:rFonts w:ascii="Garamond" w:eastAsia="Times New Roman" w:hAnsi="Garamond" w:cs="Times New Roman"/>
        </w:rPr>
        <w:t xml:space="preserve"> it is necessary to establish a degree of spatial proximity between the </w:t>
      </w:r>
      <w:r>
        <w:rPr>
          <w:rFonts w:ascii="Garamond" w:eastAsia="Times New Roman" w:hAnsi="Garamond" w:cs="Times New Roman"/>
        </w:rPr>
        <w:t>locations</w:t>
      </w:r>
      <w:r w:rsidRPr="009D4445">
        <w:rPr>
          <w:rFonts w:ascii="Garamond" w:eastAsia="Times New Roman" w:hAnsi="Garamond" w:cs="Times New Roman"/>
        </w:rPr>
        <w:t xml:space="preserve"> in Croatia. </w:t>
      </w:r>
      <w:r>
        <w:rPr>
          <w:rFonts w:ascii="Garamond" w:eastAsia="Times New Roman" w:hAnsi="Garamond" w:cs="Times New Roman"/>
        </w:rPr>
        <w:t>In order to do this, a</w:t>
      </w:r>
      <w:r w:rsidRPr="009D4445">
        <w:rPr>
          <w:rFonts w:ascii="Garamond" w:eastAsia="Times New Roman" w:hAnsi="Garamond" w:cs="Times New Roman"/>
        </w:rPr>
        <w:t xml:space="preserve"> spatial weights matrix is used, which relies on the row-standardized inverse distances between the center of the municipalities and the surrounding municipalities. This ensures that nearer neighbors have</w:t>
      </w:r>
      <w:r>
        <w:rPr>
          <w:rFonts w:ascii="Garamond" w:eastAsia="Times New Roman" w:hAnsi="Garamond" w:cs="Times New Roman"/>
        </w:rPr>
        <w:t xml:space="preserve"> a</w:t>
      </w:r>
      <w:r w:rsidRPr="009D4445">
        <w:rPr>
          <w:rFonts w:ascii="Garamond" w:eastAsia="Times New Roman" w:hAnsi="Garamond" w:cs="Times New Roman"/>
        </w:rPr>
        <w:t xml:space="preserve"> greater influence on the analyzed outcomes, in this instance poverty rates. </w:t>
      </w:r>
    </w:p>
    <w:p w:rsidR="009D4445" w:rsidRPr="009D4445" w:rsidRDefault="009D4445" w:rsidP="009D4445">
      <w:pPr>
        <w:keepNext/>
        <w:spacing w:line="360" w:lineRule="auto"/>
        <w:jc w:val="both"/>
        <w:rPr>
          <w:rFonts w:ascii="Garamond" w:eastAsia="Times New Roman" w:hAnsi="Garamond" w:cs="Times New Roman"/>
        </w:rPr>
      </w:pPr>
      <w:r w:rsidRPr="009D4445">
        <w:rPr>
          <w:rFonts w:ascii="Garamond" w:eastAsia="Times New Roman" w:hAnsi="Garamond" w:cs="Times New Roman"/>
        </w:rPr>
        <w:t xml:space="preserve">The presence of spatial association is confirmed by </w:t>
      </w:r>
      <w:r w:rsidR="00095565">
        <w:rPr>
          <w:rFonts w:ascii="Garamond" w:eastAsia="Times New Roman" w:hAnsi="Garamond" w:cs="Times New Roman"/>
        </w:rPr>
        <w:t>a global Moran’s I index of 0.52</w:t>
      </w:r>
      <w:r w:rsidRPr="009D4445">
        <w:rPr>
          <w:rFonts w:ascii="Garamond" w:eastAsia="Times New Roman" w:hAnsi="Garamond" w:cs="Times New Roman"/>
        </w:rPr>
        <w:t xml:space="preserve"> which is significant at the 1 percent level. Local Moran’s I can aide in identifying which </w:t>
      </w:r>
      <w:r w:rsidR="00095565">
        <w:rPr>
          <w:rFonts w:ascii="Garamond" w:eastAsia="Times New Roman" w:hAnsi="Garamond" w:cs="Times New Roman"/>
        </w:rPr>
        <w:t>loca</w:t>
      </w:r>
      <w:r w:rsidRPr="009D4445">
        <w:rPr>
          <w:rFonts w:ascii="Garamond" w:eastAsia="Times New Roman" w:hAnsi="Garamond" w:cs="Times New Roman"/>
        </w:rPr>
        <w:t xml:space="preserve">lities have a statistically significant relationship with its neighbors. Spatial autocorrelation </w:t>
      </w:r>
      <w:r w:rsidR="00330676">
        <w:rPr>
          <w:rFonts w:ascii="Garamond" w:eastAsia="Times New Roman" w:hAnsi="Garamond" w:cs="Times New Roman"/>
        </w:rPr>
        <w:t>facilitates</w:t>
      </w:r>
      <w:r w:rsidRPr="009D4445">
        <w:rPr>
          <w:rFonts w:ascii="Garamond" w:eastAsia="Times New Roman" w:hAnsi="Garamond" w:cs="Times New Roman"/>
        </w:rPr>
        <w:t xml:space="preserve"> the identification of high poverty areas</w:t>
      </w:r>
      <w:r w:rsidR="00330676">
        <w:rPr>
          <w:rFonts w:ascii="Garamond" w:eastAsia="Times New Roman" w:hAnsi="Garamond" w:cs="Times New Roman"/>
        </w:rPr>
        <w:t xml:space="preserve"> </w:t>
      </w:r>
      <w:r w:rsidR="002F26B4">
        <w:rPr>
          <w:rFonts w:ascii="Garamond" w:eastAsia="Times New Roman" w:hAnsi="Garamond" w:cs="Times New Roman"/>
        </w:rPr>
        <w:t xml:space="preserve">noted in the map presented in Figure 4 </w:t>
      </w:r>
      <w:r w:rsidR="00330676">
        <w:rPr>
          <w:rStyle w:val="Strong"/>
          <w:rFonts w:ascii="Garamond" w:eastAsiaTheme="minorEastAsia" w:hAnsi="Garamond"/>
          <w:b w:val="0"/>
          <w:bCs w:val="0"/>
        </w:rPr>
        <w:t xml:space="preserve">(particularly in the Central and Eastern statistical </w:t>
      </w:r>
      <w:r w:rsidR="000A4C7A">
        <w:rPr>
          <w:rStyle w:val="Strong"/>
          <w:rFonts w:ascii="Garamond" w:eastAsiaTheme="minorEastAsia" w:hAnsi="Garamond"/>
          <w:b w:val="0"/>
          <w:bCs w:val="0"/>
        </w:rPr>
        <w:t>area within the Continental NUTS-2</w:t>
      </w:r>
      <w:r w:rsidR="00330676">
        <w:rPr>
          <w:rStyle w:val="Strong"/>
          <w:rFonts w:ascii="Garamond" w:eastAsiaTheme="minorEastAsia" w:hAnsi="Garamond"/>
          <w:b w:val="0"/>
          <w:bCs w:val="0"/>
        </w:rPr>
        <w:t>)</w:t>
      </w:r>
      <w:r w:rsidRPr="009D4445">
        <w:rPr>
          <w:rFonts w:ascii="Garamond" w:eastAsia="Times New Roman" w:hAnsi="Garamond" w:cs="Times New Roman"/>
        </w:rPr>
        <w:t>, as well as low poverty areas (</w:t>
      </w:r>
      <w:r w:rsidR="00330676">
        <w:rPr>
          <w:rStyle w:val="Strong"/>
          <w:rFonts w:ascii="Garamond" w:eastAsiaTheme="minorEastAsia" w:hAnsi="Garamond"/>
          <w:b w:val="0"/>
          <w:bCs w:val="0"/>
        </w:rPr>
        <w:t>around Zagreb and the surrounding areas of Istarska</w:t>
      </w:r>
      <w:r w:rsidRPr="009D4445">
        <w:rPr>
          <w:rFonts w:ascii="Garamond" w:eastAsia="Times New Roman" w:hAnsi="Garamond" w:cs="Times New Roman"/>
        </w:rPr>
        <w:t>).  These results bring to light the challenges that arise for regional development, and add a new layer to the discussion.</w:t>
      </w:r>
    </w:p>
    <w:p w:rsidR="002F26B4" w:rsidRDefault="002F26B4" w:rsidP="002F26B4">
      <w:pPr>
        <w:keepNext/>
        <w:spacing w:line="360" w:lineRule="auto"/>
        <w:jc w:val="both"/>
        <w:rPr>
          <w:rStyle w:val="Strong"/>
          <w:rFonts w:ascii="Garamond" w:eastAsiaTheme="minorEastAsia" w:hAnsi="Garamond"/>
          <w:b w:val="0"/>
          <w:bCs w:val="0"/>
        </w:rPr>
      </w:pPr>
      <w:r w:rsidRPr="009D4445">
        <w:rPr>
          <w:rFonts w:ascii="Garamond" w:eastAsia="Times New Roman" w:hAnsi="Garamond" w:cs="Times New Roman"/>
        </w:rPr>
        <w:t>Figure 6 presents the results for the Global and Local Moran’s I statistics. The sig</w:t>
      </w:r>
      <w:r>
        <w:rPr>
          <w:rFonts w:ascii="Garamond" w:eastAsia="Times New Roman" w:hAnsi="Garamond" w:cs="Times New Roman"/>
        </w:rPr>
        <w:t>nificant Global Moran’s I of 0.52</w:t>
      </w:r>
      <w:r w:rsidRPr="009D4445">
        <w:rPr>
          <w:rFonts w:ascii="Garamond" w:eastAsia="Times New Roman" w:hAnsi="Garamond" w:cs="Times New Roman"/>
        </w:rPr>
        <w:t xml:space="preserve"> suggest that there is spatial autocorrelation. </w:t>
      </w:r>
      <w:r>
        <w:rPr>
          <w:rStyle w:val="Strong"/>
          <w:rFonts w:ascii="Garamond" w:eastAsiaTheme="minorEastAsia" w:hAnsi="Garamond"/>
          <w:b w:val="0"/>
          <w:bCs w:val="0"/>
        </w:rPr>
        <w:t>Additionally, the map illustrates regions which are significantly different from their neighbors, and regions which are high-poverty areas and low poverty areas.  All colored areas show a significant relationship to their neighbors. Those locations marked as “High – High” (“Low-Low”) are areas where poverty is significantly greater (lower) than the neighborhood’s poverty and are greater (lower) than the average poverty among municipalities, cities and districts of Zagreb.</w:t>
      </w:r>
    </w:p>
    <w:p w:rsidR="002F26B4" w:rsidRDefault="002F26B4" w:rsidP="002F26B4">
      <w:pPr>
        <w:keepNext/>
        <w:keepLines/>
        <w:spacing w:line="360" w:lineRule="auto"/>
        <w:jc w:val="both"/>
        <w:rPr>
          <w:rStyle w:val="Strong"/>
          <w:rFonts w:ascii="Garamond" w:eastAsiaTheme="minorEastAsia" w:hAnsi="Garamond"/>
          <w:b w:val="0"/>
          <w:bCs w:val="0"/>
        </w:rPr>
      </w:pPr>
      <w:r>
        <w:rPr>
          <w:rStyle w:val="Strong"/>
          <w:rFonts w:ascii="Garamond" w:eastAsiaTheme="minorEastAsia" w:hAnsi="Garamond"/>
          <w:b w:val="0"/>
          <w:bCs w:val="0"/>
        </w:rPr>
        <w:lastRenderedPageBreak/>
        <w:t>A cluster of high poverty is clearly delineated in the Eastern Central statistical area (Figure 6 and 7). In Zagreb and surrounding areas a cluster of low poverty is highlighted, the same holds true for the north of the Adriatic region. Municipalities, cities, and/or districts of Zagreb marked as low-high outliers and the high-low outliers are particularly of interest. While poverty may be high (low) in particular areas, there are some municipalities that have a significantly lower (higher) level of poverty than its surroundings. These are mostly observed in the Adriatic and Eastern Central areas.</w:t>
      </w:r>
    </w:p>
    <w:p w:rsidR="002F26B4" w:rsidRDefault="002F26B4" w:rsidP="002F26B4">
      <w:pPr>
        <w:keepNext/>
        <w:keepLines/>
        <w:spacing w:line="360" w:lineRule="auto"/>
        <w:jc w:val="both"/>
        <w:rPr>
          <w:rStyle w:val="Strong"/>
          <w:rFonts w:ascii="Garamond" w:eastAsiaTheme="minorEastAsia" w:hAnsi="Garamond"/>
          <w:bCs w:val="0"/>
        </w:rPr>
      </w:pPr>
      <w:r>
        <w:rPr>
          <w:rStyle w:val="Strong"/>
          <w:rFonts w:ascii="Garamond" w:eastAsiaTheme="minorEastAsia" w:hAnsi="Garamond"/>
          <w:b w:val="0"/>
          <w:bCs w:val="0"/>
        </w:rPr>
        <w:t xml:space="preserve">The hot spot analysis in Figure 8, brings to light a demarcation and separation between regions. This was also evident in the results from the OLS and GLS (see Table 2). All three statistical areas are different. Independently from the NUTS-2 classification which aggregates the Northwestern statistical area and the Eastern and Central statistical area, when it comes to welfare these areas are considerably different. </w:t>
      </w:r>
    </w:p>
    <w:p w:rsidR="00B873B8" w:rsidRDefault="00916437" w:rsidP="00B873B8">
      <w:pPr>
        <w:keepNext/>
        <w:spacing w:line="360" w:lineRule="auto"/>
        <w:jc w:val="center"/>
        <w:rPr>
          <w:rStyle w:val="Strong"/>
          <w:rFonts w:ascii="Garamond" w:eastAsiaTheme="minorEastAsia" w:hAnsi="Garamond"/>
          <w:bCs w:val="0"/>
        </w:rPr>
      </w:pPr>
      <w:r>
        <w:rPr>
          <w:rStyle w:val="Strong"/>
          <w:rFonts w:ascii="Garamond" w:eastAsiaTheme="minorEastAsia" w:hAnsi="Garamond"/>
          <w:bCs w:val="0"/>
        </w:rPr>
        <w:t xml:space="preserve">Figure 6: </w:t>
      </w:r>
      <w:r w:rsidR="00B873B8">
        <w:rPr>
          <w:rStyle w:val="Strong"/>
          <w:rFonts w:ascii="Garamond" w:eastAsiaTheme="minorEastAsia" w:hAnsi="Garamond"/>
          <w:bCs w:val="0"/>
        </w:rPr>
        <w:t>Poverty Map for the Republic of Croatia (Spatial association of headcount poverty)</w:t>
      </w:r>
    </w:p>
    <w:p w:rsidR="00B873B8" w:rsidRDefault="00B873B8" w:rsidP="00916437">
      <w:pPr>
        <w:keepNext/>
        <w:spacing w:line="360" w:lineRule="auto"/>
        <w:jc w:val="center"/>
        <w:rPr>
          <w:rFonts w:ascii="Garamond" w:eastAsia="Times New Roman" w:hAnsi="Garamond" w:cs="Times New Roman"/>
        </w:rPr>
      </w:pPr>
      <w:r>
        <w:rPr>
          <w:rFonts w:ascii="Garamond" w:eastAsia="Times New Roman" w:hAnsi="Garamond" w:cs="Times New Roman"/>
          <w:noProof/>
        </w:rPr>
        <w:drawing>
          <wp:inline distT="0" distB="0" distL="0" distR="0">
            <wp:extent cx="5943600" cy="4457700"/>
            <wp:effectExtent l="0" t="0" r="0" b="0"/>
            <wp:docPr id="3" name="Picture 3" descr="C:\Users\Paul Corral\Downloads\hrv_SILC_bootstrap_MORANS_FG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Corral\Downloads\hrv_SILC_bootstrap_MORANS_FGT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16437" w:rsidRPr="009D4445" w:rsidRDefault="00916437" w:rsidP="00916437">
      <w:pPr>
        <w:keepNext/>
        <w:spacing w:line="360" w:lineRule="auto"/>
        <w:jc w:val="center"/>
        <w:rPr>
          <w:rFonts w:ascii="Garamond" w:eastAsia="Times New Roman" w:hAnsi="Garamond" w:cs="Times New Roman"/>
        </w:rPr>
      </w:pPr>
    </w:p>
    <w:p w:rsidR="00E20898" w:rsidRDefault="00E20898" w:rsidP="00E20898">
      <w:pPr>
        <w:keepNext/>
        <w:spacing w:line="360" w:lineRule="auto"/>
        <w:jc w:val="center"/>
        <w:rPr>
          <w:rStyle w:val="Strong"/>
          <w:rFonts w:ascii="Garamond" w:eastAsiaTheme="minorEastAsia" w:hAnsi="Garamond"/>
          <w:bCs w:val="0"/>
        </w:rPr>
      </w:pPr>
    </w:p>
    <w:p w:rsidR="00E20898" w:rsidRDefault="00E20898" w:rsidP="00E20898">
      <w:pPr>
        <w:keepNext/>
        <w:spacing w:line="360" w:lineRule="auto"/>
        <w:jc w:val="center"/>
        <w:rPr>
          <w:rStyle w:val="Strong"/>
          <w:rFonts w:ascii="Garamond" w:eastAsiaTheme="minorEastAsia" w:hAnsi="Garamond"/>
          <w:bCs w:val="0"/>
        </w:rPr>
      </w:pPr>
      <w:r>
        <w:rPr>
          <w:rStyle w:val="Strong"/>
          <w:rFonts w:ascii="Garamond" w:eastAsiaTheme="minorEastAsia" w:hAnsi="Garamond"/>
          <w:bCs w:val="0"/>
        </w:rPr>
        <w:t>Figure 7: Poverty Map for the Republic of Croatia: hot spot analysis (Getis-Ord Gi)</w:t>
      </w:r>
    </w:p>
    <w:p w:rsidR="00E20898" w:rsidRDefault="00E20898" w:rsidP="00E20898">
      <w:pPr>
        <w:keepNext/>
        <w:spacing w:line="360" w:lineRule="auto"/>
        <w:jc w:val="center"/>
        <w:rPr>
          <w:rStyle w:val="Strong"/>
          <w:rFonts w:ascii="Garamond" w:eastAsiaTheme="minorEastAsia" w:hAnsi="Garamond"/>
          <w:bCs w:val="0"/>
        </w:rPr>
      </w:pPr>
      <w:r>
        <w:rPr>
          <w:rFonts w:ascii="Garamond" w:eastAsiaTheme="minorEastAsia" w:hAnsi="Garamond"/>
          <w:b/>
          <w:noProof/>
        </w:rPr>
        <w:drawing>
          <wp:inline distT="0" distB="0" distL="0" distR="0">
            <wp:extent cx="5943600" cy="4457700"/>
            <wp:effectExtent l="0" t="0" r="0" b="0"/>
            <wp:docPr id="4" name="Picture 4" descr="C:\Users\Paul Corral\Downloads\hrv_SILC_bootstrap_HOTSPOT_FG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 Corral\Downloads\hrv_SILC_bootstrap_HOTSPOT_FGT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20898" w:rsidRDefault="00E20898" w:rsidP="00DE6852">
      <w:pPr>
        <w:keepNext/>
        <w:spacing w:line="360" w:lineRule="auto"/>
        <w:jc w:val="both"/>
        <w:rPr>
          <w:rStyle w:val="Strong"/>
          <w:rFonts w:ascii="Garamond" w:eastAsiaTheme="minorEastAsia" w:hAnsi="Garamond"/>
          <w:b w:val="0"/>
          <w:bCs w:val="0"/>
        </w:rPr>
      </w:pPr>
    </w:p>
    <w:p w:rsidR="00B25D26" w:rsidRDefault="00713FC1" w:rsidP="00713FC1">
      <w:pPr>
        <w:pStyle w:val="Heading1"/>
        <w:rPr>
          <w:rStyle w:val="Strong"/>
          <w:rFonts w:ascii="Garamond" w:hAnsi="Garamond"/>
        </w:rPr>
      </w:pPr>
      <w:r>
        <w:rPr>
          <w:rStyle w:val="Strong"/>
          <w:rFonts w:ascii="Garamond" w:hAnsi="Garamond"/>
        </w:rPr>
        <w:t>C</w:t>
      </w:r>
      <w:r w:rsidR="00B25D26">
        <w:rPr>
          <w:rStyle w:val="Strong"/>
          <w:rFonts w:ascii="Garamond" w:hAnsi="Garamond"/>
        </w:rPr>
        <w:t>oncluding remarks</w:t>
      </w:r>
    </w:p>
    <w:p w:rsidR="00713FC1" w:rsidRDefault="00713FC1" w:rsidP="00713FC1">
      <w:pPr>
        <w:keepNext/>
        <w:keepLines/>
        <w:spacing w:line="360" w:lineRule="auto"/>
        <w:jc w:val="both"/>
        <w:rPr>
          <w:rFonts w:ascii="Garamond" w:hAnsi="Garamond"/>
        </w:rPr>
      </w:pPr>
    </w:p>
    <w:p w:rsidR="00713FC1" w:rsidRDefault="00713FC1" w:rsidP="00713FC1">
      <w:pPr>
        <w:keepNext/>
        <w:keepLines/>
        <w:spacing w:line="360" w:lineRule="auto"/>
        <w:jc w:val="both"/>
        <w:rPr>
          <w:rFonts w:ascii="Garamond" w:hAnsi="Garamond"/>
        </w:rPr>
      </w:pPr>
      <w:r>
        <w:rPr>
          <w:rFonts w:ascii="Garamond" w:hAnsi="Garamond"/>
        </w:rPr>
        <w:t>Direct poverty estimates from the EU-SILC are only reliable at the statistical area level</w:t>
      </w:r>
      <w:r w:rsidR="002F26B4">
        <w:rPr>
          <w:rFonts w:ascii="Garamond" w:hAnsi="Garamond"/>
        </w:rPr>
        <w:t>, and thus at the NUTS-2 level</w:t>
      </w:r>
      <w:r>
        <w:rPr>
          <w:rFonts w:ascii="Garamond" w:hAnsi="Garamond"/>
        </w:rPr>
        <w:t xml:space="preserve">. This complicates the analysis of poverty at more disaggregated levels since the reliability of direct estimates are questionable. Data from the </w:t>
      </w:r>
      <w:r w:rsidRPr="00487717">
        <w:rPr>
          <w:rFonts w:ascii="Garamond" w:hAnsi="Garamond"/>
        </w:rPr>
        <w:t>Census of Population, Households and Dwellings</w:t>
      </w:r>
      <w:r>
        <w:rPr>
          <w:rFonts w:ascii="Garamond" w:hAnsi="Garamond"/>
        </w:rPr>
        <w:t xml:space="preserve"> 2011 coupled with small area estimation techniques aide policy makers overcome the lack of precision at lower geographical levels. The results from the poverty </w:t>
      </w:r>
      <w:r w:rsidRPr="00A30277">
        <w:rPr>
          <w:rFonts w:ascii="Garamond" w:hAnsi="Garamond"/>
        </w:rPr>
        <w:t xml:space="preserve">mapping exercise, coupled with spatial analysis reveal the heterogeneity of poverty in Croatia. </w:t>
      </w:r>
    </w:p>
    <w:p w:rsidR="002F26B4" w:rsidRDefault="00713FC1" w:rsidP="002F26B4">
      <w:pPr>
        <w:keepNext/>
        <w:keepLines/>
        <w:spacing w:line="360" w:lineRule="auto"/>
        <w:jc w:val="both"/>
        <w:rPr>
          <w:rFonts w:ascii="Garamond" w:hAnsi="Garamond"/>
        </w:rPr>
      </w:pPr>
      <w:r w:rsidRPr="00A30277">
        <w:rPr>
          <w:rFonts w:ascii="Garamond" w:hAnsi="Garamond"/>
        </w:rPr>
        <w:t>Results from spatial analysis reveal that there is a cluster of high poverty in the Central and Eastern region of Croatia. There is a clear poverty demarcation in the country, where the Central and Eastern part of the country is clearly doing worse than the rest of the country.</w:t>
      </w:r>
      <w:r w:rsidR="002F26B4">
        <w:rPr>
          <w:rFonts w:ascii="Garamond" w:hAnsi="Garamond"/>
        </w:rPr>
        <w:t xml:space="preserve"> Results also reveal that while the Continental NUTS-2 spatial unit, may seem poorer than the Adriatic, the result is mainly driven by the aggregation of the two statistical regions (Northwest, and the Central and Eastern statistical regions).</w:t>
      </w:r>
    </w:p>
    <w:p w:rsidR="00713FC1" w:rsidRPr="00713FC1" w:rsidRDefault="00713FC1" w:rsidP="002F26B4">
      <w:pPr>
        <w:keepNext/>
        <w:keepLines/>
        <w:spacing w:line="360" w:lineRule="auto"/>
        <w:jc w:val="both"/>
      </w:pPr>
      <w:r w:rsidRPr="00A30277">
        <w:rPr>
          <w:rFonts w:ascii="Garamond" w:hAnsi="Garamond"/>
        </w:rPr>
        <w:t xml:space="preserve">The use of the poverty map in order to assist in the guidance of resource allocation can help policy makers achieve considerable gains in poverty reduction. </w:t>
      </w:r>
      <w:r w:rsidR="002F26B4">
        <w:rPr>
          <w:rFonts w:ascii="Garamond" w:hAnsi="Garamond"/>
        </w:rPr>
        <w:t>Additionally, the visual format of the maps is simple to understand which makes it easy for the population at large to take notice of where their community stands compared to the rest of the country. Moreover, because the maps are based on established data sets, these are objective. As a consequence the maps may help prevent subjective decision making. Given the mentioned uses of the poverty maps these are valuable</w:t>
      </w:r>
      <w:r w:rsidR="002F26B4" w:rsidRPr="0056533E">
        <w:rPr>
          <w:rFonts w:ascii="Garamond" w:hAnsi="Garamond"/>
        </w:rPr>
        <w:t xml:space="preserve"> </w:t>
      </w:r>
      <w:r w:rsidR="002F26B4">
        <w:rPr>
          <w:rFonts w:ascii="Garamond" w:hAnsi="Garamond"/>
        </w:rPr>
        <w:t>component of</w:t>
      </w:r>
      <w:r w:rsidR="002F26B4" w:rsidRPr="0056533E">
        <w:rPr>
          <w:rFonts w:ascii="Garamond" w:hAnsi="Garamond"/>
        </w:rPr>
        <w:t xml:space="preserve"> the policy maker’s tool kit when trying to decide where limited funds can be distributed among the population which needs assistance.  </w:t>
      </w:r>
    </w:p>
    <w:p w:rsidR="00713FC1" w:rsidRDefault="00713FC1" w:rsidP="002F26B4">
      <w:pPr>
        <w:pStyle w:val="Heading1"/>
        <w:pageBreakBefore/>
        <w:rPr>
          <w:rStyle w:val="Strong"/>
          <w:rFonts w:ascii="Garamond" w:hAnsi="Garamond"/>
        </w:rPr>
      </w:pPr>
      <w:r>
        <w:rPr>
          <w:rStyle w:val="Strong"/>
          <w:rFonts w:ascii="Garamond" w:hAnsi="Garamond"/>
        </w:rPr>
        <w:t>References</w:t>
      </w:r>
    </w:p>
    <w:p w:rsidR="00713FC1" w:rsidRDefault="00713FC1" w:rsidP="00713FC1">
      <w:pPr>
        <w:keepNext/>
        <w:keepLines/>
        <w:spacing w:line="360" w:lineRule="auto"/>
        <w:jc w:val="both"/>
        <w:rPr>
          <w:rFonts w:ascii="Garamond" w:hAnsi="Garamond"/>
        </w:rPr>
      </w:pPr>
    </w:p>
    <w:p w:rsidR="002F26B4" w:rsidRDefault="002F26B4" w:rsidP="002F26B4">
      <w:pPr>
        <w:keepNext/>
        <w:keepLines/>
        <w:spacing w:line="360" w:lineRule="auto"/>
        <w:jc w:val="both"/>
        <w:rPr>
          <w:rFonts w:ascii="Garamond" w:hAnsi="Garamond"/>
        </w:rPr>
      </w:pPr>
      <w:r w:rsidRPr="0056533E">
        <w:rPr>
          <w:rFonts w:ascii="Garamond" w:hAnsi="Garamond"/>
        </w:rPr>
        <w:t>Baric, M., &amp; Williams, C. (2015). Tackling the undeclared economy in Croatia. South-Eastern Europe Journal of Economics, 11(1).</w:t>
      </w:r>
    </w:p>
    <w:p w:rsidR="002F26B4" w:rsidRDefault="002F26B4" w:rsidP="002F26B4">
      <w:pPr>
        <w:keepNext/>
        <w:keepLines/>
        <w:spacing w:line="360" w:lineRule="auto"/>
        <w:jc w:val="both"/>
        <w:rPr>
          <w:rFonts w:ascii="Garamond" w:hAnsi="Garamond"/>
        </w:rPr>
      </w:pPr>
      <w:r w:rsidRPr="007F5CA7">
        <w:rPr>
          <w:rFonts w:ascii="Garamond" w:hAnsi="Garamond"/>
        </w:rPr>
        <w:t>Bedi, T., Coudouel, A., &amp; Simler, K. (Eds.). (2007). More than a pretty picture: using poverty maps to design better policies and interventions. World Bank Publications.</w:t>
      </w:r>
    </w:p>
    <w:p w:rsidR="002F26B4" w:rsidRPr="0056533E" w:rsidRDefault="002F26B4" w:rsidP="002F26B4">
      <w:pPr>
        <w:keepNext/>
        <w:keepLines/>
        <w:spacing w:line="360" w:lineRule="auto"/>
        <w:jc w:val="both"/>
        <w:rPr>
          <w:rFonts w:ascii="Garamond" w:hAnsi="Garamond"/>
        </w:rPr>
      </w:pPr>
      <w:r w:rsidRPr="0056533E">
        <w:rPr>
          <w:rFonts w:ascii="Garamond" w:hAnsi="Garamond"/>
        </w:rPr>
        <w:t>Elbers, C., Lan</w:t>
      </w:r>
      <w:r>
        <w:rPr>
          <w:rFonts w:ascii="Garamond" w:hAnsi="Garamond"/>
        </w:rPr>
        <w:t>jouw, J. O., &amp; Lanjouw, P. (2002</w:t>
      </w:r>
      <w:r w:rsidRPr="0056533E">
        <w:rPr>
          <w:rFonts w:ascii="Garamond" w:hAnsi="Garamond"/>
        </w:rPr>
        <w:t>).</w:t>
      </w:r>
      <w:r>
        <w:rPr>
          <w:rFonts w:ascii="Garamond" w:hAnsi="Garamond"/>
        </w:rPr>
        <w:t xml:space="preserve"> </w:t>
      </w:r>
      <w:r w:rsidRPr="002B6F6B">
        <w:rPr>
          <w:rFonts w:ascii="Garamond" w:hAnsi="Garamond"/>
        </w:rPr>
        <w:t>Micro-level estimation of welfare</w:t>
      </w:r>
      <w:r>
        <w:rPr>
          <w:rFonts w:ascii="Garamond" w:hAnsi="Garamond"/>
        </w:rPr>
        <w:t>. World Bank Policy Research Working Paper, (2911)</w:t>
      </w:r>
    </w:p>
    <w:p w:rsidR="002F26B4" w:rsidRPr="0056533E" w:rsidRDefault="002F26B4" w:rsidP="002F26B4">
      <w:pPr>
        <w:keepNext/>
        <w:keepLines/>
        <w:spacing w:line="360" w:lineRule="auto"/>
        <w:jc w:val="both"/>
        <w:rPr>
          <w:rFonts w:ascii="Garamond" w:hAnsi="Garamond"/>
        </w:rPr>
      </w:pPr>
      <w:r w:rsidRPr="0056533E">
        <w:rPr>
          <w:rFonts w:ascii="Garamond" w:hAnsi="Garamond"/>
        </w:rPr>
        <w:t>Elbers, C., Lanjouw, J. O., &amp; Lanjouw, P. (2003). Micro–level estimation of poverty and inequality. Econometrica, 71(1), 355-364.</w:t>
      </w:r>
    </w:p>
    <w:p w:rsidR="002F26B4" w:rsidRPr="0056533E" w:rsidRDefault="002F26B4" w:rsidP="002F26B4">
      <w:pPr>
        <w:keepNext/>
        <w:keepLines/>
        <w:spacing w:line="360" w:lineRule="auto"/>
        <w:jc w:val="both"/>
        <w:rPr>
          <w:rFonts w:ascii="Garamond" w:hAnsi="Garamond"/>
        </w:rPr>
      </w:pPr>
      <w:r w:rsidRPr="0056533E">
        <w:rPr>
          <w:rFonts w:ascii="Garamond" w:hAnsi="Garamond"/>
        </w:rPr>
        <w:t>Elbers, C., Fujii, T., Lanjouw, P., Özler, B., &amp; Yin, W. (2007). Poverty alleviation through geographic targeting: How much does disaggregation help?. Journal of Development Economics, 83(1), 198-213.</w:t>
      </w:r>
    </w:p>
    <w:p w:rsidR="002F26B4" w:rsidRPr="0056533E" w:rsidRDefault="002F26B4" w:rsidP="002F26B4">
      <w:pPr>
        <w:keepNext/>
        <w:keepLines/>
        <w:spacing w:line="360" w:lineRule="auto"/>
        <w:jc w:val="both"/>
        <w:rPr>
          <w:rFonts w:ascii="Garamond" w:hAnsi="Garamond"/>
        </w:rPr>
      </w:pPr>
      <w:r w:rsidRPr="00C5357F">
        <w:rPr>
          <w:rFonts w:ascii="Garamond" w:hAnsi="Garamond"/>
          <w:lang w:val="es-ES"/>
        </w:rPr>
        <w:t xml:space="preserve">Guadarrama, M., Molina, I., &amp; Rao, J. N. K. (2016). </w:t>
      </w:r>
      <w:r w:rsidRPr="0056533E">
        <w:rPr>
          <w:rFonts w:ascii="Garamond" w:hAnsi="Garamond"/>
        </w:rPr>
        <w:t>A Comparison of Small Area Estimation Methods for Poverty Mapping. STATISTICS IN TRANSITION new series and SURVEY METHODOLOGY, 41.</w:t>
      </w:r>
    </w:p>
    <w:p w:rsidR="002F26B4" w:rsidRPr="0056533E" w:rsidRDefault="002F26B4" w:rsidP="002F26B4">
      <w:pPr>
        <w:keepNext/>
        <w:keepLines/>
        <w:spacing w:line="360" w:lineRule="auto"/>
        <w:jc w:val="both"/>
        <w:rPr>
          <w:rFonts w:ascii="Garamond" w:hAnsi="Garamond"/>
        </w:rPr>
      </w:pPr>
      <w:r w:rsidRPr="0056533E">
        <w:rPr>
          <w:rFonts w:ascii="Garamond" w:hAnsi="Garamond"/>
        </w:rPr>
        <w:t>Tobler, W. R. (1970). A computer movie simulating urban growth in the Detroit region. Economic geography, 46(sup1), 234-240.</w:t>
      </w:r>
    </w:p>
    <w:p w:rsidR="002F26B4" w:rsidRPr="001321A2" w:rsidRDefault="002F26B4" w:rsidP="002F26B4">
      <w:pPr>
        <w:keepNext/>
        <w:keepLines/>
        <w:spacing w:line="360" w:lineRule="auto"/>
        <w:jc w:val="both"/>
      </w:pPr>
      <w:r w:rsidRPr="0056533E">
        <w:rPr>
          <w:rFonts w:ascii="Garamond" w:hAnsi="Garamond"/>
        </w:rPr>
        <w:t>Van der Weide, R. (2014). GLS estimation and empirical bayes prediction for linear mixed models with Heteroskedasticity and sampling weights: a background study for the POVMAP project. World Bank Policy Research Working Paper, (7028).</w:t>
      </w:r>
    </w:p>
    <w:p w:rsidR="00B25D26" w:rsidRPr="00BE02BE" w:rsidRDefault="00B25D26" w:rsidP="00B25D26">
      <w:pPr>
        <w:spacing w:line="360" w:lineRule="auto"/>
        <w:jc w:val="both"/>
        <w:rPr>
          <w:rStyle w:val="Strong"/>
          <w:rFonts w:ascii="Garamond" w:hAnsi="Garamond"/>
        </w:rPr>
      </w:pPr>
    </w:p>
    <w:p w:rsidR="00602860" w:rsidRDefault="00602860" w:rsidP="002F26B4">
      <w:pPr>
        <w:pStyle w:val="Heading1"/>
        <w:pageBreakBefore/>
        <w:rPr>
          <w:rStyle w:val="Strong"/>
          <w:rFonts w:ascii="Garamond" w:hAnsi="Garamond"/>
        </w:rPr>
      </w:pPr>
      <w:r>
        <w:rPr>
          <w:rStyle w:val="Strong"/>
          <w:rFonts w:ascii="Garamond" w:hAnsi="Garamond"/>
        </w:rPr>
        <w:t>Appendix</w:t>
      </w:r>
    </w:p>
    <w:p w:rsidR="00713FC1" w:rsidRDefault="00713FC1" w:rsidP="00713FC1">
      <w:pPr>
        <w:pStyle w:val="Heading2"/>
        <w:rPr>
          <w:rFonts w:ascii="Garamond" w:hAnsi="Garamond"/>
          <w:b w:val="0"/>
        </w:rPr>
      </w:pPr>
      <w:r w:rsidRPr="00A30277">
        <w:rPr>
          <w:rFonts w:ascii="Garamond" w:hAnsi="Garamond"/>
          <w:b w:val="0"/>
        </w:rPr>
        <w:t>Mathematical appendix</w:t>
      </w:r>
    </w:p>
    <w:p w:rsidR="00713FC1" w:rsidRDefault="00713FC1" w:rsidP="00713FC1"/>
    <w:p w:rsidR="003C5827" w:rsidRDefault="003C5827" w:rsidP="003C5827">
      <w:pPr>
        <w:spacing w:line="360" w:lineRule="auto"/>
        <w:jc w:val="both"/>
        <w:rPr>
          <w:rFonts w:ascii="Garamond" w:hAnsi="Garamond"/>
          <w:w w:val="106"/>
        </w:rPr>
      </w:pPr>
      <w:r>
        <w:rPr>
          <w:rFonts w:ascii="Garamond" w:hAnsi="Garamond"/>
        </w:rPr>
        <w:t>The discussion below presents the</w:t>
      </w:r>
      <w:r w:rsidRPr="001321A2">
        <w:rPr>
          <w:rFonts w:ascii="Garamond" w:hAnsi="Garamond"/>
          <w:spacing w:val="37"/>
        </w:rPr>
        <w:t xml:space="preserve"> </w:t>
      </w:r>
      <w:r w:rsidRPr="001321A2">
        <w:rPr>
          <w:rFonts w:ascii="Garamond" w:hAnsi="Garamond"/>
        </w:rPr>
        <w:t>meth</w:t>
      </w:r>
      <w:r w:rsidRPr="001321A2">
        <w:rPr>
          <w:rFonts w:ascii="Garamond" w:hAnsi="Garamond"/>
          <w:spacing w:val="6"/>
        </w:rPr>
        <w:t>o</w:t>
      </w:r>
      <w:r w:rsidRPr="001321A2">
        <w:rPr>
          <w:rFonts w:ascii="Garamond" w:hAnsi="Garamond"/>
        </w:rPr>
        <w:t xml:space="preserve">dology </w:t>
      </w:r>
      <w:r w:rsidRPr="001321A2">
        <w:rPr>
          <w:rFonts w:ascii="Garamond" w:hAnsi="Garamond"/>
          <w:spacing w:val="5"/>
        </w:rPr>
        <w:t xml:space="preserve"> </w:t>
      </w:r>
      <w:r w:rsidRPr="001321A2">
        <w:rPr>
          <w:rFonts w:ascii="Garamond" w:hAnsi="Garamond"/>
        </w:rPr>
        <w:t xml:space="preserve">detailed </w:t>
      </w:r>
      <w:r w:rsidRPr="001321A2">
        <w:rPr>
          <w:rFonts w:ascii="Garamond" w:hAnsi="Garamond"/>
          <w:spacing w:val="5"/>
        </w:rPr>
        <w:t xml:space="preserve"> </w:t>
      </w:r>
      <w:r w:rsidRPr="001321A2">
        <w:rPr>
          <w:rFonts w:ascii="Garamond" w:hAnsi="Garamond"/>
          <w:spacing w:val="-5"/>
        </w:rPr>
        <w:t>b</w:t>
      </w:r>
      <w:r w:rsidRPr="001321A2">
        <w:rPr>
          <w:rFonts w:ascii="Garamond" w:hAnsi="Garamond"/>
        </w:rPr>
        <w:t>y</w:t>
      </w:r>
      <w:r w:rsidRPr="001321A2">
        <w:rPr>
          <w:rFonts w:ascii="Garamond" w:hAnsi="Garamond"/>
          <w:spacing w:val="19"/>
        </w:rPr>
        <w:t xml:space="preserve"> </w:t>
      </w:r>
      <w:r w:rsidRPr="001321A2">
        <w:rPr>
          <w:rFonts w:ascii="Garamond" w:hAnsi="Garamond"/>
        </w:rPr>
        <w:t>ELL</w:t>
      </w:r>
      <w:r w:rsidRPr="001321A2">
        <w:rPr>
          <w:rFonts w:ascii="Garamond" w:hAnsi="Garamond"/>
          <w:spacing w:val="23"/>
        </w:rPr>
        <w:t xml:space="preserve"> </w:t>
      </w:r>
      <w:r w:rsidRPr="001321A2">
        <w:rPr>
          <w:rFonts w:ascii="Garamond" w:hAnsi="Garamond"/>
        </w:rPr>
        <w:t>(2002</w:t>
      </w:r>
      <w:r w:rsidRPr="001321A2">
        <w:rPr>
          <w:rFonts w:ascii="Garamond" w:hAnsi="Garamond"/>
          <w:spacing w:val="13"/>
        </w:rPr>
        <w:t xml:space="preserve"> </w:t>
      </w:r>
      <w:r w:rsidRPr="001321A2">
        <w:rPr>
          <w:rFonts w:ascii="Garamond" w:hAnsi="Garamond"/>
        </w:rPr>
        <w:t>and</w:t>
      </w:r>
      <w:r w:rsidRPr="001321A2">
        <w:rPr>
          <w:rFonts w:ascii="Garamond" w:hAnsi="Garamond"/>
          <w:spacing w:val="36"/>
        </w:rPr>
        <w:t xml:space="preserve"> </w:t>
      </w:r>
      <w:r w:rsidRPr="001321A2">
        <w:rPr>
          <w:rFonts w:ascii="Garamond" w:hAnsi="Garamond"/>
        </w:rPr>
        <w:t>2003</w:t>
      </w:r>
      <w:r>
        <w:rPr>
          <w:rFonts w:ascii="Garamond" w:hAnsi="Garamond"/>
        </w:rPr>
        <w:t>)</w:t>
      </w:r>
      <w:r>
        <w:rPr>
          <w:rFonts w:ascii="Garamond" w:hAnsi="Garamond"/>
          <w:w w:val="106"/>
        </w:rPr>
        <w:t>. Interested reader should refer to these documents for the full discussion.</w:t>
      </w:r>
    </w:p>
    <w:p w:rsidR="003C5827" w:rsidRDefault="003C5827" w:rsidP="003C5827">
      <w:pPr>
        <w:spacing w:line="360" w:lineRule="auto"/>
        <w:jc w:val="both"/>
        <w:rPr>
          <w:rFonts w:ascii="Garamond" w:hAnsi="Garamond"/>
          <w:w w:val="99"/>
        </w:rPr>
      </w:pPr>
      <w:r w:rsidRPr="001321A2">
        <w:rPr>
          <w:rFonts w:ascii="Garamond" w:hAnsi="Garamond"/>
          <w:spacing w:val="-17"/>
        </w:rPr>
        <w:t>F</w:t>
      </w:r>
      <w:r w:rsidRPr="001321A2">
        <w:rPr>
          <w:rFonts w:ascii="Garamond" w:hAnsi="Garamond"/>
        </w:rPr>
        <w:t xml:space="preserve">rom </w:t>
      </w:r>
      <w:r w:rsidRPr="001321A2">
        <w:rPr>
          <w:rFonts w:ascii="Garamond" w:hAnsi="Garamond"/>
          <w:spacing w:val="10"/>
        </w:rPr>
        <w:t xml:space="preserve"> </w:t>
      </w:r>
      <w:r w:rsidRPr="001321A2">
        <w:rPr>
          <w:rFonts w:ascii="Garamond" w:hAnsi="Garamond"/>
        </w:rPr>
        <w:t xml:space="preserve">the </w:t>
      </w:r>
      <w:r w:rsidRPr="001321A2">
        <w:rPr>
          <w:rFonts w:ascii="Garamond" w:hAnsi="Garamond"/>
          <w:spacing w:val="4"/>
        </w:rPr>
        <w:t xml:space="preserve"> </w:t>
      </w:r>
      <w:r w:rsidRPr="001321A2">
        <w:rPr>
          <w:rFonts w:ascii="Garamond" w:hAnsi="Garamond"/>
          <w:w w:val="109"/>
        </w:rPr>
        <w:t>estimation</w:t>
      </w:r>
      <w:r w:rsidRPr="001321A2">
        <w:rPr>
          <w:rFonts w:ascii="Garamond" w:hAnsi="Garamond"/>
          <w:spacing w:val="17"/>
          <w:w w:val="109"/>
        </w:rPr>
        <w:t xml:space="preserve"> </w:t>
      </w:r>
      <w:r w:rsidRPr="001321A2">
        <w:rPr>
          <w:rFonts w:ascii="Garamond" w:hAnsi="Garamond"/>
        </w:rPr>
        <w:t>of</w:t>
      </w:r>
      <w:r w:rsidRPr="001321A2">
        <w:rPr>
          <w:rFonts w:ascii="Garamond" w:hAnsi="Garamond"/>
          <w:spacing w:val="15"/>
        </w:rPr>
        <w:t xml:space="preserve"> </w:t>
      </w:r>
      <w:r w:rsidRPr="001321A2">
        <w:rPr>
          <w:rFonts w:ascii="Garamond" w:hAnsi="Garamond"/>
        </w:rPr>
        <w:t xml:space="preserve">equation </w:t>
      </w:r>
      <w:r w:rsidRPr="001321A2">
        <w:rPr>
          <w:rFonts w:ascii="Garamond" w:hAnsi="Garamond"/>
          <w:spacing w:val="27"/>
        </w:rPr>
        <w:t xml:space="preserve"> </w:t>
      </w:r>
      <w:r w:rsidRPr="001321A2">
        <w:rPr>
          <w:rFonts w:ascii="Garamond" w:hAnsi="Garamond"/>
        </w:rPr>
        <w:t>1</w:t>
      </w:r>
      <w:r w:rsidRPr="001321A2">
        <w:rPr>
          <w:rFonts w:ascii="Garamond" w:hAnsi="Garamond"/>
          <w:spacing w:val="21"/>
        </w:rPr>
        <w:t xml:space="preserve"> </w:t>
      </w:r>
      <w:r w:rsidRPr="001321A2">
        <w:rPr>
          <w:rFonts w:ascii="Garamond" w:hAnsi="Garamond"/>
          <w:spacing w:val="-5"/>
        </w:rPr>
        <w:t>w</w:t>
      </w:r>
      <w:r w:rsidRPr="001321A2">
        <w:rPr>
          <w:rFonts w:ascii="Garamond" w:hAnsi="Garamond"/>
        </w:rPr>
        <w:t>e</w:t>
      </w:r>
      <w:r w:rsidRPr="001321A2">
        <w:rPr>
          <w:rFonts w:ascii="Garamond" w:hAnsi="Garamond"/>
          <w:spacing w:val="20"/>
        </w:rPr>
        <w:t xml:space="preserve"> </w:t>
      </w:r>
      <w:r w:rsidRPr="001321A2">
        <w:rPr>
          <w:rFonts w:ascii="Garamond" w:hAnsi="Garamond"/>
        </w:rPr>
        <w:t xml:space="preserve">obtain </w:t>
      </w:r>
      <w:r w:rsidRPr="001321A2">
        <w:rPr>
          <w:rFonts w:ascii="Garamond" w:hAnsi="Garamond"/>
          <w:spacing w:val="22"/>
        </w:rPr>
        <w:t xml:space="preserve"> </w:t>
      </w:r>
      <w:r w:rsidRPr="001321A2">
        <w:rPr>
          <w:rFonts w:ascii="Garamond" w:hAnsi="Garamond"/>
        </w:rPr>
        <w:t xml:space="preserve">the </w:t>
      </w:r>
      <w:r w:rsidRPr="001321A2">
        <w:rPr>
          <w:rFonts w:ascii="Garamond" w:hAnsi="Garamond"/>
          <w:spacing w:val="4"/>
        </w:rPr>
        <w:t xml:space="preserve"> </w:t>
      </w:r>
      <w:r w:rsidRPr="001321A2">
        <w:rPr>
          <w:rFonts w:ascii="Garamond" w:hAnsi="Garamond"/>
        </w:rPr>
        <w:t xml:space="preserve">residuals </w:t>
      </w:r>
      <w:r w:rsidRPr="001321A2">
        <w:rPr>
          <w:rFonts w:ascii="Garamond" w:hAnsi="Garamond"/>
          <w:spacing w:val="15"/>
        </w:rPr>
        <w:t xml:space="preserve"> </w:t>
      </w:r>
      <w:r w:rsidRPr="001321A2">
        <w:rPr>
          <w:rFonts w:ascii="Garamond" w:hAnsi="Garamond"/>
          <w:i/>
          <w:spacing w:val="-101"/>
          <w:w w:val="113"/>
        </w:rPr>
        <w:t>u</w:t>
      </w:r>
      <w:r w:rsidRPr="001321A2">
        <w:rPr>
          <w:rFonts w:ascii="Garamond" w:hAnsi="Garamond"/>
          <w:spacing w:val="2"/>
          <w:w w:val="149"/>
        </w:rPr>
        <w:t>ˆ</w:t>
      </w:r>
      <w:r w:rsidRPr="001321A2">
        <w:rPr>
          <w:rFonts w:ascii="Garamond" w:hAnsi="Garamond"/>
          <w:i/>
          <w:w w:val="124"/>
          <w:position w:val="-3"/>
          <w:sz w:val="14"/>
          <w:szCs w:val="14"/>
        </w:rPr>
        <w:t>ch</w:t>
      </w:r>
      <w:r w:rsidRPr="001321A2">
        <w:rPr>
          <w:rFonts w:ascii="Garamond" w:hAnsi="Garamond"/>
          <w:i/>
          <w:spacing w:val="-25"/>
          <w:position w:val="-3"/>
          <w:sz w:val="14"/>
          <w:szCs w:val="14"/>
        </w:rPr>
        <w:t xml:space="preserve"> </w:t>
      </w:r>
      <w:r w:rsidRPr="001321A2">
        <w:rPr>
          <w:rFonts w:ascii="Garamond" w:hAnsi="Garamond"/>
        </w:rPr>
        <w:t>,</w:t>
      </w:r>
      <w:r w:rsidRPr="001321A2">
        <w:rPr>
          <w:rFonts w:ascii="Garamond" w:hAnsi="Garamond"/>
          <w:spacing w:val="28"/>
        </w:rPr>
        <w:t xml:space="preserve"> </w:t>
      </w:r>
      <w:r w:rsidRPr="001321A2">
        <w:rPr>
          <w:rFonts w:ascii="Garamond" w:hAnsi="Garamond"/>
        </w:rPr>
        <w:t xml:space="preserve">and </w:t>
      </w:r>
      <w:r w:rsidRPr="001321A2">
        <w:rPr>
          <w:rFonts w:ascii="Garamond" w:hAnsi="Garamond"/>
          <w:spacing w:val="4"/>
        </w:rPr>
        <w:t xml:space="preserve"> </w:t>
      </w:r>
      <w:r w:rsidRPr="001321A2">
        <w:rPr>
          <w:rFonts w:ascii="Garamond" w:hAnsi="Garamond"/>
          <w:spacing w:val="-5"/>
        </w:rPr>
        <w:t>b</w:t>
      </w:r>
      <w:r w:rsidRPr="001321A2">
        <w:rPr>
          <w:rFonts w:ascii="Garamond" w:hAnsi="Garamond"/>
        </w:rPr>
        <w:t>y</w:t>
      </w:r>
      <w:r w:rsidRPr="001321A2">
        <w:rPr>
          <w:rFonts w:ascii="Garamond" w:hAnsi="Garamond"/>
          <w:spacing w:val="37"/>
        </w:rPr>
        <w:t xml:space="preserve"> </w:t>
      </w:r>
      <w:r w:rsidRPr="001321A2">
        <w:rPr>
          <w:rFonts w:ascii="Garamond" w:hAnsi="Garamond"/>
        </w:rPr>
        <w:t>defining</w:t>
      </w:r>
      <w:r w:rsidRPr="001321A2">
        <w:rPr>
          <w:rFonts w:ascii="Garamond" w:hAnsi="Garamond"/>
          <w:spacing w:val="42"/>
        </w:rPr>
        <w:t xml:space="preserve"> </w:t>
      </w:r>
      <w:r w:rsidRPr="001321A2">
        <w:rPr>
          <w:rFonts w:ascii="Garamond" w:hAnsi="Garamond"/>
          <w:i/>
          <w:spacing w:val="-101"/>
          <w:w w:val="113"/>
        </w:rPr>
        <w:t>u</w:t>
      </w:r>
      <w:r w:rsidRPr="001321A2">
        <w:rPr>
          <w:rFonts w:ascii="Garamond" w:hAnsi="Garamond"/>
          <w:spacing w:val="2"/>
          <w:w w:val="149"/>
        </w:rPr>
        <w:t>ˆ</w:t>
      </w:r>
      <w:r w:rsidRPr="001321A2">
        <w:rPr>
          <w:rFonts w:ascii="Garamond" w:hAnsi="Garamond"/>
          <w:i/>
          <w:w w:val="122"/>
          <w:position w:val="-3"/>
          <w:sz w:val="14"/>
          <w:szCs w:val="14"/>
        </w:rPr>
        <w:t>c.</w:t>
      </w:r>
      <w:r w:rsidRPr="001321A2">
        <w:rPr>
          <w:rFonts w:ascii="Garamond" w:hAnsi="Garamond"/>
          <w:i/>
          <w:spacing w:val="-25"/>
          <w:position w:val="-3"/>
          <w:sz w:val="14"/>
          <w:szCs w:val="14"/>
        </w:rPr>
        <w:t xml:space="preserve"> </w:t>
      </w:r>
      <w:r w:rsidRPr="001321A2">
        <w:rPr>
          <w:rFonts w:ascii="Garamond" w:hAnsi="Garamond"/>
        </w:rPr>
        <w:t>as</w:t>
      </w:r>
      <w:r w:rsidRPr="001321A2">
        <w:rPr>
          <w:rFonts w:ascii="Garamond" w:hAnsi="Garamond"/>
          <w:spacing w:val="34"/>
        </w:rPr>
        <w:t xml:space="preserve"> </w:t>
      </w:r>
      <w:r w:rsidRPr="001321A2">
        <w:rPr>
          <w:rFonts w:ascii="Garamond" w:hAnsi="Garamond"/>
        </w:rPr>
        <w:t xml:space="preserve">the </w:t>
      </w:r>
      <w:r w:rsidRPr="001321A2">
        <w:rPr>
          <w:rFonts w:ascii="Garamond" w:hAnsi="Garamond"/>
          <w:spacing w:val="4"/>
        </w:rPr>
        <w:t xml:space="preserve"> </w:t>
      </w:r>
      <w:r w:rsidRPr="001321A2">
        <w:rPr>
          <w:rFonts w:ascii="Garamond" w:hAnsi="Garamond"/>
          <w:spacing w:val="-5"/>
        </w:rPr>
        <w:t>w</w:t>
      </w:r>
      <w:r w:rsidRPr="001321A2">
        <w:rPr>
          <w:rFonts w:ascii="Garamond" w:hAnsi="Garamond"/>
        </w:rPr>
        <w:t>eig</w:t>
      </w:r>
      <w:r w:rsidRPr="001321A2">
        <w:rPr>
          <w:rFonts w:ascii="Garamond" w:hAnsi="Garamond"/>
          <w:spacing w:val="-6"/>
        </w:rPr>
        <w:t>h</w:t>
      </w:r>
      <w:r w:rsidRPr="001321A2">
        <w:rPr>
          <w:rFonts w:ascii="Garamond" w:hAnsi="Garamond"/>
        </w:rPr>
        <w:t xml:space="preserve">ted </w:t>
      </w:r>
      <w:r w:rsidRPr="001321A2">
        <w:rPr>
          <w:rFonts w:ascii="Garamond" w:hAnsi="Garamond"/>
          <w:spacing w:val="9"/>
        </w:rPr>
        <w:t xml:space="preserve"> </w:t>
      </w:r>
      <w:r w:rsidRPr="001321A2">
        <w:rPr>
          <w:rFonts w:ascii="Garamond" w:hAnsi="Garamond"/>
          <w:spacing w:val="-5"/>
          <w:w w:val="112"/>
        </w:rPr>
        <w:t>a</w:t>
      </w:r>
      <w:r w:rsidRPr="001321A2">
        <w:rPr>
          <w:rFonts w:ascii="Garamond" w:hAnsi="Garamond"/>
          <w:spacing w:val="-6"/>
          <w:w w:val="105"/>
        </w:rPr>
        <w:t>v</w:t>
      </w:r>
      <w:r w:rsidRPr="001321A2">
        <w:rPr>
          <w:rFonts w:ascii="Garamond" w:hAnsi="Garamond"/>
          <w:w w:val="105"/>
        </w:rPr>
        <w:t xml:space="preserve">erage </w:t>
      </w:r>
      <w:r w:rsidRPr="001321A2">
        <w:rPr>
          <w:rFonts w:ascii="Garamond" w:hAnsi="Garamond"/>
        </w:rPr>
        <w:t>of</w:t>
      </w:r>
      <w:r w:rsidRPr="001321A2">
        <w:rPr>
          <w:rFonts w:ascii="Garamond" w:hAnsi="Garamond"/>
          <w:spacing w:val="9"/>
        </w:rPr>
        <w:t xml:space="preserve"> </w:t>
      </w:r>
      <w:r w:rsidRPr="001321A2">
        <w:rPr>
          <w:rFonts w:ascii="Garamond" w:hAnsi="Garamond"/>
          <w:i/>
          <w:spacing w:val="-101"/>
          <w:w w:val="113"/>
        </w:rPr>
        <w:t>u</w:t>
      </w:r>
      <w:r w:rsidRPr="001321A2">
        <w:rPr>
          <w:rFonts w:ascii="Garamond" w:hAnsi="Garamond"/>
          <w:spacing w:val="2"/>
          <w:w w:val="149"/>
        </w:rPr>
        <w:t>ˆ</w:t>
      </w:r>
      <w:r w:rsidRPr="001321A2">
        <w:rPr>
          <w:rFonts w:ascii="Garamond" w:hAnsi="Garamond"/>
          <w:i/>
          <w:w w:val="124"/>
          <w:position w:val="-3"/>
          <w:sz w:val="14"/>
          <w:szCs w:val="14"/>
        </w:rPr>
        <w:t>ch</w:t>
      </w:r>
      <w:r w:rsidRPr="001321A2">
        <w:rPr>
          <w:rFonts w:ascii="Garamond" w:hAnsi="Garamond"/>
          <w:i/>
          <w:position w:val="-3"/>
          <w:sz w:val="14"/>
          <w:szCs w:val="14"/>
        </w:rPr>
        <w:t xml:space="preserve"> </w:t>
      </w:r>
      <w:r w:rsidRPr="001321A2">
        <w:rPr>
          <w:rFonts w:ascii="Garamond" w:hAnsi="Garamond"/>
          <w:i/>
          <w:spacing w:val="7"/>
          <w:position w:val="-3"/>
          <w:sz w:val="14"/>
          <w:szCs w:val="14"/>
        </w:rPr>
        <w:t xml:space="preserve"> </w:t>
      </w:r>
      <w:r w:rsidRPr="001321A2">
        <w:rPr>
          <w:rFonts w:ascii="Garamond" w:hAnsi="Garamond"/>
        </w:rPr>
        <w:t>for</w:t>
      </w:r>
      <w:r w:rsidRPr="001321A2">
        <w:rPr>
          <w:rFonts w:ascii="Garamond" w:hAnsi="Garamond"/>
          <w:spacing w:val="21"/>
        </w:rPr>
        <w:t xml:space="preserve"> </w:t>
      </w:r>
      <w:r w:rsidRPr="001321A2">
        <w:rPr>
          <w:rFonts w:ascii="Garamond" w:hAnsi="Garamond"/>
        </w:rPr>
        <w:t>a</w:t>
      </w:r>
      <w:r w:rsidRPr="001321A2">
        <w:rPr>
          <w:rFonts w:ascii="Garamond" w:hAnsi="Garamond"/>
          <w:spacing w:val="27"/>
        </w:rPr>
        <w:t xml:space="preserve"> </w:t>
      </w:r>
      <w:r w:rsidRPr="001321A2">
        <w:rPr>
          <w:rFonts w:ascii="Garamond" w:hAnsi="Garamond"/>
        </w:rPr>
        <w:t>s</w:t>
      </w:r>
      <w:r w:rsidRPr="001321A2">
        <w:rPr>
          <w:rFonts w:ascii="Garamond" w:hAnsi="Garamond"/>
          <w:spacing w:val="6"/>
        </w:rPr>
        <w:t>p</w:t>
      </w:r>
      <w:r w:rsidRPr="001321A2">
        <w:rPr>
          <w:rFonts w:ascii="Garamond" w:hAnsi="Garamond"/>
        </w:rPr>
        <w:t>ecific</w:t>
      </w:r>
      <w:r w:rsidRPr="001321A2">
        <w:rPr>
          <w:rFonts w:ascii="Garamond" w:hAnsi="Garamond"/>
          <w:spacing w:val="13"/>
        </w:rPr>
        <w:t xml:space="preserve"> </w:t>
      </w:r>
      <w:r w:rsidRPr="001321A2">
        <w:rPr>
          <w:rFonts w:ascii="Garamond" w:hAnsi="Garamond"/>
        </w:rPr>
        <w:t xml:space="preserve">cluster </w:t>
      </w:r>
      <w:r w:rsidRPr="001321A2">
        <w:rPr>
          <w:rFonts w:ascii="Garamond" w:hAnsi="Garamond"/>
          <w:spacing w:val="9"/>
        </w:rPr>
        <w:t xml:space="preserve"> </w:t>
      </w:r>
      <w:r w:rsidRPr="001321A2">
        <w:rPr>
          <w:rFonts w:ascii="Garamond" w:hAnsi="Garamond"/>
          <w:spacing w:val="-5"/>
        </w:rPr>
        <w:t>w</w:t>
      </w:r>
      <w:r w:rsidRPr="001321A2">
        <w:rPr>
          <w:rFonts w:ascii="Garamond" w:hAnsi="Garamond"/>
        </w:rPr>
        <w:t>e</w:t>
      </w:r>
      <w:r w:rsidRPr="001321A2">
        <w:rPr>
          <w:rFonts w:ascii="Garamond" w:hAnsi="Garamond"/>
          <w:spacing w:val="14"/>
        </w:rPr>
        <w:t xml:space="preserve"> </w:t>
      </w:r>
      <w:r w:rsidRPr="001321A2">
        <w:rPr>
          <w:rFonts w:ascii="Garamond" w:hAnsi="Garamond"/>
        </w:rPr>
        <w:t>can</w:t>
      </w:r>
      <w:r w:rsidRPr="001321A2">
        <w:rPr>
          <w:rFonts w:ascii="Garamond" w:hAnsi="Garamond"/>
          <w:spacing w:val="35"/>
        </w:rPr>
        <w:t xml:space="preserve"> </w:t>
      </w:r>
      <w:r w:rsidRPr="001321A2">
        <w:rPr>
          <w:rFonts w:ascii="Garamond" w:hAnsi="Garamond"/>
        </w:rPr>
        <w:t xml:space="preserve">obtain </w:t>
      </w:r>
      <w:r w:rsidRPr="001321A2">
        <w:rPr>
          <w:rFonts w:ascii="Garamond" w:hAnsi="Garamond"/>
          <w:spacing w:val="16"/>
        </w:rPr>
        <w:t xml:space="preserve"> </w:t>
      </w:r>
      <w:r w:rsidRPr="001321A2">
        <w:rPr>
          <w:rFonts w:ascii="Garamond" w:hAnsi="Garamond"/>
          <w:i/>
          <w:spacing w:val="-85"/>
          <w:w w:val="104"/>
        </w:rPr>
        <w:t>e</w:t>
      </w:r>
      <w:r w:rsidRPr="001321A2">
        <w:rPr>
          <w:rFonts w:ascii="Garamond" w:hAnsi="Garamond"/>
          <w:spacing w:val="-15"/>
          <w:w w:val="149"/>
        </w:rPr>
        <w:t>ˆ</w:t>
      </w:r>
      <w:r w:rsidRPr="001321A2">
        <w:rPr>
          <w:rFonts w:ascii="Garamond" w:hAnsi="Garamond"/>
          <w:i/>
          <w:w w:val="124"/>
          <w:position w:val="-3"/>
          <w:sz w:val="14"/>
          <w:szCs w:val="14"/>
        </w:rPr>
        <w:t>ch</w:t>
      </w:r>
      <w:r w:rsidRPr="001321A2">
        <w:rPr>
          <w:rFonts w:ascii="Garamond" w:hAnsi="Garamond"/>
          <w:i/>
          <w:spacing w:val="-25"/>
          <w:position w:val="-3"/>
          <w:sz w:val="14"/>
          <w:szCs w:val="14"/>
        </w:rPr>
        <w:t xml:space="preserve"> </w:t>
      </w:r>
      <w:r w:rsidRPr="001321A2">
        <w:rPr>
          <w:rFonts w:ascii="Garamond" w:hAnsi="Garamond"/>
          <w:w w:val="99"/>
        </w:rPr>
        <w:t>:</w:t>
      </w:r>
    </w:p>
    <w:p w:rsidR="003C5827" w:rsidRDefault="003C5827" w:rsidP="003C5827">
      <w:pPr>
        <w:spacing w:line="360" w:lineRule="auto"/>
        <w:jc w:val="center"/>
        <w:rPr>
          <w:rFonts w:ascii="Garamond" w:hAnsi="Garamond"/>
        </w:rPr>
      </w:pPr>
      <w:r>
        <w:rPr>
          <w:noProof/>
        </w:rPr>
        <w:drawing>
          <wp:inline distT="0" distB="0" distL="0" distR="0" wp14:anchorId="4C619AE1" wp14:editId="577F774A">
            <wp:extent cx="1948070" cy="24299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50870" cy="243343"/>
                    </a:xfrm>
                    <a:prstGeom prst="rect">
                      <a:avLst/>
                    </a:prstGeom>
                  </pic:spPr>
                </pic:pic>
              </a:graphicData>
            </a:graphic>
          </wp:inline>
        </w:drawing>
      </w:r>
    </w:p>
    <w:p w:rsidR="003C5827" w:rsidRDefault="003C5827" w:rsidP="003C5827">
      <w:pPr>
        <w:spacing w:line="360" w:lineRule="auto"/>
        <w:jc w:val="both"/>
        <w:rPr>
          <w:rFonts w:ascii="Garamond" w:hAnsi="Garamond"/>
        </w:rPr>
      </w:pPr>
      <w:r>
        <w:rPr>
          <w:rFonts w:ascii="Garamond" w:hAnsi="Garamond"/>
        </w:rPr>
        <w:t>The variance of the location effect  (</w:t>
      </w:r>
      <m:oMath>
        <m:sSub>
          <m:sSubPr>
            <m:ctrlPr>
              <w:rPr>
                <w:rFonts w:ascii="Cambria Math" w:hAnsi="Cambria Math"/>
                <w:i/>
              </w:rPr>
            </m:ctrlPr>
          </m:sSubPr>
          <m:e>
            <m:r>
              <w:rPr>
                <w:rFonts w:ascii="Cambria Math" w:hAnsi="Cambria Math"/>
              </w:rPr>
              <m:t>η</m:t>
            </m:r>
          </m:e>
          <m:sub>
            <m:r>
              <w:rPr>
                <w:rFonts w:ascii="Cambria Math" w:hAnsi="Cambria Math"/>
              </w:rPr>
              <m:t>c</m:t>
            </m:r>
          </m:sub>
        </m:sSub>
      </m:oMath>
      <w:r>
        <w:rPr>
          <w:rFonts w:ascii="Garamond" w:hAnsi="Garamond"/>
        </w:rPr>
        <w:t>) is given by:</w:t>
      </w:r>
    </w:p>
    <w:p w:rsidR="003C5827" w:rsidRDefault="003C5827" w:rsidP="003C5827">
      <w:pPr>
        <w:spacing w:line="360" w:lineRule="auto"/>
        <w:jc w:val="center"/>
        <w:rPr>
          <w:rFonts w:ascii="Garamond" w:hAnsi="Garamond"/>
        </w:rPr>
      </w:pPr>
      <w:r>
        <w:rPr>
          <w:noProof/>
        </w:rPr>
        <w:drawing>
          <wp:inline distT="0" distB="0" distL="0" distR="0" wp14:anchorId="50102BA5" wp14:editId="17674A03">
            <wp:extent cx="2951305" cy="3657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71800" cy="368300"/>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hAnsi="Garamond"/>
        </w:rPr>
        <w:t xml:space="preserve">where </w:t>
      </w:r>
      <m:oMath>
        <m:r>
          <w:rPr>
            <w:rFonts w:ascii="Cambria Math" w:hAnsi="Cambria Math"/>
          </w:rPr>
          <m:t xml:space="preserve">u.. = </m:t>
        </m:r>
        <m:nary>
          <m:naryPr>
            <m:chr m:val="∑"/>
            <m:limLoc m:val="subSup"/>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w</m:t>
                </m:r>
              </m:e>
              <m:sub>
                <m:r>
                  <w:rPr>
                    <w:rFonts w:ascii="Cambria Math" w:hAnsi="Cambria Math"/>
                  </w:rPr>
                  <m:t>c</m:t>
                </m:r>
              </m:sub>
            </m:sSub>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e>
        </m:nary>
        <m:r>
          <w:rPr>
            <w:rFonts w:ascii="Cambria Math" w:hAnsi="Cambria Math"/>
          </w:rPr>
          <m:t xml:space="preserve"> </m:t>
        </m:r>
      </m:oMath>
      <w:r>
        <w:rPr>
          <w:rFonts w:ascii="Garamond" w:eastAsiaTheme="minorEastAsia" w:hAnsi="Garamond"/>
        </w:rPr>
        <w:t xml:space="preserve">(where the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c</m:t>
            </m:r>
          </m:sub>
        </m:sSub>
      </m:oMath>
      <w:r>
        <w:rPr>
          <w:rFonts w:ascii="Garamond" w:eastAsiaTheme="minorEastAsia" w:hAnsi="Garamond"/>
        </w:rPr>
        <w:t xml:space="preserve"> represents the cluster’s weight) and:</w:t>
      </w:r>
    </w:p>
    <w:p w:rsidR="003C5827" w:rsidRDefault="003C5827" w:rsidP="003C5827">
      <w:pPr>
        <w:spacing w:line="360" w:lineRule="auto"/>
        <w:jc w:val="center"/>
        <w:rPr>
          <w:rFonts w:ascii="Garamond" w:hAnsi="Garamond"/>
        </w:rPr>
      </w:pPr>
      <w:r>
        <w:rPr>
          <w:noProof/>
        </w:rPr>
        <w:drawing>
          <wp:inline distT="0" distB="0" distL="0" distR="0" wp14:anchorId="708F0C3C" wp14:editId="3AD54E03">
            <wp:extent cx="1789043" cy="490999"/>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92807" cy="492032"/>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hAnsi="Garamond"/>
        </w:rPr>
        <w:t xml:space="preserve">where </w:t>
      </w:r>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h</m:t>
                </m:r>
              </m:sub>
              <m:sup/>
              <m:e>
                <m:sSub>
                  <m:sSubPr>
                    <m:ctrlPr>
                      <w:rPr>
                        <w:rFonts w:ascii="Cambria Math" w:hAnsi="Cambria Math"/>
                        <w:i/>
                      </w:rPr>
                    </m:ctrlPr>
                  </m:sSubPr>
                  <m:e>
                    <m:r>
                      <w:rPr>
                        <w:rFonts w:ascii="Cambria Math" w:hAnsi="Cambria Math"/>
                      </w:rPr>
                      <m:t>e</m:t>
                    </m:r>
                  </m:e>
                  <m:sub>
                    <m:r>
                      <w:rPr>
                        <w:rFonts w:ascii="Cambria Math" w:hAnsi="Cambria Math"/>
                      </w:rPr>
                      <m:t>ch</m:t>
                    </m:r>
                  </m:sub>
                </m:sSub>
              </m:e>
            </m:nary>
          </m:num>
          <m:den>
            <m:sSub>
              <m:sSubPr>
                <m:ctrlPr>
                  <w:rPr>
                    <w:rFonts w:ascii="Cambria Math" w:hAnsi="Cambria Math"/>
                    <w:i/>
                  </w:rPr>
                </m:ctrlPr>
              </m:sSubPr>
              <m:e>
                <m:r>
                  <w:rPr>
                    <w:rFonts w:ascii="Cambria Math" w:hAnsi="Cambria Math"/>
                  </w:rPr>
                  <m:t>n</m:t>
                </m:r>
              </m:e>
              <m:sub>
                <m:r>
                  <w:rPr>
                    <w:rFonts w:ascii="Cambria Math" w:hAnsi="Cambria Math"/>
                  </w:rPr>
                  <m:t>c</m:t>
                </m:r>
              </m:sub>
            </m:sSub>
          </m:den>
        </m:f>
      </m:oMath>
      <w:r>
        <w:rPr>
          <w:rFonts w:ascii="Garamond" w:eastAsiaTheme="minorEastAsia" w:hAnsi="Garamond"/>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oMath>
      <w:r>
        <w:rPr>
          <w:rFonts w:ascii="Garamond" w:eastAsiaTheme="minorEastAsia" w:hAnsi="Garamond"/>
        </w:rPr>
        <w:t xml:space="preserve"> is the number of households in the cluster). The parametric from of heteroscedasticity is presented as:</w:t>
      </w:r>
    </w:p>
    <w:p w:rsidR="003C5827" w:rsidRDefault="003C5827" w:rsidP="003C5827">
      <w:pPr>
        <w:spacing w:line="360" w:lineRule="auto"/>
        <w:jc w:val="center"/>
        <w:rPr>
          <w:rFonts w:ascii="Garamond" w:hAnsi="Garamond"/>
        </w:rPr>
      </w:pPr>
      <w:r>
        <w:rPr>
          <w:noProof/>
        </w:rPr>
        <w:drawing>
          <wp:inline distT="0" distB="0" distL="0" distR="0" wp14:anchorId="241E9871" wp14:editId="44CAE83D">
            <wp:extent cx="1685677" cy="5549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88009" cy="555745"/>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hAnsi="Garamond"/>
        </w:rPr>
        <w:t xml:space="preserve">This is simplified by setting </w:t>
      </w:r>
      <m:oMath>
        <m:r>
          <w:rPr>
            <w:rFonts w:ascii="Cambria Math" w:hAnsi="Cambria Math"/>
          </w:rPr>
          <m:t xml:space="preserve">B=0 </m:t>
        </m:r>
      </m:oMath>
      <w:r>
        <w:rPr>
          <w:rFonts w:ascii="Garamond" w:eastAsiaTheme="minorEastAsia" w:hAnsi="Garamond"/>
        </w:rPr>
        <w:t xml:space="preserve"> and </w:t>
      </w:r>
      <m:oMath>
        <m:r>
          <w:rPr>
            <w:rFonts w:ascii="Cambria Math" w:eastAsiaTheme="minorEastAsia" w:hAnsi="Cambria Math"/>
          </w:rPr>
          <m:t>A=1.05</m:t>
        </m:r>
        <m:r>
          <m:rPr>
            <m:sty m:val="p"/>
          </m:rPr>
          <w:rPr>
            <w:rFonts w:ascii="Cambria Math" w:eastAsiaTheme="minorEastAsia" w:hAnsi="Cambria Math"/>
          </w:rPr>
          <m:t>max⁡</m:t>
        </m:r>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ch</m:t>
            </m:r>
          </m:sub>
          <m:sup>
            <m:r>
              <w:rPr>
                <w:rFonts w:ascii="Cambria Math" w:eastAsiaTheme="minorEastAsia" w:hAnsi="Cambria Math"/>
              </w:rPr>
              <m:t>2</m:t>
            </m:r>
          </m:sup>
        </m:sSubSup>
        <m:r>
          <w:rPr>
            <w:rFonts w:ascii="Cambria Math" w:eastAsiaTheme="minorEastAsia" w:hAnsi="Cambria Math"/>
          </w:rPr>
          <m:t>)</m:t>
        </m:r>
      </m:oMath>
      <w:r>
        <w:rPr>
          <w:rFonts w:ascii="Garamond" w:eastAsiaTheme="minorEastAsia" w:hAnsi="Garamond"/>
        </w:rPr>
        <w:t>, which leads to the simpler form that can be estimated via regular OLS:</w:t>
      </w:r>
    </w:p>
    <w:p w:rsidR="003C5827" w:rsidRDefault="003C5827" w:rsidP="003C5827">
      <w:pPr>
        <w:spacing w:line="360" w:lineRule="auto"/>
        <w:jc w:val="center"/>
        <w:rPr>
          <w:rFonts w:ascii="Garamond" w:eastAsiaTheme="minorEastAsia" w:hAnsi="Garamond"/>
        </w:rPr>
      </w:pPr>
      <w:r>
        <w:rPr>
          <w:noProof/>
        </w:rPr>
        <w:drawing>
          <wp:inline distT="0" distB="0" distL="0" distR="0" wp14:anchorId="373C470D" wp14:editId="1E7E7DDD">
            <wp:extent cx="1956021" cy="505958"/>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68524" cy="509192"/>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eastAsiaTheme="minorEastAsia" w:hAnsi="Garamond"/>
        </w:rPr>
        <w:t xml:space="preserve">By defining </w:t>
      </w:r>
      <m:oMath>
        <m:r>
          <w:rPr>
            <w:rFonts w:ascii="Cambria Math" w:eastAsiaTheme="minorEastAsia" w:hAnsi="Cambria Math"/>
          </w:rPr>
          <m:t>B=</m:t>
        </m:r>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ch</m:t>
            </m:r>
          </m:sub>
        </m:sSub>
        <m:r>
          <w:rPr>
            <w:rFonts w:ascii="Cambria Math" w:eastAsiaTheme="minorEastAsia" w:hAnsi="Cambria Math"/>
          </w:rPr>
          <m:t>α)</m:t>
        </m:r>
      </m:oMath>
      <w:r>
        <w:rPr>
          <w:rFonts w:ascii="Garamond" w:eastAsiaTheme="minorEastAsia" w:hAnsi="Garamond"/>
        </w:rPr>
        <w:t xml:space="preserve"> and using the delta method the household specific variance for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ch</m:t>
            </m:r>
          </m:sub>
        </m:sSub>
      </m:oMath>
      <w:r>
        <w:rPr>
          <w:rFonts w:ascii="Garamond" w:eastAsiaTheme="minorEastAsia" w:hAnsi="Garamond"/>
        </w:rPr>
        <w:t xml:space="preserve"> is equal to:</w:t>
      </w:r>
    </w:p>
    <w:p w:rsidR="003C5827" w:rsidRDefault="003C5827" w:rsidP="003C5827">
      <w:pPr>
        <w:spacing w:line="360" w:lineRule="auto"/>
        <w:jc w:val="center"/>
        <w:rPr>
          <w:rFonts w:ascii="Garamond" w:eastAsiaTheme="minorEastAsia" w:hAnsi="Garamond"/>
        </w:rPr>
      </w:pPr>
      <w:r>
        <w:rPr>
          <w:noProof/>
        </w:rPr>
        <w:drawing>
          <wp:inline distT="0" distB="0" distL="0" distR="0" wp14:anchorId="75AF4D57" wp14:editId="6136FC70">
            <wp:extent cx="2639833" cy="4627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48763" cy="464362"/>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sz w:val="24"/>
          <w:szCs w:val="24"/>
        </w:rPr>
      </w:pPr>
      <w:r>
        <w:rPr>
          <w:rFonts w:ascii="Garamond" w:eastAsiaTheme="minorEastAsia" w:hAnsi="Garamond"/>
        </w:rPr>
        <w:t xml:space="preserve">The use of </w:t>
      </w:r>
      <m:oMath>
        <m:sSubSup>
          <m:sSubSupPr>
            <m:ctrlPr>
              <w:rPr>
                <w:rFonts w:ascii="Cambria Math" w:eastAsiaTheme="minorEastAsia" w:hAnsi="Cambria Math" w:cs="Times New Roman"/>
                <w:i/>
                <w:sz w:val="24"/>
                <w:szCs w:val="24"/>
              </w:rPr>
            </m:ctrlPr>
          </m:sSubSupPr>
          <m:e>
            <m:r>
              <w:rPr>
                <w:rStyle w:val="Strong"/>
                <w:rFonts w:ascii="Cambria Math" w:eastAsiaTheme="minorEastAsia" w:hAnsi="Cambria Math"/>
              </w:rPr>
              <m:t>σ</m:t>
            </m:r>
          </m:e>
          <m:sub>
            <m:r>
              <w:rPr>
                <w:rStyle w:val="Strong"/>
                <w:rFonts w:ascii="Cambria Math" w:eastAsiaTheme="minorEastAsia" w:hAnsi="Cambria Math"/>
              </w:rPr>
              <m:t>η</m:t>
            </m:r>
          </m:sub>
          <m:sup>
            <m:r>
              <w:rPr>
                <w:rStyle w:val="Strong"/>
                <w:rFonts w:ascii="Cambria Math" w:eastAsiaTheme="minorEastAsia" w:hAnsi="Cambria Math"/>
              </w:rPr>
              <m:t>2</m:t>
            </m:r>
          </m:sup>
        </m:sSubSup>
      </m:oMath>
      <w:r>
        <w:rPr>
          <w:rFonts w:ascii="Garamond" w:eastAsiaTheme="minorEastAsia" w:hAnsi="Garamond"/>
          <w:sz w:val="24"/>
          <w:szCs w:val="24"/>
        </w:rPr>
        <w:t xml:space="preserve"> and </w:t>
      </w:r>
      <m:oMath>
        <m:sSubSup>
          <m:sSubSupPr>
            <m:ctrlPr>
              <w:rPr>
                <w:rFonts w:ascii="Cambria Math" w:eastAsiaTheme="minorEastAsia" w:hAnsi="Cambria Math" w:cs="Times New Roman"/>
                <w:i/>
                <w:sz w:val="24"/>
                <w:szCs w:val="24"/>
              </w:rPr>
            </m:ctrlPr>
          </m:sSubSupPr>
          <m:e>
            <m:r>
              <w:rPr>
                <w:rStyle w:val="Strong"/>
                <w:rFonts w:ascii="Cambria Math" w:eastAsiaTheme="minorEastAsia" w:hAnsi="Cambria Math"/>
              </w:rPr>
              <m:t>σ</m:t>
            </m:r>
          </m:e>
          <m:sub>
            <m:r>
              <w:rPr>
                <w:rStyle w:val="Strong"/>
                <w:rFonts w:ascii="Cambria Math" w:eastAsiaTheme="minorEastAsia" w:hAnsi="Cambria Math"/>
              </w:rPr>
              <m:t>ε</m:t>
            </m:r>
          </m:sub>
          <m:sup>
            <m:r>
              <w:rPr>
                <w:rStyle w:val="Strong"/>
                <w:rFonts w:ascii="Cambria Math" w:eastAsiaTheme="minorEastAsia" w:hAnsi="Cambria Math"/>
              </w:rPr>
              <m:t>2</m:t>
            </m:r>
          </m:sup>
        </m:sSubSup>
      </m:oMath>
      <w:r>
        <w:rPr>
          <w:rFonts w:ascii="Garamond" w:eastAsiaTheme="minorEastAsia" w:hAnsi="Garamond"/>
          <w:sz w:val="24"/>
          <w:szCs w:val="24"/>
        </w:rPr>
        <w:t xml:space="preserve">  allows us to get the variance covariance matrix used for the OLS estimates:</w:t>
      </w:r>
    </w:p>
    <w:p w:rsidR="003C5827" w:rsidRDefault="003C5827" w:rsidP="003C5827">
      <w:pPr>
        <w:spacing w:line="360" w:lineRule="auto"/>
        <w:jc w:val="center"/>
        <w:rPr>
          <w:rFonts w:ascii="Garamond" w:eastAsiaTheme="minorEastAsia" w:hAnsi="Garamond"/>
        </w:rPr>
      </w:pPr>
      <w:r>
        <w:rPr>
          <w:noProof/>
        </w:rPr>
        <w:drawing>
          <wp:inline distT="0" distB="0" distL="0" distR="0" wp14:anchorId="157F3BDE" wp14:editId="4D286BB2">
            <wp:extent cx="2578928" cy="7871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80774" cy="787743"/>
                    </a:xfrm>
                    <a:prstGeom prst="rect">
                      <a:avLst/>
                    </a:prstGeom>
                  </pic:spPr>
                </pic:pic>
              </a:graphicData>
            </a:graphic>
          </wp:inline>
        </w:drawing>
      </w:r>
    </w:p>
    <w:p w:rsidR="003C5827" w:rsidRDefault="003C5827" w:rsidP="003C5827">
      <w:pPr>
        <w:spacing w:line="360" w:lineRule="auto"/>
        <w:jc w:val="center"/>
        <w:rPr>
          <w:rFonts w:ascii="Garamond" w:eastAsiaTheme="minorEastAsia" w:hAnsi="Garamond"/>
        </w:rPr>
      </w:pPr>
      <w:r>
        <w:rPr>
          <w:noProof/>
        </w:rPr>
        <w:drawing>
          <wp:inline distT="0" distB="0" distL="0" distR="0" wp14:anchorId="22B86069" wp14:editId="16576055">
            <wp:extent cx="1804946" cy="87954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03895" cy="879034"/>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eastAsiaTheme="minorEastAsia" w:hAnsi="Garamond"/>
        </w:rPr>
        <w:t>The estimates for the GLS detailed by ELL (2003) are:</w:t>
      </w:r>
    </w:p>
    <w:p w:rsidR="003C5827" w:rsidRDefault="003C5827" w:rsidP="003C5827">
      <w:pPr>
        <w:spacing w:line="360" w:lineRule="auto"/>
        <w:jc w:val="center"/>
        <w:rPr>
          <w:rFonts w:ascii="Garamond" w:eastAsiaTheme="minorEastAsia" w:hAnsi="Garamond"/>
        </w:rPr>
      </w:pPr>
      <w:r>
        <w:rPr>
          <w:noProof/>
        </w:rPr>
        <w:drawing>
          <wp:inline distT="0" distB="0" distL="0" distR="0" wp14:anchorId="31175B98" wp14:editId="6821B154">
            <wp:extent cx="2067339" cy="261689"/>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66657" cy="261603"/>
                    </a:xfrm>
                    <a:prstGeom prst="rect">
                      <a:avLst/>
                    </a:prstGeom>
                  </pic:spPr>
                </pic:pic>
              </a:graphicData>
            </a:graphic>
          </wp:inline>
        </w:drawing>
      </w:r>
    </w:p>
    <w:p w:rsidR="003C5827" w:rsidRDefault="003C5827" w:rsidP="003C5827">
      <w:pPr>
        <w:spacing w:line="360" w:lineRule="auto"/>
        <w:jc w:val="both"/>
        <w:rPr>
          <w:rFonts w:ascii="Garamond" w:eastAsiaTheme="minorEastAsia" w:hAnsi="Garamond"/>
        </w:rPr>
      </w:pPr>
      <w:r>
        <w:rPr>
          <w:rFonts w:ascii="Garamond" w:eastAsiaTheme="minorEastAsia" w:hAnsi="Garamond"/>
        </w:rPr>
        <w:t>and</w:t>
      </w:r>
    </w:p>
    <w:p w:rsidR="003C5827" w:rsidRDefault="003C5827" w:rsidP="003C5827">
      <w:pPr>
        <w:spacing w:line="360" w:lineRule="auto"/>
        <w:jc w:val="center"/>
        <w:rPr>
          <w:rFonts w:ascii="Garamond" w:eastAsiaTheme="minorEastAsia" w:hAnsi="Garamond"/>
        </w:rPr>
      </w:pPr>
      <w:r>
        <w:rPr>
          <w:noProof/>
        </w:rPr>
        <w:drawing>
          <wp:inline distT="0" distB="0" distL="0" distR="0" wp14:anchorId="6F9CDEEC" wp14:editId="7020E3CA">
            <wp:extent cx="3625795" cy="2742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23371" cy="274076"/>
                    </a:xfrm>
                    <a:prstGeom prst="rect">
                      <a:avLst/>
                    </a:prstGeom>
                  </pic:spPr>
                </pic:pic>
              </a:graphicData>
            </a:graphic>
          </wp:inline>
        </w:drawing>
      </w:r>
    </w:p>
    <w:p w:rsidR="003C5827" w:rsidRDefault="003C5827" w:rsidP="003C5827">
      <w:pPr>
        <w:spacing w:line="360" w:lineRule="auto"/>
        <w:jc w:val="both"/>
        <w:rPr>
          <w:rFonts w:ascii="Garamond" w:hAnsi="Garamond"/>
        </w:rPr>
      </w:pPr>
      <w:r>
        <w:rPr>
          <w:rFonts w:ascii="Garamond" w:hAnsi="Garamond"/>
        </w:rPr>
        <w:t>In response to criticisms of the methodology an extensive revision was made to the methods, including the addition of empirical best estimation, by Van der Weide (2014).</w:t>
      </w:r>
      <w:r w:rsidRPr="00D364FF">
        <w:rPr>
          <w:rFonts w:ascii="Garamond" w:hAnsi="Garamond"/>
        </w:rPr>
        <w:t xml:space="preserve"> </w:t>
      </w:r>
      <w:r>
        <w:rPr>
          <w:rFonts w:ascii="Garamond" w:hAnsi="Garamond"/>
        </w:rPr>
        <w:t>For a detailed discussion on the EB approach and the other changes implemented readers are guided towards Van der Weide (2014).</w:t>
      </w:r>
    </w:p>
    <w:p w:rsidR="003C5827" w:rsidRDefault="003C5827" w:rsidP="003C5827">
      <w:pPr>
        <w:spacing w:line="360" w:lineRule="auto"/>
        <w:jc w:val="both"/>
        <w:rPr>
          <w:rFonts w:ascii="Garamond" w:hAnsi="Garamond"/>
        </w:rPr>
      </w:pPr>
      <w:r>
        <w:rPr>
          <w:rFonts w:ascii="Garamond" w:hAnsi="Garamond"/>
        </w:rPr>
        <w:t xml:space="preserve">The revisions include an improved GLS estimator: </w:t>
      </w:r>
    </w:p>
    <w:p w:rsidR="003C5827" w:rsidRDefault="003C5827" w:rsidP="003C5827">
      <w:pPr>
        <w:spacing w:line="360" w:lineRule="auto"/>
        <w:jc w:val="center"/>
      </w:pPr>
      <w:r w:rsidRPr="00D364FF">
        <w:rPr>
          <w:noProof/>
        </w:rPr>
        <w:drawing>
          <wp:inline distT="0" distB="0" distL="0" distR="0" wp14:anchorId="38CFB757" wp14:editId="13B9614B">
            <wp:extent cx="2352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438150"/>
                    </a:xfrm>
                    <a:prstGeom prst="rect">
                      <a:avLst/>
                    </a:prstGeom>
                    <a:noFill/>
                    <a:ln>
                      <a:noFill/>
                    </a:ln>
                  </pic:spPr>
                </pic:pic>
              </a:graphicData>
            </a:graphic>
          </wp:inline>
        </w:drawing>
      </w:r>
    </w:p>
    <w:p w:rsidR="003C5827" w:rsidRDefault="003C5827" w:rsidP="003C5827">
      <w:pPr>
        <w:spacing w:line="360" w:lineRule="auto"/>
        <w:jc w:val="both"/>
        <w:rPr>
          <w:rFonts w:ascii="Garamond" w:hAnsi="Garamond"/>
        </w:rPr>
      </w:pPr>
      <w:r>
        <w:rPr>
          <w:rFonts w:ascii="Garamond" w:hAnsi="Garamond"/>
        </w:rPr>
        <w:t>and a new variance covariance matrix:</w:t>
      </w:r>
    </w:p>
    <w:p w:rsidR="003C5827" w:rsidRDefault="003C5827" w:rsidP="003C5827">
      <w:pPr>
        <w:spacing w:line="360" w:lineRule="auto"/>
        <w:jc w:val="center"/>
        <w:rPr>
          <w:rFonts w:ascii="Garamond" w:hAnsi="Garamond"/>
        </w:rPr>
      </w:pPr>
      <w:r w:rsidRPr="00D364FF">
        <w:rPr>
          <w:rFonts w:ascii="Garamond" w:hAnsi="Garamond"/>
          <w:noProof/>
        </w:rPr>
        <w:drawing>
          <wp:inline distT="0" distB="0" distL="0" distR="0" wp14:anchorId="49D6482C" wp14:editId="3C9B963A">
            <wp:extent cx="3724275" cy="333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333375"/>
                    </a:xfrm>
                    <a:prstGeom prst="rect">
                      <a:avLst/>
                    </a:prstGeom>
                    <a:noFill/>
                    <a:ln>
                      <a:noFill/>
                    </a:ln>
                  </pic:spPr>
                </pic:pic>
              </a:graphicData>
            </a:graphic>
          </wp:inline>
        </w:drawing>
      </w:r>
    </w:p>
    <w:p w:rsidR="003C5827" w:rsidRDefault="003C5827" w:rsidP="003C5827">
      <w:pPr>
        <w:spacing w:line="360" w:lineRule="auto"/>
        <w:jc w:val="both"/>
        <w:rPr>
          <w:rFonts w:ascii="Garamond" w:hAnsi="Garamond"/>
        </w:rPr>
      </w:pPr>
    </w:p>
    <w:p w:rsidR="003C5827" w:rsidRDefault="003C5827" w:rsidP="003C5827">
      <w:pPr>
        <w:spacing w:line="360" w:lineRule="auto"/>
        <w:jc w:val="both"/>
        <w:rPr>
          <w:rFonts w:ascii="Garamond" w:hAnsi="Garamond"/>
        </w:rPr>
      </w:pPr>
      <w:r>
        <w:rPr>
          <w:rFonts w:ascii="Garamond" w:hAnsi="Garamond"/>
        </w:rPr>
        <w:t>These are the estimates used for the second stage of the estimation (detailed in the methods section).</w:t>
      </w:r>
    </w:p>
    <w:p w:rsidR="00713FC1" w:rsidRDefault="00713FC1" w:rsidP="009D022D">
      <w:pPr>
        <w:pStyle w:val="Heading2"/>
        <w:pageBreakBefore/>
        <w:rPr>
          <w:rStyle w:val="Strong"/>
          <w:rFonts w:ascii="Garamond" w:hAnsi="Garamond"/>
        </w:rPr>
      </w:pPr>
      <w:r>
        <w:rPr>
          <w:rStyle w:val="Strong"/>
          <w:rFonts w:ascii="Garamond" w:hAnsi="Garamond"/>
        </w:rPr>
        <w:t>Poverty mapping software</w:t>
      </w:r>
    </w:p>
    <w:p w:rsidR="00713FC1" w:rsidRDefault="00713FC1" w:rsidP="00713FC1"/>
    <w:p w:rsidR="00713FC1" w:rsidRPr="009D022D" w:rsidRDefault="00713FC1" w:rsidP="00713FC1">
      <w:pPr>
        <w:spacing w:line="360" w:lineRule="auto"/>
        <w:jc w:val="both"/>
        <w:rPr>
          <w:rStyle w:val="fontstyle01"/>
          <w:rFonts w:ascii="Garamond" w:hAnsi="Garamond"/>
          <w:sz w:val="22"/>
          <w:szCs w:val="22"/>
        </w:rPr>
      </w:pPr>
      <w:r w:rsidRPr="009D022D">
        <w:rPr>
          <w:rStyle w:val="fontstyle01"/>
          <w:rFonts w:ascii="Garamond" w:hAnsi="Garamond"/>
          <w:sz w:val="22"/>
          <w:szCs w:val="22"/>
        </w:rPr>
        <w:t>One of the most common small area methods used for poverty mapping was proposed by Elbers, Lanjouw, and Lanjouw (2003). This methodology has been widely adopted by the World Bank and has been applied in numerous poverty maps conducted by the institution. In its e</w:t>
      </w:r>
      <w:r w:rsidRPr="009D022D">
        <w:rPr>
          <w:rStyle w:val="fontstyle01"/>
          <w:rFonts w:ascii="Times New Roman" w:hAnsi="Times New Roman" w:cs="Times New Roman"/>
          <w:sz w:val="22"/>
          <w:szCs w:val="22"/>
        </w:rPr>
        <w:t>ﬀ</w:t>
      </w:r>
      <w:r w:rsidRPr="009D022D">
        <w:rPr>
          <w:rStyle w:val="fontstyle01"/>
          <w:rFonts w:ascii="Garamond" w:hAnsi="Garamond"/>
          <w:sz w:val="22"/>
          <w:szCs w:val="22"/>
        </w:rPr>
        <w:t>orts to make the implementation of the ELL methodology as simple as possible, the World Bank created a software package that could be easily used by anyone. The software, PovMap (Zhao, 2006), has proven to be an invaluable resource for the World Bank as well as for many statistical agencies seeking to create their own poverty maps. The software is freely available and has a graphical user interface which simplifies its use.</w:t>
      </w:r>
    </w:p>
    <w:p w:rsidR="007141A9" w:rsidRPr="009D022D" w:rsidRDefault="00713FC1" w:rsidP="00602860">
      <w:pPr>
        <w:spacing w:line="360" w:lineRule="auto"/>
        <w:jc w:val="both"/>
        <w:rPr>
          <w:rStyle w:val="Strong"/>
          <w:rFonts w:ascii="Garamond" w:hAnsi="Garamond"/>
          <w:b w:val="0"/>
          <w:bCs w:val="0"/>
          <w:color w:val="000000"/>
        </w:rPr>
      </w:pPr>
      <w:r w:rsidRPr="009D022D">
        <w:rPr>
          <w:rStyle w:val="fontstyle01"/>
          <w:rFonts w:ascii="Garamond" w:hAnsi="Garamond"/>
          <w:sz w:val="22"/>
          <w:szCs w:val="22"/>
        </w:rPr>
        <w:t xml:space="preserve">Poverty map results produced in this document have all made use of the PovMap software. The PovMap software can be downloaded, free of charge, at </w:t>
      </w:r>
      <w:hyperlink r:id="rId28" w:history="1">
        <w:r w:rsidRPr="009D022D">
          <w:rPr>
            <w:rStyle w:val="Hyperlink"/>
            <w:rFonts w:ascii="Garamond" w:hAnsi="Garamond"/>
          </w:rPr>
          <w:t>http://iresearch.worldbank.org/PovMap/PovMap2/</w:t>
        </w:r>
      </w:hyperlink>
      <w:r w:rsidRPr="009D022D">
        <w:rPr>
          <w:rStyle w:val="fontstyle01"/>
          <w:rFonts w:ascii="Garamond" w:hAnsi="Garamond"/>
          <w:sz w:val="22"/>
          <w:szCs w:val="22"/>
        </w:rPr>
        <w:t>.</w:t>
      </w:r>
    </w:p>
    <w:p w:rsidR="00713FC1" w:rsidRPr="00713FC1" w:rsidRDefault="00713FC1" w:rsidP="004B36D7">
      <w:pPr>
        <w:pStyle w:val="Heading2"/>
        <w:pageBreakBefore/>
        <w:rPr>
          <w:rStyle w:val="fontstyle01"/>
          <w:rFonts w:ascii="Garamond" w:hAnsi="Garamond"/>
          <w:b w:val="0"/>
          <w:color w:val="5B9BD5" w:themeColor="accent1"/>
          <w:sz w:val="22"/>
          <w:szCs w:val="22"/>
        </w:rPr>
      </w:pPr>
      <w:r w:rsidRPr="00713FC1">
        <w:rPr>
          <w:rStyle w:val="Strong"/>
          <w:rFonts w:ascii="Garamond" w:hAnsi="Garamond"/>
        </w:rPr>
        <w:t>Additional</w:t>
      </w:r>
      <w:r w:rsidRPr="00713FC1">
        <w:rPr>
          <w:rStyle w:val="Strong"/>
          <w:rFonts w:ascii="Garamond" w:hAnsi="Garamond"/>
          <w:b/>
        </w:rPr>
        <w:t xml:space="preserve"> </w:t>
      </w:r>
      <w:r w:rsidRPr="00713FC1">
        <w:rPr>
          <w:rStyle w:val="Strong"/>
          <w:rFonts w:ascii="Garamond" w:hAnsi="Garamond"/>
        </w:rPr>
        <w:t>tables and graphs</w:t>
      </w:r>
    </w:p>
    <w:p w:rsidR="00713FC1" w:rsidRDefault="00713FC1" w:rsidP="007141A9">
      <w:pPr>
        <w:keepNext/>
        <w:spacing w:line="360" w:lineRule="auto"/>
        <w:jc w:val="both"/>
        <w:rPr>
          <w:rStyle w:val="Strong"/>
          <w:rFonts w:ascii="Garamond" w:hAnsi="Garamond"/>
        </w:rPr>
      </w:pPr>
    </w:p>
    <w:p w:rsidR="00602860" w:rsidRDefault="00602860" w:rsidP="007141A9">
      <w:pPr>
        <w:keepNext/>
        <w:spacing w:line="360" w:lineRule="auto"/>
        <w:jc w:val="both"/>
        <w:rPr>
          <w:rStyle w:val="Strong"/>
          <w:rFonts w:ascii="Garamond" w:hAnsi="Garamond"/>
        </w:rPr>
      </w:pPr>
      <w:r w:rsidRPr="00602860">
        <w:rPr>
          <w:rStyle w:val="Strong"/>
          <w:rFonts w:ascii="Garamond" w:hAnsi="Garamond"/>
        </w:rPr>
        <w:t>Table 1A</w:t>
      </w:r>
      <w:r>
        <w:rPr>
          <w:rStyle w:val="Strong"/>
          <w:rFonts w:ascii="Garamond" w:hAnsi="Garamond"/>
        </w:rPr>
        <w:t xml:space="preserve">: </w:t>
      </w:r>
      <w:r w:rsidR="00C16266" w:rsidRPr="00EF19D2">
        <w:rPr>
          <w:rStyle w:val="Strong"/>
          <w:rFonts w:ascii="Garamond" w:hAnsi="Garamond"/>
        </w:rPr>
        <w:t>Population weighted candidate variable means in Census and EU-SILC</w:t>
      </w:r>
      <w:r w:rsidR="00C16266">
        <w:rPr>
          <w:rStyle w:val="Strong"/>
          <w:rFonts w:ascii="Garamond" w:hAnsi="Garamond"/>
        </w:rPr>
        <w:t xml:space="preserve"> at the Statistical Area levels</w:t>
      </w:r>
    </w:p>
    <w:tbl>
      <w:tblPr>
        <w:tblW w:w="8500" w:type="dxa"/>
        <w:jc w:val="center"/>
        <w:tblLook w:val="04A0" w:firstRow="1" w:lastRow="0" w:firstColumn="1" w:lastColumn="0" w:noHBand="0" w:noVBand="1"/>
      </w:tblPr>
      <w:tblGrid>
        <w:gridCol w:w="2740"/>
        <w:gridCol w:w="838"/>
        <w:gridCol w:w="1082"/>
        <w:gridCol w:w="838"/>
        <w:gridCol w:w="1082"/>
        <w:gridCol w:w="838"/>
        <w:gridCol w:w="1082"/>
      </w:tblGrid>
      <w:tr w:rsidR="00C16266" w:rsidRPr="00C16266" w:rsidTr="00C16266">
        <w:trPr>
          <w:trHeight w:val="300"/>
          <w:jc w:val="center"/>
        </w:trPr>
        <w:tc>
          <w:tcPr>
            <w:tcW w:w="2740" w:type="dxa"/>
            <w:tcBorders>
              <w:top w:val="single" w:sz="4" w:space="0" w:color="auto"/>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4"/>
                <w:szCs w:val="24"/>
              </w:rPr>
            </w:pPr>
          </w:p>
        </w:tc>
        <w:tc>
          <w:tcPr>
            <w:tcW w:w="1920" w:type="dxa"/>
            <w:gridSpan w:val="2"/>
            <w:tcBorders>
              <w:top w:val="single" w:sz="8" w:space="0" w:color="auto"/>
              <w:left w:val="nil"/>
              <w:bottom w:val="nil"/>
              <w:right w:val="nil"/>
            </w:tcBorders>
            <w:shd w:val="clear" w:color="auto" w:fill="auto"/>
            <w:noWrap/>
            <w:vAlign w:val="bottom"/>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Northwest</w:t>
            </w:r>
          </w:p>
        </w:tc>
        <w:tc>
          <w:tcPr>
            <w:tcW w:w="1920" w:type="dxa"/>
            <w:gridSpan w:val="2"/>
            <w:tcBorders>
              <w:top w:val="single" w:sz="8" w:space="0" w:color="auto"/>
              <w:left w:val="nil"/>
              <w:bottom w:val="nil"/>
              <w:right w:val="nil"/>
            </w:tcBorders>
            <w:shd w:val="clear" w:color="auto" w:fill="auto"/>
            <w:noWrap/>
            <w:vAlign w:val="bottom"/>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Central</w:t>
            </w:r>
            <w:r w:rsidRPr="00C16266">
              <w:rPr>
                <w:rFonts w:ascii="Garamond" w:eastAsia="Times New Roman" w:hAnsi="Garamond" w:cs="Times New Roman"/>
                <w:color w:val="000000"/>
                <w:sz w:val="20"/>
                <w:szCs w:val="20"/>
              </w:rPr>
              <w:t xml:space="preserve"> &amp; Eastern</w:t>
            </w:r>
          </w:p>
        </w:tc>
        <w:tc>
          <w:tcPr>
            <w:tcW w:w="1920" w:type="dxa"/>
            <w:gridSpan w:val="2"/>
            <w:tcBorders>
              <w:top w:val="single" w:sz="8" w:space="0" w:color="auto"/>
              <w:left w:val="nil"/>
              <w:bottom w:val="nil"/>
              <w:right w:val="nil"/>
            </w:tcBorders>
            <w:shd w:val="clear" w:color="auto" w:fill="auto"/>
            <w:noWrap/>
            <w:vAlign w:val="bottom"/>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Adriatic</w:t>
            </w:r>
          </w:p>
        </w:tc>
      </w:tr>
      <w:tr w:rsidR="00C16266" w:rsidRPr="00C16266" w:rsidTr="00C16266">
        <w:trPr>
          <w:trHeight w:val="315"/>
          <w:jc w:val="center"/>
        </w:trPr>
        <w:tc>
          <w:tcPr>
            <w:tcW w:w="2740"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Variable name</w:t>
            </w:r>
          </w:p>
        </w:tc>
        <w:tc>
          <w:tcPr>
            <w:tcW w:w="838"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Census</w:t>
            </w:r>
          </w:p>
        </w:tc>
        <w:tc>
          <w:tcPr>
            <w:tcW w:w="1082"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EU-SILC</w:t>
            </w:r>
          </w:p>
        </w:tc>
        <w:tc>
          <w:tcPr>
            <w:tcW w:w="838"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Census</w:t>
            </w:r>
          </w:p>
        </w:tc>
        <w:tc>
          <w:tcPr>
            <w:tcW w:w="1082"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EU-SILC</w:t>
            </w:r>
          </w:p>
        </w:tc>
        <w:tc>
          <w:tcPr>
            <w:tcW w:w="838"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Census</w:t>
            </w:r>
          </w:p>
        </w:tc>
        <w:tc>
          <w:tcPr>
            <w:tcW w:w="1082" w:type="dxa"/>
            <w:tcBorders>
              <w:top w:val="nil"/>
              <w:left w:val="nil"/>
              <w:bottom w:val="double" w:sz="6"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EU-SILC</w:t>
            </w:r>
          </w:p>
        </w:tc>
      </w:tr>
      <w:tr w:rsidR="00C16266" w:rsidRPr="00C16266" w:rsidTr="00C16266">
        <w:trPr>
          <w:trHeight w:val="315"/>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Male</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0.4777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0.4771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0.4843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0.4832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0.4873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0.4870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Age [0,5)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0.0515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0.0442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0.0476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0.0512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0.0483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0.0400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Age [5,15)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0.1021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0.1079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0.1082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0.1050</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0.0992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0.1059</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Age [15,30)</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0.1872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0.1873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0.1897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0.1897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0.1817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0.1817</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Age [30,65)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0.4937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0.4964</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0.4764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0.4801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0.4899</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0.4920</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Age [65+)</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0.1655</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0.1642</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0.1782</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0.1740</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0.1810</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0.1805</w:t>
            </w:r>
          </w:p>
        </w:tc>
      </w:tr>
      <w:tr w:rsidR="00C16266" w:rsidRPr="00C16266" w:rsidTr="00C16266">
        <w:trPr>
          <w:trHeight w:val="300"/>
          <w:jc w:val="center"/>
        </w:trPr>
        <w:tc>
          <w:tcPr>
            <w:tcW w:w="5498" w:type="dxa"/>
            <w:gridSpan w:val="4"/>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Household size (Share of individuals living in household type)</w:t>
            </w: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c>
          <w:tcPr>
            <w:tcW w:w="838"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0.088</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0.196</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0.200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0.189</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0.215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0.217</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4</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0.243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0.244</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0.237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0.238</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0.260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0.257</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0.154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0.133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Households size of 6</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0.046</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Household size of 7 or more</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0.070</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0.065</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0.067</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0.074</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0.047</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0.053</w:t>
            </w:r>
          </w:p>
        </w:tc>
      </w:tr>
      <w:tr w:rsidR="00C16266" w:rsidRPr="00C16266" w:rsidTr="00C16266">
        <w:trPr>
          <w:trHeight w:val="300"/>
          <w:jc w:val="center"/>
        </w:trPr>
        <w:tc>
          <w:tcPr>
            <w:tcW w:w="7418" w:type="dxa"/>
            <w:gridSpan w:val="6"/>
            <w:tcBorders>
              <w:top w:val="nil"/>
              <w:left w:val="nil"/>
              <w:bottom w:val="nil"/>
              <w:right w:val="nil"/>
            </w:tcBorders>
            <w:shd w:val="clear" w:color="auto" w:fill="auto"/>
            <w:noWrap/>
            <w:vAlign w:val="bottom"/>
            <w:hideMark/>
          </w:tcPr>
          <w:p w:rsidR="00C16266" w:rsidRPr="00C16266" w:rsidRDefault="00327D44" w:rsidP="00C16266">
            <w:pPr>
              <w:spacing w:after="0" w:line="240" w:lineRule="auto"/>
              <w:rPr>
                <w:rFonts w:ascii="Garamond" w:eastAsia="Times New Roman" w:hAnsi="Garamond" w:cs="Times New Roman"/>
                <w:b/>
                <w:bCs/>
                <w:color w:val="000000"/>
                <w:sz w:val="20"/>
                <w:szCs w:val="20"/>
              </w:rPr>
            </w:pPr>
            <w:r>
              <w:rPr>
                <w:rFonts w:ascii="Garamond" w:eastAsia="Times New Roman" w:hAnsi="Garamond" w:cs="Times New Roman"/>
                <w:b/>
                <w:bCs/>
                <w:color w:val="000000"/>
                <w:sz w:val="20"/>
                <w:szCs w:val="20"/>
              </w:rPr>
              <w:t>Occupation (15-64</w:t>
            </w:r>
            <w:r w:rsidR="00C16266" w:rsidRPr="00C16266">
              <w:rPr>
                <w:rFonts w:ascii="Garamond" w:eastAsia="Times New Roman" w:hAnsi="Garamond" w:cs="Times New Roman"/>
                <w:b/>
                <w:bCs/>
                <w:color w:val="000000"/>
                <w:sz w:val="20"/>
                <w:szCs w:val="20"/>
              </w:rPr>
              <w:t>) (Share of individuals in households with at least one member)</w:t>
            </w: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Manager</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0.015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0.048</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Professionals</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0.188</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Technicians</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0.214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0.151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Clerical support</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0.150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0.129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0.127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0.145</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Service and sales</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0.254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0.263</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Skilled agriculture</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0.106</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0.025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0.021</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Craft and trade</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0.169</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0.202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0.151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0.141</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Machine operators</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0.122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0.135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0.118</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0.112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0.099</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Elementary occs.</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0.090</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0.067</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0.103</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0.069</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0.081</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0.080</w:t>
            </w:r>
          </w:p>
        </w:tc>
      </w:tr>
      <w:tr w:rsidR="00C16266" w:rsidRPr="00C16266" w:rsidTr="00C16266">
        <w:trPr>
          <w:trHeight w:val="300"/>
          <w:jc w:val="center"/>
        </w:trPr>
        <w:tc>
          <w:tcPr>
            <w:tcW w:w="7418" w:type="dxa"/>
            <w:gridSpan w:val="6"/>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Labor status, age 15-64 (Share of individuals in households with at least one member)</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Employed</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0.793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0.762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0.689</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0.671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0.732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0.727</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Retired</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0.497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0.513</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0.515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0.527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0.492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0.470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Student</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0.226</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0.216</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Disabled</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0.016</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0.030</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0.016</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Other</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0.727</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0.725</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0.794</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0.754</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0.745</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0.703</w:t>
            </w:r>
          </w:p>
        </w:tc>
      </w:tr>
      <w:tr w:rsidR="00C16266" w:rsidRPr="00C16266" w:rsidTr="00C16266">
        <w:trPr>
          <w:trHeight w:val="300"/>
          <w:jc w:val="center"/>
        </w:trPr>
        <w:tc>
          <w:tcPr>
            <w:tcW w:w="7418" w:type="dxa"/>
            <w:gridSpan w:val="6"/>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Industry, age 15-64 (Share of individuals in households with at least one member)</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Agriculture, mining, and fishing</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0.052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0.112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0.130</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0.040</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Manufacturing</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0.225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0.241</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0.158</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Services and Sales</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0.684</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0.605</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0.532</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0.469</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0.655</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0.624</w:t>
            </w:r>
          </w:p>
        </w:tc>
      </w:tr>
      <w:tr w:rsidR="00C16266" w:rsidRPr="00C16266" w:rsidTr="00C16266">
        <w:trPr>
          <w:trHeight w:val="300"/>
          <w:jc w:val="center"/>
        </w:trPr>
        <w:tc>
          <w:tcPr>
            <w:tcW w:w="4660" w:type="dxa"/>
            <w:gridSpan w:val="3"/>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Share of members with education in HH (age 15-64)</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Times New Roman" w:eastAsia="Times New Roman" w:hAnsi="Times New Roman" w:cs="Times New Roman"/>
                <w:sz w:val="20"/>
                <w:szCs w:val="20"/>
              </w:rPr>
            </w:pP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Primary education</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0.075</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0.067</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0.107</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0.074</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0.081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0.074</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Lower secondary</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0.184</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0.195</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0.263</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0.252</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0.162</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0.149</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Upper secondary</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0.536</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0.569</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0.521</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0.580</w:t>
            </w:r>
          </w:p>
        </w:tc>
        <w:tc>
          <w:tcPr>
            <w:tcW w:w="838"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0.578</w:t>
            </w:r>
          </w:p>
        </w:tc>
        <w:tc>
          <w:tcPr>
            <w:tcW w:w="1082" w:type="dxa"/>
            <w:tcBorders>
              <w:top w:val="nil"/>
              <w:left w:val="nil"/>
              <w:bottom w:val="nil"/>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0.639</w:t>
            </w: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Tertiary education</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0.206</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0.170</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0.110</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0.093</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0.179</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0.139</w:t>
            </w:r>
          </w:p>
        </w:tc>
      </w:tr>
      <w:tr w:rsidR="00C16266" w:rsidRPr="00C16266" w:rsidTr="00C16266">
        <w:trPr>
          <w:trHeight w:val="300"/>
          <w:jc w:val="center"/>
        </w:trPr>
        <w:tc>
          <w:tcPr>
            <w:tcW w:w="2740"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r w:rsidRPr="00C16266">
              <w:rPr>
                <w:rFonts w:ascii="Garamond" w:eastAsia="Times New Roman" w:hAnsi="Garamond" w:cs="Times New Roman"/>
                <w:b/>
                <w:bCs/>
                <w:color w:val="000000"/>
                <w:sz w:val="20"/>
                <w:szCs w:val="20"/>
              </w:rPr>
              <w:t>Dwelling characteristics</w:t>
            </w:r>
          </w:p>
        </w:tc>
        <w:tc>
          <w:tcPr>
            <w:tcW w:w="838"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b/>
                <w:bCs/>
                <w:color w:val="000000"/>
                <w:sz w:val="20"/>
                <w:szCs w:val="20"/>
              </w:rPr>
            </w:pP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rsidR="00C16266" w:rsidRPr="00C16266" w:rsidRDefault="00C16266" w:rsidP="00C16266">
            <w:pPr>
              <w:spacing w:after="0" w:line="240" w:lineRule="auto"/>
              <w:rPr>
                <w:rFonts w:ascii="Times New Roman" w:eastAsia="Times New Roman" w:hAnsi="Times New Roman" w:cs="Times New Roman"/>
                <w:sz w:val="20"/>
                <w:szCs w:val="20"/>
              </w:rPr>
            </w:pPr>
          </w:p>
        </w:tc>
      </w:tr>
      <w:tr w:rsidR="00C16266" w:rsidRPr="00C16266" w:rsidTr="00C16266">
        <w:trPr>
          <w:trHeight w:val="315"/>
          <w:jc w:val="center"/>
        </w:trPr>
        <w:tc>
          <w:tcPr>
            <w:tcW w:w="2740" w:type="dxa"/>
            <w:tcBorders>
              <w:top w:val="nil"/>
              <w:left w:val="nil"/>
              <w:bottom w:val="single" w:sz="8" w:space="0" w:color="auto"/>
              <w:right w:val="nil"/>
            </w:tcBorders>
            <w:shd w:val="clear" w:color="auto" w:fill="auto"/>
            <w:noWrap/>
            <w:vAlign w:val="bottom"/>
            <w:hideMark/>
          </w:tcPr>
          <w:p w:rsidR="00C16266" w:rsidRPr="00C16266" w:rsidRDefault="00C16266" w:rsidP="00C16266">
            <w:pPr>
              <w:spacing w:after="0" w:line="240" w:lineRule="auto"/>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Square meters</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90.711</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87.120</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92.523</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95.296</w:t>
            </w:r>
          </w:p>
        </w:tc>
        <w:tc>
          <w:tcPr>
            <w:tcW w:w="838"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83.187</w:t>
            </w:r>
          </w:p>
        </w:tc>
        <w:tc>
          <w:tcPr>
            <w:tcW w:w="1082" w:type="dxa"/>
            <w:tcBorders>
              <w:top w:val="nil"/>
              <w:left w:val="nil"/>
              <w:bottom w:val="single" w:sz="8" w:space="0" w:color="auto"/>
              <w:right w:val="nil"/>
            </w:tcBorders>
            <w:shd w:val="clear" w:color="auto" w:fill="auto"/>
            <w:noWrap/>
            <w:vAlign w:val="center"/>
            <w:hideMark/>
          </w:tcPr>
          <w:p w:rsidR="00C16266" w:rsidRPr="00C16266" w:rsidRDefault="00C16266" w:rsidP="00C16266">
            <w:pPr>
              <w:spacing w:after="0" w:line="240" w:lineRule="auto"/>
              <w:jc w:val="center"/>
              <w:rPr>
                <w:rFonts w:ascii="Garamond" w:eastAsia="Times New Roman" w:hAnsi="Garamond" w:cs="Times New Roman"/>
                <w:color w:val="000000"/>
                <w:sz w:val="20"/>
                <w:szCs w:val="20"/>
              </w:rPr>
            </w:pPr>
            <w:r w:rsidRPr="00C16266">
              <w:rPr>
                <w:rFonts w:ascii="Garamond" w:eastAsia="Times New Roman" w:hAnsi="Garamond" w:cs="Times New Roman"/>
                <w:color w:val="000000"/>
                <w:sz w:val="20"/>
                <w:szCs w:val="20"/>
              </w:rPr>
              <w:t>85.564</w:t>
            </w:r>
          </w:p>
        </w:tc>
      </w:tr>
    </w:tbl>
    <w:p w:rsidR="00C16266" w:rsidRPr="00602860" w:rsidRDefault="00C16266" w:rsidP="00602860">
      <w:pPr>
        <w:spacing w:line="360" w:lineRule="auto"/>
        <w:jc w:val="both"/>
        <w:rPr>
          <w:rStyle w:val="Strong"/>
          <w:rFonts w:ascii="Garamond" w:hAnsi="Garamond"/>
        </w:rPr>
      </w:pPr>
    </w:p>
    <w:p w:rsidR="00465AB0" w:rsidRPr="00EC121C" w:rsidRDefault="00465AB0" w:rsidP="00465AB0">
      <w:pPr>
        <w:spacing w:line="360" w:lineRule="auto"/>
        <w:jc w:val="both"/>
        <w:rPr>
          <w:rStyle w:val="Strong"/>
          <w:rFonts w:ascii="Garamond" w:hAnsi="Garamond"/>
        </w:rPr>
      </w:pPr>
    </w:p>
    <w:p w:rsidR="009B45EB" w:rsidRDefault="009B45EB" w:rsidP="009B45EB">
      <w:pPr>
        <w:keepNext/>
        <w:spacing w:line="360" w:lineRule="auto"/>
        <w:jc w:val="center"/>
        <w:rPr>
          <w:rStyle w:val="Strong"/>
          <w:rFonts w:ascii="Garamond" w:hAnsi="Garamond"/>
        </w:rPr>
      </w:pPr>
      <w:r>
        <w:rPr>
          <w:rStyle w:val="Strong"/>
          <w:rFonts w:ascii="Garamond" w:hAnsi="Garamond"/>
        </w:rPr>
        <w:t xml:space="preserve">Table A2: Alpha model </w:t>
      </w:r>
    </w:p>
    <w:tbl>
      <w:tblPr>
        <w:tblW w:w="0" w:type="auto"/>
        <w:jc w:val="center"/>
        <w:tblLook w:val="04A0" w:firstRow="1" w:lastRow="0" w:firstColumn="1" w:lastColumn="0" w:noHBand="0" w:noVBand="1"/>
      </w:tblPr>
      <w:tblGrid>
        <w:gridCol w:w="2439"/>
        <w:gridCol w:w="1131"/>
        <w:gridCol w:w="890"/>
      </w:tblGrid>
      <w:tr w:rsidR="009B45EB" w:rsidRPr="009B45EB" w:rsidTr="009B45EB">
        <w:trPr>
          <w:trHeight w:val="315"/>
          <w:jc w:val="center"/>
        </w:trPr>
        <w:tc>
          <w:tcPr>
            <w:tcW w:w="0" w:type="auto"/>
            <w:tcBorders>
              <w:top w:val="single" w:sz="8" w:space="0" w:color="auto"/>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 </w:t>
            </w:r>
          </w:p>
        </w:tc>
        <w:tc>
          <w:tcPr>
            <w:tcW w:w="0" w:type="auto"/>
            <w:tcBorders>
              <w:top w:val="single" w:sz="8" w:space="0" w:color="auto"/>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Coeff.</w:t>
            </w:r>
          </w:p>
        </w:tc>
        <w:tc>
          <w:tcPr>
            <w:tcW w:w="0" w:type="auto"/>
            <w:tcBorders>
              <w:top w:val="single" w:sz="8" w:space="0" w:color="auto"/>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Std Err.</w:t>
            </w:r>
          </w:p>
        </w:tc>
      </w:tr>
      <w:tr w:rsidR="009B45EB" w:rsidRPr="009B45EB" w:rsidTr="009B45EB">
        <w:trPr>
          <w:trHeight w:val="300"/>
          <w:jc w:val="center"/>
        </w:trPr>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1 Retiree</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-0.2663**</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0.1066</w:t>
            </w:r>
          </w:p>
        </w:tc>
      </w:tr>
      <w:tr w:rsidR="009B45EB" w:rsidRPr="009B45EB" w:rsidTr="009B45EB">
        <w:trPr>
          <w:trHeight w:val="300"/>
          <w:jc w:val="center"/>
        </w:trPr>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No service sector workers</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0.3921***</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0.1407</w:t>
            </w:r>
          </w:p>
        </w:tc>
      </w:tr>
      <w:tr w:rsidR="009B45EB" w:rsidRPr="009B45EB" w:rsidTr="009B45EB">
        <w:trPr>
          <w:trHeight w:val="300"/>
          <w:jc w:val="center"/>
        </w:trPr>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1 working person</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-0.289**</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0.147</w:t>
            </w:r>
          </w:p>
        </w:tc>
      </w:tr>
      <w:tr w:rsidR="009B45EB" w:rsidRPr="009B45EB" w:rsidTr="009B45EB">
        <w:trPr>
          <w:trHeight w:val="300"/>
          <w:jc w:val="center"/>
        </w:trPr>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2 working persons</w:t>
            </w: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-0.2543**</w:t>
            </w: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0.1208</w:t>
            </w:r>
          </w:p>
        </w:tc>
      </w:tr>
      <w:tr w:rsidR="009B45EB" w:rsidRPr="009B45EB" w:rsidTr="009B45EB">
        <w:trPr>
          <w:trHeight w:val="300"/>
          <w:jc w:val="center"/>
        </w:trPr>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Constant</w:t>
            </w: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-5.5976***</w:t>
            </w: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0.1786</w:t>
            </w:r>
          </w:p>
        </w:tc>
      </w:tr>
      <w:tr w:rsidR="009B45EB" w:rsidRPr="009B45EB" w:rsidTr="009B45EB">
        <w:trPr>
          <w:trHeight w:val="300"/>
          <w:jc w:val="center"/>
        </w:trPr>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rPr>
                <w:rFonts w:ascii="Garamond" w:eastAsia="Times New Roman" w:hAnsi="Garamond" w:cs="Calibri"/>
                <w:color w:val="000000"/>
              </w:rPr>
            </w:pP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rPr>
                <w:rFonts w:ascii="Garamond" w:eastAsia="Times New Roman" w:hAnsi="Garamond" w:cs="Calibri"/>
                <w:color w:val="000000"/>
              </w:rPr>
            </w:pP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rPr>
                <w:rFonts w:ascii="Garamond" w:eastAsia="Times New Roman" w:hAnsi="Garamond" w:cs="Calibri"/>
                <w:color w:val="000000"/>
              </w:rPr>
            </w:pPr>
          </w:p>
        </w:tc>
      </w:tr>
      <w:tr w:rsidR="009B45EB" w:rsidRPr="009B45EB" w:rsidTr="009B45EB">
        <w:trPr>
          <w:trHeight w:val="300"/>
          <w:jc w:val="center"/>
        </w:trPr>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Adj. R2</w:t>
            </w:r>
          </w:p>
        </w:tc>
        <w:tc>
          <w:tcPr>
            <w:tcW w:w="0" w:type="auto"/>
            <w:tcBorders>
              <w:top w:val="nil"/>
              <w:left w:val="nil"/>
              <w:bottom w:val="nil"/>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0.0019</w:t>
            </w:r>
          </w:p>
        </w:tc>
        <w:tc>
          <w:tcPr>
            <w:tcW w:w="0" w:type="auto"/>
            <w:tcBorders>
              <w:top w:val="nil"/>
              <w:left w:val="nil"/>
              <w:bottom w:val="nil"/>
              <w:right w:val="nil"/>
            </w:tcBorders>
            <w:shd w:val="clear" w:color="auto" w:fill="auto"/>
            <w:noWrap/>
            <w:vAlign w:val="bottom"/>
            <w:hideMark/>
          </w:tcPr>
          <w:p w:rsidR="009B45EB" w:rsidRPr="009B45EB" w:rsidRDefault="009B45EB" w:rsidP="009B45EB">
            <w:pPr>
              <w:spacing w:after="0" w:line="240" w:lineRule="auto"/>
              <w:rPr>
                <w:rFonts w:ascii="Garamond" w:eastAsia="Times New Roman" w:hAnsi="Garamond" w:cs="Calibri"/>
                <w:color w:val="000000"/>
              </w:rPr>
            </w:pPr>
          </w:p>
        </w:tc>
      </w:tr>
      <w:tr w:rsidR="009B45EB" w:rsidRPr="009B45EB" w:rsidTr="009B45EB">
        <w:trPr>
          <w:trHeight w:val="315"/>
          <w:jc w:val="center"/>
        </w:trPr>
        <w:tc>
          <w:tcPr>
            <w:tcW w:w="0" w:type="auto"/>
            <w:tcBorders>
              <w:top w:val="nil"/>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Observations</w:t>
            </w:r>
          </w:p>
        </w:tc>
        <w:tc>
          <w:tcPr>
            <w:tcW w:w="0" w:type="auto"/>
            <w:tcBorders>
              <w:top w:val="nil"/>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jc w:val="center"/>
              <w:rPr>
                <w:rFonts w:ascii="Garamond" w:eastAsia="Times New Roman" w:hAnsi="Garamond" w:cs="Calibri"/>
                <w:color w:val="000000"/>
              </w:rPr>
            </w:pPr>
            <w:r w:rsidRPr="009B45EB">
              <w:rPr>
                <w:rFonts w:ascii="Garamond" w:eastAsia="Times New Roman" w:hAnsi="Garamond" w:cs="Calibri"/>
                <w:color w:val="000000"/>
              </w:rPr>
              <w:t>2,229</w:t>
            </w:r>
          </w:p>
        </w:tc>
        <w:tc>
          <w:tcPr>
            <w:tcW w:w="0" w:type="auto"/>
            <w:tcBorders>
              <w:top w:val="nil"/>
              <w:left w:val="nil"/>
              <w:bottom w:val="single" w:sz="8" w:space="0" w:color="auto"/>
              <w:right w:val="nil"/>
            </w:tcBorders>
            <w:shd w:val="clear" w:color="auto" w:fill="auto"/>
            <w:noWrap/>
            <w:vAlign w:val="center"/>
            <w:hideMark/>
          </w:tcPr>
          <w:p w:rsidR="009B45EB" w:rsidRPr="009B45EB" w:rsidRDefault="009B45EB" w:rsidP="009B45EB">
            <w:pPr>
              <w:spacing w:after="0" w:line="240" w:lineRule="auto"/>
              <w:rPr>
                <w:rFonts w:ascii="Garamond" w:eastAsia="Times New Roman" w:hAnsi="Garamond" w:cs="Calibri"/>
                <w:color w:val="000000"/>
              </w:rPr>
            </w:pPr>
            <w:r w:rsidRPr="009B45EB">
              <w:rPr>
                <w:rFonts w:ascii="Garamond" w:eastAsia="Times New Roman" w:hAnsi="Garamond" w:cs="Calibri"/>
                <w:color w:val="000000"/>
              </w:rPr>
              <w:t> </w:t>
            </w:r>
          </w:p>
        </w:tc>
      </w:tr>
    </w:tbl>
    <w:p w:rsidR="009B45EB" w:rsidRDefault="009B45EB" w:rsidP="00B44D29">
      <w:pPr>
        <w:keepNext/>
        <w:spacing w:line="360" w:lineRule="auto"/>
        <w:jc w:val="center"/>
        <w:rPr>
          <w:rStyle w:val="Strong"/>
          <w:rFonts w:ascii="Garamond" w:hAnsi="Garamond"/>
        </w:rPr>
      </w:pPr>
    </w:p>
    <w:p w:rsidR="00B44D29" w:rsidRDefault="00B44D29" w:rsidP="00B44D29">
      <w:pPr>
        <w:keepNext/>
        <w:spacing w:line="360" w:lineRule="auto"/>
        <w:jc w:val="center"/>
        <w:rPr>
          <w:rStyle w:val="Strong"/>
          <w:rFonts w:ascii="Garamond" w:hAnsi="Garamond"/>
          <w:b w:val="0"/>
        </w:rPr>
      </w:pPr>
      <w:r>
        <w:rPr>
          <w:rStyle w:val="Strong"/>
          <w:rFonts w:ascii="Garamond" w:hAnsi="Garamond"/>
        </w:rPr>
        <w:t>Figure A1: NUTS 3 Poverty estimates and 95% confidence intervals</w:t>
      </w:r>
    </w:p>
    <w:p w:rsidR="003461AD" w:rsidRDefault="003461AD" w:rsidP="00B44D29">
      <w:pPr>
        <w:keepNext/>
        <w:spacing w:line="360" w:lineRule="auto"/>
        <w:jc w:val="center"/>
        <w:rPr>
          <w:rStyle w:val="Strong"/>
          <w:rFonts w:ascii="Garamond" w:eastAsiaTheme="minorEastAsia" w:hAnsi="Garamond"/>
          <w:b w:val="0"/>
          <w:bCs w:val="0"/>
        </w:rPr>
      </w:pPr>
    </w:p>
    <w:p w:rsidR="00761122" w:rsidRDefault="005D1911" w:rsidP="00B44D29">
      <w:pPr>
        <w:keepNext/>
        <w:spacing w:line="360" w:lineRule="auto"/>
        <w:jc w:val="center"/>
        <w:rPr>
          <w:rStyle w:val="Strong"/>
          <w:rFonts w:ascii="Garamond" w:eastAsiaTheme="minorEastAsia" w:hAnsi="Garamond"/>
          <w:b w:val="0"/>
          <w:bCs w:val="0"/>
        </w:rPr>
      </w:pPr>
      <w:r w:rsidRPr="005D1911">
        <w:rPr>
          <w:rStyle w:val="Strong"/>
          <w:rFonts w:ascii="Garamond" w:eastAsiaTheme="minorEastAsia" w:hAnsi="Garamond"/>
          <w:b w:val="0"/>
          <w:bCs w:val="0"/>
          <w:noProof/>
        </w:rPr>
        <w:drawing>
          <wp:inline distT="0" distB="0" distL="0" distR="0">
            <wp:extent cx="5114925" cy="3743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F024A3" w:rsidRDefault="00F024A3" w:rsidP="00F024A3">
      <w:pPr>
        <w:keepNext/>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p>
    <w:p w:rsidR="00F024A3" w:rsidRDefault="00F024A3" w:rsidP="00F024A3">
      <w:pPr>
        <w:keepNext/>
        <w:keepLines/>
        <w:spacing w:line="360" w:lineRule="auto"/>
        <w:jc w:val="center"/>
        <w:rPr>
          <w:rStyle w:val="Strong"/>
          <w:rFonts w:ascii="Garamond" w:hAnsi="Garamond"/>
        </w:rPr>
      </w:pPr>
      <w:r>
        <w:rPr>
          <w:rStyle w:val="Strong"/>
          <w:rFonts w:ascii="Garamond" w:hAnsi="Garamond"/>
        </w:rPr>
        <w:t xml:space="preserve">Figure A2: Poverty in the districts of Zagreb </w:t>
      </w:r>
    </w:p>
    <w:p w:rsidR="00F024A3" w:rsidRPr="00EC121C" w:rsidRDefault="00F024A3" w:rsidP="00F024A3">
      <w:pPr>
        <w:keepNext/>
        <w:spacing w:line="360" w:lineRule="auto"/>
        <w:jc w:val="center"/>
        <w:rPr>
          <w:rStyle w:val="Strong"/>
          <w:rFonts w:ascii="Garamond" w:eastAsiaTheme="minorEastAsia" w:hAnsi="Garamond"/>
          <w:b w:val="0"/>
          <w:bCs w:val="0"/>
        </w:rPr>
      </w:pPr>
      <w:r>
        <w:rPr>
          <w:noProof/>
        </w:rPr>
        <w:drawing>
          <wp:inline distT="0" distB="0" distL="0" distR="0" wp14:anchorId="1740632A" wp14:editId="0EDCC5F2">
            <wp:extent cx="5278532" cy="5105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87926" cy="5114486"/>
                    </a:xfrm>
                    <a:prstGeom prst="rect">
                      <a:avLst/>
                    </a:prstGeom>
                  </pic:spPr>
                </pic:pic>
              </a:graphicData>
            </a:graphic>
          </wp:inline>
        </w:drawing>
      </w:r>
    </w:p>
    <w:p w:rsidR="009D10A9" w:rsidRDefault="009D10A9" w:rsidP="009D10A9">
      <w:pPr>
        <w:keepNext/>
        <w:keepLines/>
        <w:pageBreakBefore/>
        <w:spacing w:line="360" w:lineRule="auto"/>
        <w:jc w:val="center"/>
        <w:rPr>
          <w:rStyle w:val="Strong"/>
          <w:rFonts w:ascii="Garamond" w:hAnsi="Garamond"/>
        </w:rPr>
      </w:pPr>
      <w:r>
        <w:rPr>
          <w:rStyle w:val="Strong"/>
          <w:rFonts w:ascii="Garamond" w:hAnsi="Garamond"/>
        </w:rPr>
        <w:t>Table 3A: Poverty indicators by LAU-2</w:t>
      </w:r>
    </w:p>
    <w:tbl>
      <w:tblPr>
        <w:tblW w:w="5000" w:type="pct"/>
        <w:tblLook w:val="04A0" w:firstRow="1" w:lastRow="0" w:firstColumn="1" w:lastColumn="0" w:noHBand="0" w:noVBand="1"/>
      </w:tblPr>
      <w:tblGrid>
        <w:gridCol w:w="2377"/>
        <w:gridCol w:w="1198"/>
        <w:gridCol w:w="858"/>
        <w:gridCol w:w="858"/>
        <w:gridCol w:w="858"/>
        <w:gridCol w:w="858"/>
        <w:gridCol w:w="859"/>
        <w:gridCol w:w="859"/>
        <w:gridCol w:w="851"/>
      </w:tblGrid>
      <w:tr w:rsidR="009D10A9" w:rsidRPr="009D10A9" w:rsidTr="009D10A9">
        <w:trPr>
          <w:trHeight w:val="1020"/>
          <w:tblHeader/>
        </w:trPr>
        <w:tc>
          <w:tcPr>
            <w:tcW w:w="1101"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Location</w:t>
            </w:r>
          </w:p>
        </w:tc>
        <w:tc>
          <w:tcPr>
            <w:tcW w:w="576"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 xml:space="preserve"> Population </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Head count poverty</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Std. Err. Head count poverty</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 xml:space="preserve">Poverty Gap </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Std. Err. Poverty Gap</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Poverty Gap Sq.</w:t>
            </w:r>
          </w:p>
        </w:tc>
        <w:tc>
          <w:tcPr>
            <w:tcW w:w="475"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Std. Err. Poverty Gap Sq.</w:t>
            </w:r>
          </w:p>
        </w:tc>
        <w:tc>
          <w:tcPr>
            <w:tcW w:w="471" w:type="pct"/>
            <w:tcBorders>
              <w:top w:val="single" w:sz="4" w:space="0" w:color="auto"/>
              <w:left w:val="nil"/>
              <w:bottom w:val="single" w:sz="4" w:space="0" w:color="auto"/>
              <w:right w:val="nil"/>
            </w:tcBorders>
            <w:shd w:val="clear" w:color="000000" w:fill="FFFFFF"/>
            <w:vAlign w:val="center"/>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Share of poor</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Donji 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35,609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Gornji Grad-Medvešèak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29,750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Trnje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41,021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Maksimir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47,362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Pešæenica-Žitnjak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55,057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Novi Zagreb-istok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58,052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Novi Zagreb-zapad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56,647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Trešnjevka-sjever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54,197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Trešnjevka-jug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65,555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Èrnomerec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37,577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Gornja Dubrava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60,882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Donja Dubrava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35,871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Stenjevec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50,678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Podsused-Vrapèe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44,580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Podsljeme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18,858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Sesvete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68,924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ind w:firstLineChars="100" w:firstLine="200"/>
              <w:rPr>
                <w:rFonts w:ascii="Garamond" w:eastAsia="Times New Roman" w:hAnsi="Garamond" w:cs="Arial"/>
                <w:sz w:val="20"/>
                <w:szCs w:val="20"/>
              </w:rPr>
            </w:pPr>
            <w:r w:rsidRPr="009D10A9">
              <w:rPr>
                <w:rFonts w:ascii="Garamond" w:eastAsia="Times New Roman" w:hAnsi="Garamond" w:cs="Arial"/>
                <w:sz w:val="20"/>
                <w:szCs w:val="20"/>
              </w:rPr>
              <w:t>Brezovica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11,720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b/>
                <w:bCs/>
                <w:sz w:val="20"/>
                <w:szCs w:val="20"/>
              </w:rPr>
            </w:pPr>
            <w:r w:rsidRPr="009D10A9">
              <w:rPr>
                <w:rFonts w:ascii="Garamond" w:eastAsia="Times New Roman" w:hAnsi="Garamond" w:cs="Arial"/>
                <w:b/>
                <w:bCs/>
                <w:sz w:val="20"/>
                <w:szCs w:val="20"/>
              </w:rPr>
              <w:t>Grad Zagreb</w:t>
            </w:r>
          </w:p>
        </w:tc>
        <w:tc>
          <w:tcPr>
            <w:tcW w:w="576"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 xml:space="preserve">       772,340 </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9.80</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0.90</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2.40</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0.30</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0.90</w:t>
            </w:r>
          </w:p>
        </w:tc>
        <w:tc>
          <w:tcPr>
            <w:tcW w:w="475"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0.10</w:t>
            </w:r>
          </w:p>
        </w:tc>
        <w:tc>
          <w:tcPr>
            <w:tcW w:w="471" w:type="pct"/>
            <w:tcBorders>
              <w:top w:val="single" w:sz="4" w:space="0" w:color="auto"/>
              <w:left w:val="nil"/>
              <w:bottom w:val="single" w:sz="4"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b/>
                <w:bCs/>
                <w:sz w:val="20"/>
                <w:szCs w:val="20"/>
              </w:rPr>
            </w:pPr>
            <w:r w:rsidRPr="009D10A9">
              <w:rPr>
                <w:rFonts w:ascii="Garamond" w:eastAsia="Times New Roman" w:hAnsi="Garamond" w:cs="Arial"/>
                <w:b/>
                <w:bCs/>
                <w:sz w:val="20"/>
                <w:szCs w:val="20"/>
              </w:rPr>
              <w:t>8.60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Andrijaševci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4,020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Antunovac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3,610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Babina Greda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Bakar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8,211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Bale - Valle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Barban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2,688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Barilović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2,967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Baška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Baška Voda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Bebrina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Bedekovčina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7,759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Bednja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3,954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Beli Manastir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9,459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Belica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Belišće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10,509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Benkovac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10,934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Berek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Beretinec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2,117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Bibinje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3,969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Biograd Na Moru</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Bizovac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Bjelovar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39,061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Blato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3,460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Bogdanovci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Bol</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1,576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Borovo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4,857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Bosiljevo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Bošnjaci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Brckovljani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6,432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Brdovec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11,048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Brestovac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Breznica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2,188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Brinje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Brod Moravice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Brodski Stupnik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Brtonigla - Verteneglio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Budinščina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Buje - Buie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5,102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Buzet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Cerna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Cernik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Cerovlje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Cestica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Cetingrad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1,921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Cista Provo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2,310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Civljane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Cres</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Crikvenica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10,947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Crnac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1,445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Čabar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Čačinci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Čađavica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1,983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Čaglin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2,363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26,422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Čavle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7,071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Čazma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7,926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Čeminac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Čepin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11,299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Darda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6,746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Daruvar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11,482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Davor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2,967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Delnice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5,747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Desinić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Dežanovac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Dicmo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Dobrinj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Domašinec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2,217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1,698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Donja Dubrava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Donja Stubica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5,375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Donja Voća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2,392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Andrijevci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3,666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Kraljevec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4,527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Kukuruzari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Lapac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2,028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Martijanec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3,788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Miholjac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9,275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Muć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Proložac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Donji Vidovec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Draganić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2,665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Draž</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2,681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Drenovci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4,969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Drenje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2,592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Drniš</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7,422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1,832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Dubrava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Dubrovnik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41,417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Duga Resa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11,120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Dugi Rat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6,982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Dugo Selo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17,201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Dvor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Đakovo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26,790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Đelekovec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Đulovac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Đurđenovac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6,598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Đurđevac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8,090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Đurmanec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Erdut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7,108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Ernestinovo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2,064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Ervenik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1,098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Farkaševac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Ferdinandovac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Feričanci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2,093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Fužine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Garčin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4,729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Garešnica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10,258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Generalski Stol</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Glina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8,757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Goričan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Gorjani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1,564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Gornja Stubica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5,258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Gornji Bogićevci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Gornji Kneginec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5,252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Gospić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12,320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Gračac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Gračišće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Gradac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3,237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Gradec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Gradina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3,799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Gradište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2,627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Grožnjan - Grisignana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733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Grubišno Polje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6,383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Gundinci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2,013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Gunja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Hercegovac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Hlebine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Hrašćina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1,535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Hrvace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Hrvatska Dubica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Hrvatska Kostajnica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Breznički Hum</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1,314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Hum Na Sutli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4,851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Hvar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4,218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Ilok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6,500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Imotski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10,671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Ivanec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13,447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Ivanić-Grad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14,292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Ivankovo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7,762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Ivanska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Jakovlje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3,813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Jakšić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3,986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Jalžabet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Jarmina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2,440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Jasenice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Jasenovac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Jastrebarsko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15,625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Jelenje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5,277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Jelsa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Josipdol</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Kali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1,628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Kanfanar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1,541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Kapela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Kaptol</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3,446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Karlobag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Karlovac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54,120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Kastav</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10,346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Kaštela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38,044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Kijevo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Kistanje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3,429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Klakar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1,966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Klanjec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Klenovnik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Klinča Sela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5,108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Klis</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Kloštar Ivanić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5,990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Kloštar Podravski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3,200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Kneževi Vinogradi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4,517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Knin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15,011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Komiža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1,519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Konavle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8,549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Končanica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2,340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Konjščina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Koprivnica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29,930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Koprivnički Bregi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Koprivnički Ivanec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1,972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Korčula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Koška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Kotoriba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Kraljevec Na Sutli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1,727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Kraljevica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Krapina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12,105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Krapinske Toplice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5,249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Križ</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6,794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Križevci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20,631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5,951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Krnjak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Kršan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2,913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Kula Norinska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Kutina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22,337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Kutjevo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6,165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Labin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11,497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Lanišće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328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Lasinja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1,612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Lastovo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792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Legrad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Lekenik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5,885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Lepoglava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7,437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Levanjska Varoš</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Lipik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6,002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Lipovljani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Lišane Ostrovičke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Ližnjan - Lisignano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Lobor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Lokve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Lovas</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1,207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Lovinac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Lovran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4,033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Lovreć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Ludbreg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8,223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Lukač</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3,568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Lupoglav</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Ljubešćica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Mače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Makarska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13,684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Mala Subotica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5,274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Mali Bukovec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Mali Lošinj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7,916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Malinska-Dubašnica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Marčana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4,199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Marija Bistrica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5,889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Marijanci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Martinska Ves</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3,393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Maruševec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6,275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Matulji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11,121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Medulin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6,374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Metković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15,956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Mihovljan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1,921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Mikleuš</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Milna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Mljet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Molve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2,147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Podravska Moslavina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Mošćenička Draga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Motovun - Montona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Mrkopalj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1,205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Mursko-Središće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6,209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Našice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15,912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Nedelišće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11,700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Nerežišća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845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Netretić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2,710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Nova Bukovica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Nova Gradiška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13,880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Nova Kapela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Nova Rača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Novalja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3,613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 Marof</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13,103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 Vinodolski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4,976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Novigrad - Cittanova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4,145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Novigrad Podravski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Novska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13,404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Nuštar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Nijemci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4,643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Obrovac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4,254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Ogulin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13,687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Promina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Okučani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Omiš</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14,654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Omišalj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Opatija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11,369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Oprisavci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2,481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Oprtalj - Portole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Opuzen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3,133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Orahovica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Orebić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4,031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Oriovac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5,719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Biskupija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1,688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Oroslavje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Osijek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105,841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Otočac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9,516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Otok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Ozalj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6,537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Pag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3,802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Pakoštane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4,090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Pakrac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8,345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Pašman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Pazin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8,570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Perušić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Peteranec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2,648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Petrijanec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Petrijevci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Petrinja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23,896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Petrovsko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2,643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Pićan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1,805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Pisarovina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Pitomača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9,782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Plaški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Pleternica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11,115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Ploče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9,776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Podbablje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4,679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Podcrkavlje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Podgora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2,505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Podgorač</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Podstrana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8,932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Podturen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3,810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Pojezerje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Polača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Poličnik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Popovac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Popovača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11,394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Poreč - Parenzo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16,438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Posedarje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3,565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Postira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Požega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25,406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Pregrada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6,485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Preko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Prelog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7,638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Preseka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1,413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Primošten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2,794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Pučišća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Pula - Pola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55,918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Punat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1,907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Punitovci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Pušća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Rab</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7,942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Radoboj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Rakovica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2,368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Rasinja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3,171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Raša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3,074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Ravna Gora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Ražanac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2,900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Rešetari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Rijeka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125,857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Rovinj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13,942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Rovišće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Rugvica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7,661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Ružić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1,559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Saborsko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Sali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1,672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Samobor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37,186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Satnica Đakovačka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Seget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Selca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Selnica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Semeljci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4,219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7,095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Sibinj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6,815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24,471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Sirač</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Sisak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46,762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Skrad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Skradin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Slatina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13,529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Slavonski Brod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57,296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Slavonski Šamac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2,112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Slivno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Slunj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5,012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Smokvica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874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Sokolovac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3,346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Solin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23,670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Sopje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Split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173,163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Sračinec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4,689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Stankovci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1,982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Stara Gradiška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Stari 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Stari Jankovci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4,322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Stari Mikanovci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2,864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Starigrad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Staro Petrovo Selo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Ston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Strizivojna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2,494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Stubičke Toplice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Sućuraj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Suhopolje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6,477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Sukošan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4,533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5,709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Supetar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3,997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Filip I Jakov</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Ivan Zelina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15,623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Križ Začretje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Lovreč</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1,014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Sveta Nedelja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Petar U Šumi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1,052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Svetvinčenat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2,184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Sveta Nedelja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17,785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Đurđ</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3,763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Ilija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Ivan Žabno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Juraj Na Bregu</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4,909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Martin Na Muri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Sveti Petar Orehovec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Šestanovac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Šibenik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45,426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Škabrnja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Šolta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1,668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Špišić Bukovica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Štefanje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1,988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Štrigova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Tinjan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1,660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Tisno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Plitvička Jezera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4,299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Tompojevci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Topusko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Tordinci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Tovarnik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Trilj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8,801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Trnava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1,568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Trnovec Bartolovečki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6,470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Trogir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12,784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Trpinja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5,386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Tuhelj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Udbina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Umag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13,383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Unešić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Valpovo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11,216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Varaždin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45,378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Varaždinske Toplice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6,316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Vela Luka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4,059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5,393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 Kopanica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3,258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 Ludina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2,614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 Pisanica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1,775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Veliki Grđevac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2,808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Veliko Trgovišće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4,856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Veliko Trojstvo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Vidovec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5,325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Viljevo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Vinkovci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34,453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Vinodolska Općina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3,539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2,972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4,451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Virovitica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20,924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Vis</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Visoko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1,498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Viškovci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Viškovo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14,235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Višnjan - Visignano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Vižinada - Visinada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1,146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Voćin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2,274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Vodice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8,784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Vodnjan - Dignano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5,943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Vojnić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4,524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Vratišinec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Vrbanja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3,815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Vrbje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Vrbnik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Vrbovec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14,406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Vrbovsko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5,025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Gvozd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2,889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Vrgorac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6,336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Vrhovine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Vrlika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1,968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Vrpolje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3,457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0.20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Vrsar - Orsera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2,152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Vuka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1,145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Vukovar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26,975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Zabok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8,938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Zadar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73,680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Zagorska Sela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990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Zagvozd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Zažablje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720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Zdenci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Zemunik Donji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Zlatar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6,014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Zlatar Bistrica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Zmijavci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Žakanje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Žminj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3,462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Krašić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Županja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11,622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Otok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6,218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Rakovec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1,238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Novigrad</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2,365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Kostrena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4,152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Marija Gorica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2,214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Žumberak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830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 Gorica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62,711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Orle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Zaprešić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24,935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0.30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Pokupsko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2,210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Kravarsko</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1,966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Bistra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6,389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Luka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1,323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Dubravica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Bedenica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Stupnik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3,652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Jesenje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1,512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Kumrovec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1,587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Novi Golubovec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971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Majur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1,185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Ribnik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473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Tounj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1,143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Veliki Bukovec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Kalinovac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Kalnik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1,351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Novo Virje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1,169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Severin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Šandrovac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1,742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Velika Trnovitica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Zrinski Topolovac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Bukovlje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3,018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Dragalić</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1,340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Gornja Vrba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Sikirevci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2,461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Galovac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Kukljica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686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Povljana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Privlaka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Tkon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Donja Motičina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1,637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Magadenovac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1,904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Vladislavci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Pirovac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1,850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Rogoznica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Privlaka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2,754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Vođinci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1,931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Dugopolje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3,439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Lećevica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577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Lokvičići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783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Okrug</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3,326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Prgomet</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665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Primorski Dolac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Runovići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2,373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28.50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Sutivan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800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Tučepi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1,925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Zadvarje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Karojba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1,427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510"/>
        </w:trPr>
        <w:tc>
          <w:tcPr>
            <w:tcW w:w="1101" w:type="pct"/>
            <w:tcBorders>
              <w:top w:val="nil"/>
              <w:left w:val="nil"/>
              <w:bottom w:val="nil"/>
              <w:right w:val="nil"/>
            </w:tcBorders>
            <w:shd w:val="clear" w:color="000000" w:fill="FFFFFF"/>
            <w:vAlign w:val="center"/>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Kaštelir-Labinci - Castelliere-S. Domenica</w:t>
            </w:r>
          </w:p>
        </w:tc>
        <w:tc>
          <w:tcPr>
            <w:tcW w:w="576"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1,463 </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17.30</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center"/>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Dubrovačko Primorje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2,081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Janjina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544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Lumbarda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Trpanj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705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Župa Dubrovačka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8,056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Dekanovec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735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Gornji Mihaljevec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1,911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Orehovica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2,478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Strahoninec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2,653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Sveta Marija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2,284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Šenkovec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2,795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Jagodnjak</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1,969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3.50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Markušica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2,524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Negoslavci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1,370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40.20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Šodolovci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1,598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Podravske Sesvete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1,616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Murter - Kornati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2,040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Gornja Rijeka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1,753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Fažana - Fasana</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3,491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Pribislavec</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3,096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13.10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Bilice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2,255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Kolan</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789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Kamanje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855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0.70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Lopar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1,233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Vrsi</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2,036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26.10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8.40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6.60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Tribunj</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1,534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19.00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7.00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2.00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Štitar</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2,049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41.80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10.70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12.60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4.30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5.30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2.10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0.10</w:t>
            </w:r>
          </w:p>
        </w:tc>
      </w:tr>
      <w:tr w:rsidR="009D10A9" w:rsidRPr="009D10A9" w:rsidTr="009D10A9">
        <w:trPr>
          <w:trHeight w:val="255"/>
        </w:trPr>
        <w:tc>
          <w:tcPr>
            <w:tcW w:w="110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Funtana - Fontane</w:t>
            </w:r>
          </w:p>
        </w:tc>
        <w:tc>
          <w:tcPr>
            <w:tcW w:w="576"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907 </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15.50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5.90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3.70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1.60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1.40</w:t>
            </w:r>
          </w:p>
        </w:tc>
        <w:tc>
          <w:tcPr>
            <w:tcW w:w="475"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0.60</w:t>
            </w:r>
          </w:p>
        </w:tc>
        <w:tc>
          <w:tcPr>
            <w:tcW w:w="471" w:type="pct"/>
            <w:tcBorders>
              <w:top w:val="nil"/>
              <w:left w:val="nil"/>
              <w:bottom w:val="nil"/>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r w:rsidR="009D10A9" w:rsidRPr="009D10A9" w:rsidTr="009D10A9">
        <w:trPr>
          <w:trHeight w:val="270"/>
        </w:trPr>
        <w:tc>
          <w:tcPr>
            <w:tcW w:w="1101"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rPr>
                <w:rFonts w:ascii="Garamond" w:eastAsia="Times New Roman" w:hAnsi="Garamond" w:cs="Arial"/>
                <w:sz w:val="20"/>
                <w:szCs w:val="20"/>
              </w:rPr>
            </w:pPr>
            <w:r w:rsidRPr="009D10A9">
              <w:rPr>
                <w:rFonts w:ascii="Garamond" w:eastAsia="Times New Roman" w:hAnsi="Garamond" w:cs="Arial"/>
                <w:sz w:val="20"/>
                <w:szCs w:val="20"/>
              </w:rPr>
              <w:t>Tar-Vabriga - Torre-Abrega</w:t>
            </w:r>
          </w:p>
        </w:tc>
        <w:tc>
          <w:tcPr>
            <w:tcW w:w="576"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 xml:space="preserve">           1,982 </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9.10</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3.60</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2.20</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0.90</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0.80</w:t>
            </w:r>
          </w:p>
        </w:tc>
        <w:tc>
          <w:tcPr>
            <w:tcW w:w="475"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0.40</w:t>
            </w:r>
          </w:p>
        </w:tc>
        <w:tc>
          <w:tcPr>
            <w:tcW w:w="471" w:type="pct"/>
            <w:tcBorders>
              <w:top w:val="nil"/>
              <w:left w:val="nil"/>
              <w:bottom w:val="single" w:sz="8" w:space="0" w:color="auto"/>
              <w:right w:val="nil"/>
            </w:tcBorders>
            <w:shd w:val="clear" w:color="000000" w:fill="FFFFFF"/>
            <w:noWrap/>
            <w:vAlign w:val="bottom"/>
            <w:hideMark/>
          </w:tcPr>
          <w:p w:rsidR="009D10A9" w:rsidRPr="009D10A9" w:rsidRDefault="009D10A9" w:rsidP="009D10A9">
            <w:pPr>
              <w:spacing w:after="0" w:line="240" w:lineRule="auto"/>
              <w:jc w:val="center"/>
              <w:rPr>
                <w:rFonts w:ascii="Garamond" w:eastAsia="Times New Roman" w:hAnsi="Garamond" w:cs="Arial"/>
                <w:sz w:val="20"/>
                <w:szCs w:val="20"/>
              </w:rPr>
            </w:pPr>
            <w:r w:rsidRPr="009D10A9">
              <w:rPr>
                <w:rFonts w:ascii="Garamond" w:eastAsia="Times New Roman" w:hAnsi="Garamond" w:cs="Arial"/>
                <w:sz w:val="20"/>
                <w:szCs w:val="20"/>
              </w:rPr>
              <w:t>0.00</w:t>
            </w:r>
          </w:p>
        </w:tc>
      </w:tr>
    </w:tbl>
    <w:p w:rsidR="008C3506" w:rsidRPr="00EC121C" w:rsidRDefault="008C3506" w:rsidP="00C36306">
      <w:pPr>
        <w:spacing w:line="360" w:lineRule="auto"/>
        <w:jc w:val="both"/>
        <w:rPr>
          <w:rStyle w:val="Strong"/>
          <w:rFonts w:ascii="Garamond" w:eastAsiaTheme="minorEastAsia" w:hAnsi="Garamond"/>
          <w:b w:val="0"/>
          <w:bCs w:val="0"/>
        </w:rPr>
      </w:pPr>
    </w:p>
    <w:p w:rsidR="008C3506" w:rsidRPr="00EC121C" w:rsidRDefault="008C3506" w:rsidP="00FB66A2">
      <w:pPr>
        <w:jc w:val="both"/>
        <w:rPr>
          <w:rStyle w:val="Strong"/>
          <w:rFonts w:ascii="Garamond" w:hAnsi="Garamond"/>
          <w:b w:val="0"/>
        </w:rPr>
      </w:pPr>
    </w:p>
    <w:sectPr w:rsidR="008C3506" w:rsidRPr="00EC121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D5" w:rsidRDefault="00CA60D5" w:rsidP="0051194B">
      <w:pPr>
        <w:spacing w:after="0" w:line="240" w:lineRule="auto"/>
      </w:pPr>
      <w:r>
        <w:separator/>
      </w:r>
    </w:p>
  </w:endnote>
  <w:endnote w:type="continuationSeparator" w:id="0">
    <w:p w:rsidR="00CA60D5" w:rsidRDefault="00CA60D5" w:rsidP="0051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MRoman10-Regular-Identity-H">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994"/>
      <w:docPartObj>
        <w:docPartGallery w:val="Page Numbers (Bottom of Page)"/>
        <w:docPartUnique/>
      </w:docPartObj>
    </w:sdtPr>
    <w:sdtEndPr>
      <w:rPr>
        <w:noProof/>
      </w:rPr>
    </w:sdtEndPr>
    <w:sdtContent>
      <w:p w:rsidR="00E76FC2" w:rsidRDefault="00E76FC2">
        <w:pPr>
          <w:pStyle w:val="Footer"/>
          <w:jc w:val="right"/>
        </w:pPr>
        <w:r>
          <w:fldChar w:fldCharType="begin"/>
        </w:r>
        <w:r>
          <w:instrText xml:space="preserve"> PAGE   \* MERGEFORMAT </w:instrText>
        </w:r>
        <w:r>
          <w:fldChar w:fldCharType="separate"/>
        </w:r>
        <w:r w:rsidR="00292761">
          <w:rPr>
            <w:noProof/>
          </w:rPr>
          <w:t>3</w:t>
        </w:r>
        <w:r>
          <w:rPr>
            <w:noProof/>
          </w:rPr>
          <w:fldChar w:fldCharType="end"/>
        </w:r>
      </w:p>
    </w:sdtContent>
  </w:sdt>
  <w:p w:rsidR="00E76FC2" w:rsidRDefault="00E7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D5" w:rsidRDefault="00CA60D5" w:rsidP="0051194B">
      <w:pPr>
        <w:spacing w:after="0" w:line="240" w:lineRule="auto"/>
      </w:pPr>
      <w:r>
        <w:separator/>
      </w:r>
    </w:p>
  </w:footnote>
  <w:footnote w:type="continuationSeparator" w:id="0">
    <w:p w:rsidR="00CA60D5" w:rsidRDefault="00CA60D5" w:rsidP="0051194B">
      <w:pPr>
        <w:spacing w:after="0" w:line="240" w:lineRule="auto"/>
      </w:pPr>
      <w:r>
        <w:continuationSeparator/>
      </w:r>
    </w:p>
  </w:footnote>
  <w:footnote w:id="1">
    <w:p w:rsidR="001F646E" w:rsidRPr="00075F3C" w:rsidRDefault="001F646E">
      <w:pPr>
        <w:pStyle w:val="FootnoteText"/>
        <w:rPr>
          <w:rFonts w:ascii="Garamond" w:hAnsi="Garamond"/>
          <w:sz w:val="18"/>
          <w:szCs w:val="18"/>
        </w:rPr>
      </w:pPr>
      <w:r w:rsidRPr="00075F3C">
        <w:rPr>
          <w:rStyle w:val="FootnoteReference"/>
          <w:sz w:val="18"/>
          <w:szCs w:val="18"/>
        </w:rPr>
        <w:footnoteRef/>
      </w:r>
      <w:r w:rsidRPr="00075F3C">
        <w:rPr>
          <w:sz w:val="18"/>
          <w:szCs w:val="18"/>
        </w:rPr>
        <w:t xml:space="preserve"> </w:t>
      </w:r>
      <w:r w:rsidRPr="00075F3C">
        <w:rPr>
          <w:rFonts w:ascii="Garamond" w:hAnsi="Garamond"/>
          <w:sz w:val="18"/>
          <w:szCs w:val="18"/>
        </w:rPr>
        <w:t xml:space="preserve">Nomenclature of territory units for statistics (NUTS) based on </w:t>
      </w:r>
      <w:hyperlink r:id="rId1" w:history="1">
        <w:r w:rsidRPr="00075F3C">
          <w:rPr>
            <w:rFonts w:ascii="Garamond" w:hAnsi="Garamond"/>
            <w:sz w:val="18"/>
            <w:szCs w:val="18"/>
          </w:rPr>
          <w:t>Regulation (EC) No 1059/2003</w:t>
        </w:r>
      </w:hyperlink>
      <w:r w:rsidRPr="00075F3C">
        <w:rPr>
          <w:rFonts w:ascii="Garamond" w:hAnsi="Garamond"/>
          <w:sz w:val="18"/>
          <w:szCs w:val="18"/>
        </w:rPr>
        <w:t xml:space="preserve"> of the European Parliament and of the Council of 26 May 2003 on the establishment of a common classification of territorial units for statistics</w:t>
      </w:r>
    </w:p>
  </w:footnote>
  <w:footnote w:id="2">
    <w:p w:rsidR="001F646E" w:rsidRPr="00075F3C" w:rsidRDefault="001F646E">
      <w:pPr>
        <w:pStyle w:val="FootnoteText"/>
        <w:rPr>
          <w:rFonts w:ascii="Garamond" w:hAnsi="Garamond"/>
          <w:sz w:val="18"/>
          <w:szCs w:val="18"/>
        </w:rPr>
      </w:pPr>
      <w:r w:rsidRPr="00075F3C">
        <w:rPr>
          <w:rStyle w:val="FootnoteReference"/>
          <w:rFonts w:ascii="Garamond" w:hAnsi="Garamond"/>
          <w:sz w:val="18"/>
          <w:szCs w:val="18"/>
        </w:rPr>
        <w:footnoteRef/>
      </w:r>
      <w:r w:rsidRPr="00075F3C">
        <w:rPr>
          <w:rFonts w:ascii="Garamond" w:hAnsi="Garamond"/>
          <w:sz w:val="18"/>
          <w:szCs w:val="18"/>
        </w:rPr>
        <w:t xml:space="preserve"> In the EU-SILC survey income information is gathered on the previously completed calendar year. </w:t>
      </w:r>
    </w:p>
  </w:footnote>
  <w:footnote w:id="3">
    <w:p w:rsidR="001F646E" w:rsidRPr="00056D5F" w:rsidRDefault="001F646E" w:rsidP="00BE5DAF">
      <w:pPr>
        <w:pStyle w:val="FootnoteText"/>
        <w:rPr>
          <w:color w:val="FF0000"/>
        </w:rPr>
      </w:pPr>
      <w:r w:rsidRPr="00075F3C">
        <w:rPr>
          <w:rStyle w:val="FootnoteReference"/>
          <w:rFonts w:ascii="Garamond" w:hAnsi="Garamond"/>
          <w:sz w:val="18"/>
          <w:szCs w:val="18"/>
        </w:rPr>
        <w:footnoteRef/>
      </w:r>
      <w:r w:rsidRPr="00075F3C">
        <w:rPr>
          <w:rFonts w:ascii="Garamond" w:hAnsi="Garamond"/>
          <w:sz w:val="18"/>
          <w:szCs w:val="18"/>
        </w:rPr>
        <w:t xml:space="preserve"> Presently there are two regions under NUTS-2 level, Adriatic and Continental Croatia. During the pre-accession period time of the 2012 EU-SILC there were three statistical regions corresponding to NUTS-2 level in Croatia: Northwest, Central and Eastern, and Adriatic Croatia. The 2012 EU-SILC is representative for the three statistical regions corresponding to NUTS 2 level.</w:t>
      </w:r>
      <w:r w:rsidR="00BC20FE">
        <w:rPr>
          <w:rFonts w:ascii="Garamond" w:hAnsi="Garamond"/>
          <w:sz w:val="18"/>
          <w:szCs w:val="18"/>
        </w:rPr>
        <w:t xml:space="preserve"> Continental Croatia is composed of the </w:t>
      </w:r>
      <w:r w:rsidR="00BC20FE" w:rsidRPr="00075F3C">
        <w:rPr>
          <w:rFonts w:ascii="Garamond" w:hAnsi="Garamond"/>
          <w:sz w:val="18"/>
          <w:szCs w:val="18"/>
        </w:rPr>
        <w:t>Northwest,</w:t>
      </w:r>
      <w:r w:rsidR="00BC20FE">
        <w:rPr>
          <w:rFonts w:ascii="Garamond" w:hAnsi="Garamond"/>
          <w:sz w:val="18"/>
          <w:szCs w:val="18"/>
        </w:rPr>
        <w:t xml:space="preserve"> and the</w:t>
      </w:r>
      <w:r w:rsidR="00BC20FE" w:rsidRPr="00075F3C">
        <w:rPr>
          <w:rFonts w:ascii="Garamond" w:hAnsi="Garamond"/>
          <w:sz w:val="18"/>
          <w:szCs w:val="18"/>
        </w:rPr>
        <w:t xml:space="preserve"> Central and Eastern</w:t>
      </w:r>
      <w:r w:rsidR="00BC20FE">
        <w:rPr>
          <w:rFonts w:ascii="Garamond" w:hAnsi="Garamond"/>
          <w:sz w:val="18"/>
          <w:szCs w:val="18"/>
        </w:rPr>
        <w:t xml:space="preserve"> statistical regions.</w:t>
      </w:r>
    </w:p>
  </w:footnote>
  <w:footnote w:id="4">
    <w:p w:rsidR="001F646E" w:rsidRPr="00965C00" w:rsidRDefault="001F646E">
      <w:pPr>
        <w:pStyle w:val="FootnoteText"/>
        <w:rPr>
          <w:rFonts w:ascii="Garamond" w:hAnsi="Garamond"/>
          <w:sz w:val="18"/>
          <w:szCs w:val="18"/>
        </w:rPr>
      </w:pPr>
      <w:r w:rsidRPr="00965C00">
        <w:rPr>
          <w:rStyle w:val="FootnoteReference"/>
          <w:rFonts w:ascii="Garamond" w:hAnsi="Garamond"/>
          <w:sz w:val="18"/>
          <w:szCs w:val="18"/>
        </w:rPr>
        <w:footnoteRef/>
      </w:r>
      <w:r w:rsidRPr="00965C00">
        <w:rPr>
          <w:rFonts w:ascii="Garamond" w:hAnsi="Garamond"/>
          <w:sz w:val="18"/>
          <w:szCs w:val="18"/>
        </w:rPr>
        <w:t xml:space="preserve"> The methodology is implemented via the World Bank developed software PovMap (</w:t>
      </w:r>
      <w:hyperlink r:id="rId2" w:history="1">
        <w:r w:rsidRPr="00965C00">
          <w:rPr>
            <w:rStyle w:val="Hyperlink"/>
            <w:rFonts w:ascii="Garamond" w:hAnsi="Garamond"/>
            <w:sz w:val="18"/>
            <w:szCs w:val="18"/>
          </w:rPr>
          <w:t>accessed on August 1, 2016</w:t>
        </w:r>
      </w:hyperlink>
      <w:r w:rsidRPr="00965C00">
        <w:rPr>
          <w:rFonts w:ascii="Garamond" w:hAnsi="Garamond"/>
          <w:sz w:val="18"/>
          <w:szCs w:val="18"/>
        </w:rPr>
        <w:t>)</w:t>
      </w:r>
    </w:p>
  </w:footnote>
  <w:footnote w:id="5">
    <w:p w:rsidR="001F646E" w:rsidRPr="00965C00" w:rsidRDefault="001F646E">
      <w:pPr>
        <w:pStyle w:val="FootnoteText"/>
        <w:rPr>
          <w:rFonts w:ascii="Garamond" w:hAnsi="Garamond"/>
          <w:sz w:val="18"/>
          <w:szCs w:val="18"/>
        </w:rPr>
      </w:pPr>
      <w:r w:rsidRPr="00965C00">
        <w:rPr>
          <w:rStyle w:val="FootnoteReference"/>
          <w:rFonts w:ascii="Garamond" w:hAnsi="Garamond"/>
          <w:sz w:val="18"/>
          <w:szCs w:val="18"/>
        </w:rPr>
        <w:footnoteRef/>
      </w:r>
      <w:r w:rsidRPr="00965C00">
        <w:rPr>
          <w:rFonts w:ascii="Garamond" w:hAnsi="Garamond"/>
          <w:sz w:val="18"/>
          <w:szCs w:val="18"/>
        </w:rPr>
        <w:t xml:space="preserve"> There are currently 21 </w:t>
      </w:r>
      <w:r>
        <w:rPr>
          <w:rFonts w:ascii="Garamond" w:hAnsi="Garamond"/>
          <w:sz w:val="18"/>
          <w:szCs w:val="18"/>
        </w:rPr>
        <w:t>NUTS-</w:t>
      </w:r>
      <w:r w:rsidRPr="00965C00">
        <w:rPr>
          <w:rFonts w:ascii="Garamond" w:hAnsi="Garamond"/>
          <w:sz w:val="18"/>
          <w:szCs w:val="18"/>
        </w:rPr>
        <w:t xml:space="preserve">3 </w:t>
      </w:r>
      <w:r>
        <w:rPr>
          <w:rFonts w:ascii="Garamond" w:hAnsi="Garamond"/>
          <w:sz w:val="18"/>
          <w:szCs w:val="18"/>
        </w:rPr>
        <w:t xml:space="preserve">spatial units </w:t>
      </w:r>
      <w:r w:rsidRPr="00965C00">
        <w:rPr>
          <w:rFonts w:ascii="Garamond" w:hAnsi="Garamond"/>
          <w:sz w:val="18"/>
          <w:szCs w:val="18"/>
        </w:rPr>
        <w:t>(Counties) in Croatia</w:t>
      </w:r>
    </w:p>
  </w:footnote>
  <w:footnote w:id="6">
    <w:p w:rsidR="001F646E" w:rsidRDefault="001F646E">
      <w:pPr>
        <w:pStyle w:val="FootnoteText"/>
      </w:pPr>
      <w:r w:rsidRPr="00965C00">
        <w:rPr>
          <w:rStyle w:val="FootnoteReference"/>
          <w:rFonts w:ascii="Garamond" w:hAnsi="Garamond"/>
          <w:sz w:val="18"/>
          <w:szCs w:val="18"/>
        </w:rPr>
        <w:footnoteRef/>
      </w:r>
      <w:r w:rsidRPr="00965C00">
        <w:rPr>
          <w:rFonts w:ascii="Garamond" w:hAnsi="Garamond"/>
          <w:sz w:val="18"/>
          <w:szCs w:val="18"/>
        </w:rPr>
        <w:t xml:space="preserve"> There are 556 Local Admin</w:t>
      </w:r>
      <w:r>
        <w:rPr>
          <w:rFonts w:ascii="Garamond" w:hAnsi="Garamond"/>
          <w:sz w:val="18"/>
          <w:szCs w:val="18"/>
        </w:rPr>
        <w:t>istrative Units at level 2 (LAU-</w:t>
      </w:r>
      <w:r w:rsidRPr="00965C00">
        <w:rPr>
          <w:rFonts w:ascii="Garamond" w:hAnsi="Garamond"/>
          <w:sz w:val="18"/>
          <w:szCs w:val="18"/>
        </w:rPr>
        <w:t>2). In Croatia LAU-2 level corresponds to municipalities</w:t>
      </w:r>
      <w:r>
        <w:rPr>
          <w:rFonts w:ascii="Garamond" w:hAnsi="Garamond"/>
          <w:sz w:val="18"/>
          <w:szCs w:val="18"/>
        </w:rPr>
        <w:t xml:space="preserve"> and cities</w:t>
      </w:r>
      <w:r w:rsidRPr="00965C00">
        <w:rPr>
          <w:rFonts w:ascii="Garamond" w:hAnsi="Garamond"/>
          <w:sz w:val="18"/>
          <w:szCs w:val="18"/>
        </w:rPr>
        <w:t>.</w:t>
      </w:r>
      <w:r>
        <w:rPr>
          <w:rFonts w:ascii="Garamond" w:hAnsi="Garamond"/>
          <w:sz w:val="18"/>
          <w:szCs w:val="18"/>
        </w:rPr>
        <w:t xml:space="preserve"> Additionally, for the purposes of the analysis, the city of Zagreb is sub-divided into 19 districts.</w:t>
      </w:r>
    </w:p>
  </w:footnote>
  <w:footnote w:id="7">
    <w:p w:rsidR="001F646E" w:rsidRPr="009F57ED" w:rsidRDefault="001F646E">
      <w:pPr>
        <w:pStyle w:val="FootnoteText"/>
        <w:rPr>
          <w:rFonts w:ascii="Garamond" w:hAnsi="Garamond"/>
          <w:sz w:val="18"/>
          <w:szCs w:val="18"/>
        </w:rPr>
      </w:pPr>
      <w:r w:rsidRPr="009F57ED">
        <w:rPr>
          <w:rStyle w:val="FootnoteReference"/>
          <w:rFonts w:ascii="Garamond" w:hAnsi="Garamond"/>
          <w:sz w:val="18"/>
          <w:szCs w:val="18"/>
        </w:rPr>
        <w:footnoteRef/>
      </w:r>
      <w:r w:rsidRPr="009F57ED">
        <w:rPr>
          <w:rFonts w:ascii="Garamond" w:hAnsi="Garamond"/>
          <w:sz w:val="18"/>
          <w:szCs w:val="18"/>
        </w:rPr>
        <w:t xml:space="preserve"> As mentioned above, the locality in the case of the Republic of Croatia refers to LAU-2, and districts of Zagreb</w:t>
      </w:r>
    </w:p>
  </w:footnote>
  <w:footnote w:id="8">
    <w:p w:rsidR="001F646E" w:rsidRPr="00A81189" w:rsidRDefault="001F646E">
      <w:pPr>
        <w:pStyle w:val="FootnoteText"/>
        <w:rPr>
          <w:rFonts w:ascii="Garamond" w:hAnsi="Garamond"/>
          <w:sz w:val="18"/>
          <w:szCs w:val="18"/>
        </w:rPr>
      </w:pPr>
      <w:r w:rsidRPr="00A81189">
        <w:rPr>
          <w:rStyle w:val="FootnoteReference"/>
          <w:rFonts w:ascii="Garamond" w:hAnsi="Garamond"/>
          <w:sz w:val="18"/>
          <w:szCs w:val="18"/>
        </w:rPr>
        <w:footnoteRef/>
      </w:r>
      <w:r w:rsidRPr="00A81189">
        <w:rPr>
          <w:rFonts w:ascii="Garamond" w:hAnsi="Garamond"/>
          <w:sz w:val="18"/>
          <w:szCs w:val="18"/>
        </w:rPr>
        <w:t xml:space="preserve"> An additional method is the one proposed by ELL (2003)</w:t>
      </w:r>
    </w:p>
  </w:footnote>
  <w:footnote w:id="9">
    <w:p w:rsidR="001F646E" w:rsidRPr="00A81189" w:rsidRDefault="001F646E">
      <w:pPr>
        <w:pStyle w:val="FootnoteText"/>
        <w:rPr>
          <w:rFonts w:ascii="Garamond" w:hAnsi="Garamond"/>
          <w:sz w:val="18"/>
          <w:szCs w:val="18"/>
        </w:rPr>
      </w:pPr>
      <w:r w:rsidRPr="00A81189">
        <w:rPr>
          <w:rStyle w:val="FootnoteReference"/>
          <w:rFonts w:ascii="Garamond" w:hAnsi="Garamond"/>
          <w:sz w:val="18"/>
          <w:szCs w:val="18"/>
        </w:rPr>
        <w:footnoteRef/>
      </w:r>
      <w:r w:rsidRPr="00A81189">
        <w:rPr>
          <w:rFonts w:ascii="Garamond" w:hAnsi="Garamond"/>
          <w:sz w:val="18"/>
          <w:szCs w:val="18"/>
        </w:rPr>
        <w:t xml:space="preserve"> For a more detailed description, interested readers should refer to Elbers, Lanjouw and Lanjouw (2003) as well as Van der Weide (2014)</w:t>
      </w:r>
    </w:p>
  </w:footnote>
  <w:footnote w:id="10">
    <w:p w:rsidR="001F646E" w:rsidRPr="00A81189" w:rsidRDefault="001F646E">
      <w:pPr>
        <w:pStyle w:val="FootnoteText"/>
        <w:rPr>
          <w:rFonts w:ascii="Garamond" w:hAnsi="Garamond"/>
          <w:sz w:val="18"/>
          <w:szCs w:val="18"/>
        </w:rPr>
      </w:pPr>
      <w:r w:rsidRPr="00A81189">
        <w:rPr>
          <w:rStyle w:val="FootnoteReference"/>
          <w:rFonts w:ascii="Garamond" w:hAnsi="Garamond"/>
          <w:sz w:val="18"/>
          <w:szCs w:val="18"/>
        </w:rPr>
        <w:footnoteRef/>
      </w:r>
      <w:r w:rsidRPr="00A81189">
        <w:rPr>
          <w:rFonts w:ascii="Garamond" w:hAnsi="Garamond"/>
          <w:sz w:val="18"/>
          <w:szCs w:val="18"/>
        </w:rPr>
        <w:t xml:space="preserve"> For details on the structure of the variance covariance matrix refer to Van der Weide (2014).</w:t>
      </w:r>
    </w:p>
  </w:footnote>
  <w:footnote w:id="11">
    <w:p w:rsidR="001F646E" w:rsidRDefault="001F646E">
      <w:pPr>
        <w:pStyle w:val="FootnoteText"/>
      </w:pPr>
      <w:r w:rsidRPr="00A81189">
        <w:rPr>
          <w:rStyle w:val="FootnoteReference"/>
          <w:rFonts w:ascii="Garamond" w:hAnsi="Garamond"/>
          <w:sz w:val="18"/>
          <w:szCs w:val="18"/>
        </w:rPr>
        <w:footnoteRef/>
      </w:r>
      <w:r w:rsidRPr="00A81189">
        <w:rPr>
          <w:rFonts w:ascii="Garamond" w:hAnsi="Garamond"/>
          <w:sz w:val="18"/>
          <w:szCs w:val="18"/>
        </w:rPr>
        <w:t xml:space="preserve"> An alternative option is to draw the </w:t>
      </w:r>
      <m:oMath>
        <m:r>
          <w:rPr>
            <w:rFonts w:ascii="Cambria Math" w:hAnsi="Cambria Math"/>
            <w:sz w:val="18"/>
            <w:szCs w:val="18"/>
          </w:rPr>
          <m:t>β</m:t>
        </m:r>
      </m:oMath>
      <w:r w:rsidRPr="00A81189">
        <w:rPr>
          <w:rFonts w:ascii="Garamond" w:eastAsiaTheme="minorEastAsia" w:hAnsi="Garamond"/>
          <w:sz w:val="18"/>
          <w:szCs w:val="18"/>
        </w:rPr>
        <w:t xml:space="preserve"> from a multivariate normal distribution </w:t>
      </w:r>
      <m:oMath>
        <m:r>
          <w:rPr>
            <w:rFonts w:ascii="Cambria Math" w:eastAsiaTheme="minorEastAsia" w:hAnsi="Cambria Math"/>
            <w:sz w:val="18"/>
            <w:szCs w:val="18"/>
          </w:rPr>
          <m:t>β~N(</m:t>
        </m:r>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gls</m:t>
            </m:r>
          </m:sub>
        </m:sSub>
        <m:r>
          <w:rPr>
            <w:rFonts w:ascii="Cambria Math" w:eastAsiaTheme="minorEastAsia" w:hAnsi="Cambria Math"/>
            <w:sz w:val="18"/>
            <w:szCs w:val="18"/>
          </w:rPr>
          <m:t>,vcov(</m:t>
        </m:r>
        <m:sSub>
          <m:sSubPr>
            <m:ctrlPr>
              <w:rPr>
                <w:rFonts w:ascii="Cambria Math" w:eastAsiaTheme="minorEastAsia" w:hAnsi="Cambria Math"/>
                <w:i/>
                <w:sz w:val="18"/>
                <w:szCs w:val="18"/>
              </w:rPr>
            </m:ctrlPr>
          </m:sSubPr>
          <m:e>
            <m:r>
              <w:rPr>
                <w:rFonts w:ascii="Cambria Math" w:eastAsiaTheme="minorEastAsia" w:hAnsi="Cambria Math"/>
                <w:sz w:val="18"/>
                <w:szCs w:val="18"/>
              </w:rPr>
              <m:t>β</m:t>
            </m:r>
          </m:e>
          <m:sub>
            <m:r>
              <w:rPr>
                <w:rFonts w:ascii="Cambria Math" w:eastAsiaTheme="minorEastAsia" w:hAnsi="Cambria Math"/>
                <w:sz w:val="18"/>
                <w:szCs w:val="18"/>
              </w:rPr>
              <m:t>gls</m:t>
            </m:r>
          </m:sub>
        </m:sSub>
        <m:r>
          <w:rPr>
            <w:rFonts w:ascii="Cambria Math" w:eastAsiaTheme="minorEastAsia" w:hAnsi="Cambria Math"/>
            <w:sz w:val="18"/>
            <w:szCs w:val="18"/>
          </w:rPr>
          <m:t>))</m:t>
        </m:r>
      </m:oMath>
    </w:p>
  </w:footnote>
  <w:footnote w:id="12">
    <w:p w:rsidR="001F646E" w:rsidRPr="00965C00" w:rsidRDefault="001F646E">
      <w:pPr>
        <w:pStyle w:val="FootnoteText"/>
        <w:rPr>
          <w:rFonts w:ascii="Garamond" w:hAnsi="Garamond"/>
          <w:sz w:val="18"/>
          <w:szCs w:val="18"/>
        </w:rPr>
      </w:pPr>
      <w:r w:rsidRPr="00965C00">
        <w:rPr>
          <w:rStyle w:val="FootnoteReference"/>
          <w:rFonts w:ascii="Garamond" w:hAnsi="Garamond"/>
          <w:sz w:val="18"/>
          <w:szCs w:val="18"/>
        </w:rPr>
        <w:footnoteRef/>
      </w:r>
      <w:r w:rsidRPr="00965C00">
        <w:rPr>
          <w:rFonts w:ascii="Garamond" w:hAnsi="Garamond"/>
          <w:sz w:val="18"/>
          <w:szCs w:val="18"/>
        </w:rPr>
        <w:t xml:space="preserve"> 60 percent of the median household equivalized income</w:t>
      </w:r>
    </w:p>
  </w:footnote>
  <w:footnote w:id="13">
    <w:p w:rsidR="001F646E" w:rsidRPr="00965C00" w:rsidRDefault="001F646E">
      <w:pPr>
        <w:pStyle w:val="FootnoteText"/>
        <w:rPr>
          <w:rFonts w:ascii="Garamond" w:hAnsi="Garamond"/>
          <w:sz w:val="18"/>
          <w:szCs w:val="18"/>
        </w:rPr>
      </w:pPr>
      <w:r w:rsidRPr="00965C00">
        <w:rPr>
          <w:rStyle w:val="FootnoteReference"/>
          <w:rFonts w:ascii="Garamond" w:hAnsi="Garamond"/>
          <w:sz w:val="18"/>
          <w:szCs w:val="18"/>
        </w:rPr>
        <w:footnoteRef/>
      </w:r>
      <w:r w:rsidRPr="00965C00">
        <w:rPr>
          <w:rFonts w:ascii="Garamond" w:hAnsi="Garamond"/>
          <w:sz w:val="18"/>
          <w:szCs w:val="18"/>
        </w:rPr>
        <w:t xml:space="preserve"> This is necessary in order to estimate the variance of the location effect, </w:t>
      </w:r>
      <m:oMath>
        <m:sSubSup>
          <m:sSubSupPr>
            <m:ctrlPr>
              <w:rPr>
                <w:rFonts w:ascii="Cambria Math" w:hAnsi="Cambria Math"/>
                <w:i/>
                <w:sz w:val="18"/>
                <w:szCs w:val="18"/>
              </w:rPr>
            </m:ctrlPr>
          </m:sSubSupPr>
          <m:e>
            <m:r>
              <w:rPr>
                <w:rFonts w:ascii="Cambria Math" w:hAnsi="Cambria Math"/>
                <w:sz w:val="18"/>
                <w:szCs w:val="18"/>
              </w:rPr>
              <m:t>σ</m:t>
            </m:r>
          </m:e>
          <m:sub>
            <m:r>
              <w:rPr>
                <w:rFonts w:ascii="Cambria Math" w:hAnsi="Cambria Math"/>
                <w:sz w:val="18"/>
                <w:szCs w:val="18"/>
              </w:rPr>
              <m:t>ch</m:t>
            </m:r>
          </m:sub>
          <m:sup>
            <m:r>
              <w:rPr>
                <w:rFonts w:ascii="Cambria Math" w:hAnsi="Cambria Math"/>
                <w:sz w:val="18"/>
                <w:szCs w:val="18"/>
              </w:rPr>
              <m:t>2</m:t>
            </m:r>
          </m:sup>
        </m:sSubSup>
      </m:oMath>
      <w:r w:rsidRPr="00965C00">
        <w:rPr>
          <w:rFonts w:ascii="Garamond" w:hAnsi="Garamond"/>
          <w:sz w:val="18"/>
          <w:szCs w:val="18"/>
        </w:rPr>
        <w:t>, for every municipality.</w:t>
      </w:r>
    </w:p>
  </w:footnote>
  <w:footnote w:id="14">
    <w:p w:rsidR="001F646E" w:rsidRDefault="001F646E">
      <w:pPr>
        <w:pStyle w:val="FootnoteText"/>
      </w:pPr>
      <w:r w:rsidRPr="00965C00">
        <w:rPr>
          <w:rStyle w:val="FootnoteReference"/>
          <w:rFonts w:ascii="Garamond" w:hAnsi="Garamond"/>
          <w:sz w:val="18"/>
          <w:szCs w:val="18"/>
        </w:rPr>
        <w:footnoteRef/>
      </w:r>
      <w:r w:rsidRPr="00965C00">
        <w:rPr>
          <w:rFonts w:ascii="Garamond" w:hAnsi="Garamond"/>
          <w:sz w:val="18"/>
          <w:szCs w:val="18"/>
        </w:rPr>
        <w:t xml:space="preserve"> Access to the Census, as well as the EU-SILC </w:t>
      </w:r>
      <w:r w:rsidR="0003231A">
        <w:rPr>
          <w:rFonts w:ascii="Garamond" w:hAnsi="Garamond"/>
          <w:sz w:val="18"/>
          <w:szCs w:val="18"/>
        </w:rPr>
        <w:t xml:space="preserve">(with excluded direct identifiers of persons and households) </w:t>
      </w:r>
      <w:r w:rsidRPr="00965C00">
        <w:rPr>
          <w:rFonts w:ascii="Garamond" w:hAnsi="Garamond"/>
          <w:sz w:val="18"/>
          <w:szCs w:val="18"/>
        </w:rPr>
        <w:t>was provided in the Croatian Bureau of Statistics’ safe room</w:t>
      </w:r>
      <w:r w:rsidR="0003231A">
        <w:rPr>
          <w:rFonts w:ascii="Garamond" w:hAnsi="Garamond"/>
          <w:sz w:val="18"/>
          <w:szCs w:val="18"/>
        </w:rPr>
        <w:t xml:space="preserve"> according to the Agreement and inclusion of this exercise in the Annual Implementation Plan 2016.</w:t>
      </w:r>
    </w:p>
  </w:footnote>
  <w:footnote w:id="15">
    <w:p w:rsidR="001F646E" w:rsidRPr="00965C00" w:rsidRDefault="001F646E">
      <w:pPr>
        <w:pStyle w:val="FootnoteText"/>
        <w:rPr>
          <w:rFonts w:ascii="Garamond" w:hAnsi="Garamond"/>
          <w:sz w:val="18"/>
          <w:szCs w:val="18"/>
        </w:rPr>
      </w:pPr>
      <w:r w:rsidRPr="00965C00">
        <w:rPr>
          <w:rStyle w:val="FootnoteReference"/>
          <w:rFonts w:ascii="Garamond" w:hAnsi="Garamond"/>
          <w:sz w:val="18"/>
          <w:szCs w:val="18"/>
        </w:rPr>
        <w:footnoteRef/>
      </w:r>
      <w:r w:rsidRPr="00965C00">
        <w:rPr>
          <w:rFonts w:ascii="Garamond" w:hAnsi="Garamond"/>
          <w:sz w:val="18"/>
          <w:szCs w:val="18"/>
        </w:rPr>
        <w:t xml:space="preserve"> This is recommended by ELL (2002). Variable means at the municipal level are included and come from the Census. These are the share of households in the municipality that were built between 1990 and 2000, share of household that have sewerage access, share of individuals that receive pension income, and the share of employed individuals in the municipality.</w:t>
      </w:r>
    </w:p>
  </w:footnote>
  <w:footnote w:id="16">
    <w:p w:rsidR="001F646E" w:rsidRPr="00A81189" w:rsidRDefault="001F646E" w:rsidP="005845CF">
      <w:pPr>
        <w:spacing w:line="360" w:lineRule="auto"/>
        <w:jc w:val="both"/>
        <w:rPr>
          <w:rStyle w:val="Strong"/>
          <w:rFonts w:ascii="Garamond" w:eastAsiaTheme="minorEastAsia" w:hAnsi="Garamond"/>
          <w:b w:val="0"/>
          <w:bCs w:val="0"/>
          <w:sz w:val="18"/>
          <w:szCs w:val="18"/>
        </w:rPr>
      </w:pPr>
      <w:r w:rsidRPr="00A81189">
        <w:rPr>
          <w:rStyle w:val="FootnoteReference"/>
          <w:rFonts w:ascii="Garamond" w:hAnsi="Garamond"/>
          <w:sz w:val="18"/>
          <w:szCs w:val="18"/>
        </w:rPr>
        <w:footnoteRef/>
      </w:r>
      <w:r w:rsidRPr="00A81189">
        <w:rPr>
          <w:rFonts w:ascii="Garamond" w:hAnsi="Garamond"/>
          <w:sz w:val="18"/>
          <w:szCs w:val="18"/>
        </w:rPr>
        <w:t xml:space="preserve"> </w:t>
      </w:r>
      <w:r w:rsidRPr="00A81189">
        <w:rPr>
          <w:rStyle w:val="Strong"/>
          <w:rFonts w:ascii="Garamond" w:eastAsiaTheme="minorEastAsia" w:hAnsi="Garamond"/>
          <w:b w:val="0"/>
          <w:bCs w:val="0"/>
          <w:sz w:val="18"/>
          <w:szCs w:val="18"/>
        </w:rPr>
        <w:t xml:space="preserve">The alpha model (equation 3) corresponding to the GLS </w:t>
      </w:r>
      <w:r>
        <w:rPr>
          <w:rStyle w:val="Strong"/>
          <w:rFonts w:ascii="Garamond" w:eastAsiaTheme="minorEastAsia" w:hAnsi="Garamond"/>
          <w:b w:val="0"/>
          <w:bCs w:val="0"/>
          <w:sz w:val="18"/>
          <w:szCs w:val="18"/>
        </w:rPr>
        <w:t>is</w:t>
      </w:r>
      <w:r w:rsidRPr="00A81189">
        <w:rPr>
          <w:rStyle w:val="Strong"/>
          <w:rFonts w:ascii="Garamond" w:eastAsiaTheme="minorEastAsia" w:hAnsi="Garamond"/>
          <w:b w:val="0"/>
          <w:bCs w:val="0"/>
          <w:sz w:val="18"/>
          <w:szCs w:val="18"/>
        </w:rPr>
        <w:t xml:space="preserve"> presented in Table 2A. </w:t>
      </w:r>
    </w:p>
    <w:p w:rsidR="001F646E" w:rsidRDefault="001F64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1C42"/>
    <w:multiLevelType w:val="hybridMultilevel"/>
    <w:tmpl w:val="5C12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F3743"/>
    <w:multiLevelType w:val="hybridMultilevel"/>
    <w:tmpl w:val="68D4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74C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B4068E8"/>
    <w:multiLevelType w:val="hybridMultilevel"/>
    <w:tmpl w:val="CB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14"/>
    <w:rsid w:val="00003A5F"/>
    <w:rsid w:val="0003231A"/>
    <w:rsid w:val="00032E9B"/>
    <w:rsid w:val="0005200A"/>
    <w:rsid w:val="00052A83"/>
    <w:rsid w:val="00056D5F"/>
    <w:rsid w:val="00057B16"/>
    <w:rsid w:val="00074F5C"/>
    <w:rsid w:val="00075F3C"/>
    <w:rsid w:val="00082AD0"/>
    <w:rsid w:val="00087C6E"/>
    <w:rsid w:val="00092516"/>
    <w:rsid w:val="00095565"/>
    <w:rsid w:val="00095E46"/>
    <w:rsid w:val="00097041"/>
    <w:rsid w:val="000A4C7A"/>
    <w:rsid w:val="000B514E"/>
    <w:rsid w:val="000F30C2"/>
    <w:rsid w:val="000F469C"/>
    <w:rsid w:val="0010669F"/>
    <w:rsid w:val="001162C1"/>
    <w:rsid w:val="001265F8"/>
    <w:rsid w:val="00135A18"/>
    <w:rsid w:val="00154EB9"/>
    <w:rsid w:val="00176CCE"/>
    <w:rsid w:val="001911BF"/>
    <w:rsid w:val="001B437F"/>
    <w:rsid w:val="001C09CF"/>
    <w:rsid w:val="001D571E"/>
    <w:rsid w:val="001F646E"/>
    <w:rsid w:val="002109D4"/>
    <w:rsid w:val="00212FDF"/>
    <w:rsid w:val="00242E80"/>
    <w:rsid w:val="002658BE"/>
    <w:rsid w:val="00276BF6"/>
    <w:rsid w:val="00286891"/>
    <w:rsid w:val="00292761"/>
    <w:rsid w:val="002A66C6"/>
    <w:rsid w:val="002A7B34"/>
    <w:rsid w:val="002B2DA9"/>
    <w:rsid w:val="002D6283"/>
    <w:rsid w:val="002E2C1C"/>
    <w:rsid w:val="002F0051"/>
    <w:rsid w:val="002F0D87"/>
    <w:rsid w:val="002F26B4"/>
    <w:rsid w:val="0031611D"/>
    <w:rsid w:val="00327D44"/>
    <w:rsid w:val="00330676"/>
    <w:rsid w:val="00334101"/>
    <w:rsid w:val="003461AD"/>
    <w:rsid w:val="003559E8"/>
    <w:rsid w:val="00360C45"/>
    <w:rsid w:val="00365A6C"/>
    <w:rsid w:val="00372DBB"/>
    <w:rsid w:val="00381FC7"/>
    <w:rsid w:val="00394ABD"/>
    <w:rsid w:val="00396FA7"/>
    <w:rsid w:val="003C1678"/>
    <w:rsid w:val="003C32FD"/>
    <w:rsid w:val="003C5827"/>
    <w:rsid w:val="003D1256"/>
    <w:rsid w:val="003D308B"/>
    <w:rsid w:val="003E2A70"/>
    <w:rsid w:val="003F2C97"/>
    <w:rsid w:val="00413419"/>
    <w:rsid w:val="00425BF5"/>
    <w:rsid w:val="004268CF"/>
    <w:rsid w:val="00436155"/>
    <w:rsid w:val="0045612B"/>
    <w:rsid w:val="004561C9"/>
    <w:rsid w:val="00462F7D"/>
    <w:rsid w:val="00465AB0"/>
    <w:rsid w:val="00490195"/>
    <w:rsid w:val="00491674"/>
    <w:rsid w:val="004B2B2A"/>
    <w:rsid w:val="004B36D7"/>
    <w:rsid w:val="004C2979"/>
    <w:rsid w:val="004D030F"/>
    <w:rsid w:val="004D51E7"/>
    <w:rsid w:val="004E18A8"/>
    <w:rsid w:val="004E6D14"/>
    <w:rsid w:val="0051194B"/>
    <w:rsid w:val="00525263"/>
    <w:rsid w:val="00536827"/>
    <w:rsid w:val="0053732B"/>
    <w:rsid w:val="00550141"/>
    <w:rsid w:val="005845CF"/>
    <w:rsid w:val="005B028C"/>
    <w:rsid w:val="005B7888"/>
    <w:rsid w:val="005D1911"/>
    <w:rsid w:val="005D3BFC"/>
    <w:rsid w:val="005F0702"/>
    <w:rsid w:val="005F364F"/>
    <w:rsid w:val="00602860"/>
    <w:rsid w:val="006045FD"/>
    <w:rsid w:val="00610F9B"/>
    <w:rsid w:val="0061551C"/>
    <w:rsid w:val="006177E6"/>
    <w:rsid w:val="00620AC7"/>
    <w:rsid w:val="00636C01"/>
    <w:rsid w:val="0064546F"/>
    <w:rsid w:val="006915B7"/>
    <w:rsid w:val="006C23DE"/>
    <w:rsid w:val="006E271B"/>
    <w:rsid w:val="00711BDB"/>
    <w:rsid w:val="00713FC1"/>
    <w:rsid w:val="007141A9"/>
    <w:rsid w:val="00714E15"/>
    <w:rsid w:val="00722726"/>
    <w:rsid w:val="00723588"/>
    <w:rsid w:val="00737F08"/>
    <w:rsid w:val="00742129"/>
    <w:rsid w:val="00747CE8"/>
    <w:rsid w:val="00753AA1"/>
    <w:rsid w:val="00761122"/>
    <w:rsid w:val="007934B4"/>
    <w:rsid w:val="007A0A84"/>
    <w:rsid w:val="007C3C93"/>
    <w:rsid w:val="007C719D"/>
    <w:rsid w:val="007D4160"/>
    <w:rsid w:val="007D545B"/>
    <w:rsid w:val="007E28F3"/>
    <w:rsid w:val="007E2C08"/>
    <w:rsid w:val="007F34A6"/>
    <w:rsid w:val="007F6AAC"/>
    <w:rsid w:val="008031D9"/>
    <w:rsid w:val="00813126"/>
    <w:rsid w:val="008225FC"/>
    <w:rsid w:val="00851477"/>
    <w:rsid w:val="008962A9"/>
    <w:rsid w:val="008A29D2"/>
    <w:rsid w:val="008C3506"/>
    <w:rsid w:val="00901690"/>
    <w:rsid w:val="00915A59"/>
    <w:rsid w:val="00916437"/>
    <w:rsid w:val="009463FE"/>
    <w:rsid w:val="00951059"/>
    <w:rsid w:val="00956236"/>
    <w:rsid w:val="009605B7"/>
    <w:rsid w:val="00965C00"/>
    <w:rsid w:val="009A1130"/>
    <w:rsid w:val="009B0F7F"/>
    <w:rsid w:val="009B45EB"/>
    <w:rsid w:val="009C7987"/>
    <w:rsid w:val="009D022D"/>
    <w:rsid w:val="009D10A9"/>
    <w:rsid w:val="009D4445"/>
    <w:rsid w:val="009D4BD9"/>
    <w:rsid w:val="009E296E"/>
    <w:rsid w:val="009E57F3"/>
    <w:rsid w:val="009F1C94"/>
    <w:rsid w:val="009F57ED"/>
    <w:rsid w:val="00A02A05"/>
    <w:rsid w:val="00A16BA5"/>
    <w:rsid w:val="00A33719"/>
    <w:rsid w:val="00A5437C"/>
    <w:rsid w:val="00A62777"/>
    <w:rsid w:val="00A7203C"/>
    <w:rsid w:val="00A7314E"/>
    <w:rsid w:val="00A81189"/>
    <w:rsid w:val="00A862DF"/>
    <w:rsid w:val="00A977FD"/>
    <w:rsid w:val="00AA1D4A"/>
    <w:rsid w:val="00AA7D75"/>
    <w:rsid w:val="00AB01F0"/>
    <w:rsid w:val="00AB2CFA"/>
    <w:rsid w:val="00AD1DE9"/>
    <w:rsid w:val="00AD539C"/>
    <w:rsid w:val="00AE7C14"/>
    <w:rsid w:val="00B04082"/>
    <w:rsid w:val="00B0593F"/>
    <w:rsid w:val="00B241BD"/>
    <w:rsid w:val="00B25D26"/>
    <w:rsid w:val="00B2680E"/>
    <w:rsid w:val="00B40C41"/>
    <w:rsid w:val="00B44D29"/>
    <w:rsid w:val="00B53CA5"/>
    <w:rsid w:val="00B601FC"/>
    <w:rsid w:val="00B63616"/>
    <w:rsid w:val="00B873B8"/>
    <w:rsid w:val="00BB0752"/>
    <w:rsid w:val="00BC20FE"/>
    <w:rsid w:val="00BC5BF3"/>
    <w:rsid w:val="00BE02BE"/>
    <w:rsid w:val="00BE09BD"/>
    <w:rsid w:val="00BE5DAF"/>
    <w:rsid w:val="00BF7D52"/>
    <w:rsid w:val="00C0155C"/>
    <w:rsid w:val="00C03014"/>
    <w:rsid w:val="00C1204D"/>
    <w:rsid w:val="00C125FD"/>
    <w:rsid w:val="00C16266"/>
    <w:rsid w:val="00C21080"/>
    <w:rsid w:val="00C36306"/>
    <w:rsid w:val="00C5357F"/>
    <w:rsid w:val="00C7565B"/>
    <w:rsid w:val="00C83399"/>
    <w:rsid w:val="00C972A9"/>
    <w:rsid w:val="00CA4933"/>
    <w:rsid w:val="00CA60D5"/>
    <w:rsid w:val="00CB0336"/>
    <w:rsid w:val="00CB077F"/>
    <w:rsid w:val="00CB5CA4"/>
    <w:rsid w:val="00CC0F6B"/>
    <w:rsid w:val="00CC237C"/>
    <w:rsid w:val="00CE3AAD"/>
    <w:rsid w:val="00CE787A"/>
    <w:rsid w:val="00D04E30"/>
    <w:rsid w:val="00D142C9"/>
    <w:rsid w:val="00D323F2"/>
    <w:rsid w:val="00D42A1D"/>
    <w:rsid w:val="00D4477F"/>
    <w:rsid w:val="00D44EAB"/>
    <w:rsid w:val="00D90846"/>
    <w:rsid w:val="00D95F51"/>
    <w:rsid w:val="00DA05B4"/>
    <w:rsid w:val="00DA2C36"/>
    <w:rsid w:val="00DB1A87"/>
    <w:rsid w:val="00DB682B"/>
    <w:rsid w:val="00DB7D04"/>
    <w:rsid w:val="00DB7F41"/>
    <w:rsid w:val="00DD2FBD"/>
    <w:rsid w:val="00DD44CF"/>
    <w:rsid w:val="00DD5F99"/>
    <w:rsid w:val="00DE491D"/>
    <w:rsid w:val="00DE6852"/>
    <w:rsid w:val="00DF4B36"/>
    <w:rsid w:val="00E031F7"/>
    <w:rsid w:val="00E03267"/>
    <w:rsid w:val="00E15395"/>
    <w:rsid w:val="00E20898"/>
    <w:rsid w:val="00E24B19"/>
    <w:rsid w:val="00E26245"/>
    <w:rsid w:val="00E478F9"/>
    <w:rsid w:val="00E53301"/>
    <w:rsid w:val="00E56177"/>
    <w:rsid w:val="00E749DE"/>
    <w:rsid w:val="00E76FC2"/>
    <w:rsid w:val="00E81AEC"/>
    <w:rsid w:val="00E902F2"/>
    <w:rsid w:val="00E976E5"/>
    <w:rsid w:val="00EB027C"/>
    <w:rsid w:val="00EB3B2C"/>
    <w:rsid w:val="00EC121C"/>
    <w:rsid w:val="00EC3EB9"/>
    <w:rsid w:val="00EC56AD"/>
    <w:rsid w:val="00EC7075"/>
    <w:rsid w:val="00ED67C1"/>
    <w:rsid w:val="00EF19D2"/>
    <w:rsid w:val="00F024A3"/>
    <w:rsid w:val="00F24AB5"/>
    <w:rsid w:val="00F24CCE"/>
    <w:rsid w:val="00F25126"/>
    <w:rsid w:val="00F255A6"/>
    <w:rsid w:val="00F369E5"/>
    <w:rsid w:val="00F82EEC"/>
    <w:rsid w:val="00FB66A2"/>
    <w:rsid w:val="00FC2F2A"/>
    <w:rsid w:val="00FD0E4F"/>
    <w:rsid w:val="00FD1933"/>
    <w:rsid w:val="00FE45C9"/>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EF5B-9218-4A60-AFF5-74349B4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F6B"/>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0F6B"/>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C0F6B"/>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C0F6B"/>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C0F6B"/>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C0F6B"/>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C0F6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F6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F6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01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03014"/>
    <w:rPr>
      <w:b/>
      <w:bCs/>
    </w:rPr>
  </w:style>
  <w:style w:type="paragraph" w:styleId="FootnoteText">
    <w:name w:val="footnote text"/>
    <w:basedOn w:val="Normal"/>
    <w:link w:val="FootnoteTextChar"/>
    <w:uiPriority w:val="99"/>
    <w:semiHidden/>
    <w:unhideWhenUsed/>
    <w:rsid w:val="00511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94B"/>
    <w:rPr>
      <w:sz w:val="20"/>
      <w:szCs w:val="20"/>
    </w:rPr>
  </w:style>
  <w:style w:type="character" w:styleId="FootnoteReference">
    <w:name w:val="footnote reference"/>
    <w:basedOn w:val="DefaultParagraphFont"/>
    <w:uiPriority w:val="99"/>
    <w:semiHidden/>
    <w:unhideWhenUsed/>
    <w:rsid w:val="0051194B"/>
    <w:rPr>
      <w:vertAlign w:val="superscript"/>
    </w:rPr>
  </w:style>
  <w:style w:type="character" w:styleId="Hyperlink">
    <w:name w:val="Hyperlink"/>
    <w:basedOn w:val="DefaultParagraphFont"/>
    <w:uiPriority w:val="99"/>
    <w:unhideWhenUsed/>
    <w:rsid w:val="003D1256"/>
    <w:rPr>
      <w:color w:val="0563C1" w:themeColor="hyperlink"/>
      <w:u w:val="single"/>
    </w:rPr>
  </w:style>
  <w:style w:type="character" w:styleId="PlaceholderText">
    <w:name w:val="Placeholder Text"/>
    <w:basedOn w:val="DefaultParagraphFont"/>
    <w:uiPriority w:val="99"/>
    <w:semiHidden/>
    <w:rsid w:val="00003A5F"/>
    <w:rPr>
      <w:color w:val="808080"/>
    </w:rPr>
  </w:style>
  <w:style w:type="paragraph" w:styleId="ListParagraph">
    <w:name w:val="List Paragraph"/>
    <w:basedOn w:val="Normal"/>
    <w:uiPriority w:val="34"/>
    <w:qFormat/>
    <w:rsid w:val="00711BDB"/>
    <w:pPr>
      <w:ind w:left="720"/>
      <w:contextualSpacing/>
    </w:pPr>
  </w:style>
  <w:style w:type="paragraph" w:styleId="Caption">
    <w:name w:val="caption"/>
    <w:basedOn w:val="Normal"/>
    <w:next w:val="Normal"/>
    <w:uiPriority w:val="35"/>
    <w:unhideWhenUsed/>
    <w:qFormat/>
    <w:rsid w:val="002F005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4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AB"/>
    <w:rPr>
      <w:rFonts w:ascii="Tahoma" w:hAnsi="Tahoma" w:cs="Tahoma"/>
      <w:sz w:val="16"/>
      <w:szCs w:val="16"/>
    </w:rPr>
  </w:style>
  <w:style w:type="paragraph" w:styleId="Header">
    <w:name w:val="header"/>
    <w:basedOn w:val="Normal"/>
    <w:link w:val="HeaderChar"/>
    <w:uiPriority w:val="99"/>
    <w:unhideWhenUsed/>
    <w:rsid w:val="00F2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126"/>
  </w:style>
  <w:style w:type="paragraph" w:styleId="Footer">
    <w:name w:val="footer"/>
    <w:basedOn w:val="Normal"/>
    <w:link w:val="FooterChar"/>
    <w:uiPriority w:val="99"/>
    <w:unhideWhenUsed/>
    <w:rsid w:val="00F2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26"/>
  </w:style>
  <w:style w:type="character" w:customStyle="1" w:styleId="Heading1Char">
    <w:name w:val="Heading 1 Char"/>
    <w:basedOn w:val="DefaultParagraphFont"/>
    <w:link w:val="Heading1"/>
    <w:uiPriority w:val="9"/>
    <w:rsid w:val="00CC0F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0F6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C0F6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C0F6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C0F6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C0F6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C0F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0F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0F6B"/>
    <w:rPr>
      <w:rFonts w:asciiTheme="majorHAnsi" w:eastAsiaTheme="majorEastAsia" w:hAnsiTheme="majorHAnsi" w:cstheme="majorBidi"/>
      <w:i/>
      <w:iCs/>
      <w:color w:val="404040" w:themeColor="text1" w:themeTint="BF"/>
      <w:sz w:val="20"/>
      <w:szCs w:val="20"/>
    </w:rPr>
  </w:style>
  <w:style w:type="character" w:customStyle="1" w:styleId="fontstyle01">
    <w:name w:val="fontstyle01"/>
    <w:basedOn w:val="DefaultParagraphFont"/>
    <w:rsid w:val="00713FC1"/>
    <w:rPr>
      <w:rFonts w:ascii="LMRoman10-Regular-Identity-H" w:hAnsi="LMRoman10-Regular-Identity-H" w:hint="default"/>
      <w:b w:val="0"/>
      <w:bCs w:val="0"/>
      <w:i w:val="0"/>
      <w:iCs w:val="0"/>
      <w:color w:val="000000"/>
      <w:sz w:val="20"/>
      <w:szCs w:val="20"/>
    </w:rPr>
  </w:style>
  <w:style w:type="character" w:styleId="FollowedHyperlink">
    <w:name w:val="FollowedHyperlink"/>
    <w:basedOn w:val="DefaultParagraphFont"/>
    <w:uiPriority w:val="99"/>
    <w:semiHidden/>
    <w:unhideWhenUsed/>
    <w:rsid w:val="009D10A9"/>
    <w:rPr>
      <w:color w:val="954F72"/>
      <w:u w:val="single"/>
    </w:rPr>
  </w:style>
  <w:style w:type="paragraph" w:customStyle="1" w:styleId="xl65">
    <w:name w:val="xl65"/>
    <w:basedOn w:val="Normal"/>
    <w:rsid w:val="009D10A9"/>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66">
    <w:name w:val="xl66"/>
    <w:basedOn w:val="Normal"/>
    <w:rsid w:val="009D10A9"/>
    <w:pPr>
      <w:shd w:val="clear" w:color="000000" w:fill="FFFFFF"/>
      <w:spacing w:before="100" w:beforeAutospacing="1" w:after="100" w:afterAutospacing="1" w:line="240" w:lineRule="auto"/>
      <w:jc w:val="center"/>
    </w:pPr>
    <w:rPr>
      <w:rFonts w:ascii="Garamond" w:eastAsia="Times New Roman" w:hAnsi="Garamond" w:cs="Times New Roman"/>
      <w:sz w:val="24"/>
      <w:szCs w:val="24"/>
    </w:rPr>
  </w:style>
  <w:style w:type="paragraph" w:customStyle="1" w:styleId="xl67">
    <w:name w:val="xl67"/>
    <w:basedOn w:val="Normal"/>
    <w:rsid w:val="009D10A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68">
    <w:name w:val="xl68"/>
    <w:basedOn w:val="Normal"/>
    <w:rsid w:val="009D10A9"/>
    <w:pPr>
      <w:shd w:val="clear" w:color="000000" w:fill="FFFFFF"/>
      <w:spacing w:before="100" w:beforeAutospacing="1" w:after="100" w:afterAutospacing="1" w:line="240" w:lineRule="auto"/>
      <w:jc w:val="center"/>
    </w:pPr>
    <w:rPr>
      <w:rFonts w:ascii="Garamond" w:eastAsia="Times New Roman" w:hAnsi="Garamond" w:cs="Times New Roman"/>
      <w:sz w:val="24"/>
      <w:szCs w:val="24"/>
    </w:rPr>
  </w:style>
  <w:style w:type="paragraph" w:customStyle="1" w:styleId="xl69">
    <w:name w:val="xl69"/>
    <w:basedOn w:val="Normal"/>
    <w:rsid w:val="009D10A9"/>
    <w:pPr>
      <w:shd w:val="clear" w:color="000000" w:fill="FFFFFF"/>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70">
    <w:name w:val="xl70"/>
    <w:basedOn w:val="Normal"/>
    <w:rsid w:val="009D10A9"/>
    <w:pPr>
      <w:pBdr>
        <w:bottom w:val="single" w:sz="8" w:space="0" w:color="auto"/>
      </w:pBd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71">
    <w:name w:val="xl71"/>
    <w:basedOn w:val="Normal"/>
    <w:rsid w:val="009D10A9"/>
    <w:pPr>
      <w:pBdr>
        <w:bottom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sz w:val="24"/>
      <w:szCs w:val="24"/>
    </w:rPr>
  </w:style>
  <w:style w:type="paragraph" w:customStyle="1" w:styleId="xl72">
    <w:name w:val="xl72"/>
    <w:basedOn w:val="Normal"/>
    <w:rsid w:val="009D10A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73">
    <w:name w:val="xl73"/>
    <w:basedOn w:val="Normal"/>
    <w:rsid w:val="009D10A9"/>
    <w:pPr>
      <w:shd w:val="clear" w:color="000000" w:fill="FFFFFF"/>
      <w:spacing w:before="100" w:beforeAutospacing="1" w:after="100" w:afterAutospacing="1" w:line="240" w:lineRule="auto"/>
      <w:jc w:val="center"/>
    </w:pPr>
    <w:rPr>
      <w:rFonts w:ascii="Garamond" w:eastAsia="Times New Roman" w:hAnsi="Garamond" w:cs="Times New Roman"/>
      <w:sz w:val="24"/>
      <w:szCs w:val="24"/>
    </w:rPr>
  </w:style>
  <w:style w:type="paragraph" w:customStyle="1" w:styleId="xl74">
    <w:name w:val="xl74"/>
    <w:basedOn w:val="Normal"/>
    <w:rsid w:val="009D10A9"/>
    <w:pPr>
      <w:pBdr>
        <w:bottom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sz w:val="24"/>
      <w:szCs w:val="24"/>
    </w:rPr>
  </w:style>
  <w:style w:type="paragraph" w:customStyle="1" w:styleId="xl75">
    <w:name w:val="xl75"/>
    <w:basedOn w:val="Normal"/>
    <w:rsid w:val="009D10A9"/>
    <w:pPr>
      <w:shd w:val="clear" w:color="000000" w:fill="FFFFFF"/>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76">
    <w:name w:val="xl76"/>
    <w:basedOn w:val="Normal"/>
    <w:rsid w:val="009D10A9"/>
    <w:pPr>
      <w:shd w:val="clear" w:color="000000" w:fill="FFFFFF"/>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77">
    <w:name w:val="xl77"/>
    <w:basedOn w:val="Normal"/>
    <w:rsid w:val="009D10A9"/>
    <w:pPr>
      <w:shd w:val="clear" w:color="000000" w:fill="FFFFFF"/>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78">
    <w:name w:val="xl78"/>
    <w:basedOn w:val="Normal"/>
    <w:rsid w:val="009D10A9"/>
    <w:pPr>
      <w:pBdr>
        <w:top w:val="single" w:sz="4" w:space="0" w:color="auto"/>
        <w:bottom w:val="single" w:sz="4" w:space="0" w:color="auto"/>
      </w:pBdr>
      <w:shd w:val="clear" w:color="000000" w:fill="FFFFFF"/>
      <w:spacing w:before="100" w:beforeAutospacing="1" w:after="100" w:afterAutospacing="1" w:line="240" w:lineRule="auto"/>
    </w:pPr>
    <w:rPr>
      <w:rFonts w:ascii="Garamond" w:eastAsia="Times New Roman" w:hAnsi="Garamond" w:cs="Times New Roman"/>
      <w:b/>
      <w:bCs/>
      <w:sz w:val="24"/>
      <w:szCs w:val="24"/>
    </w:rPr>
  </w:style>
  <w:style w:type="paragraph" w:customStyle="1" w:styleId="xl79">
    <w:name w:val="xl79"/>
    <w:basedOn w:val="Normal"/>
    <w:rsid w:val="009D10A9"/>
    <w:pPr>
      <w:pBdr>
        <w:top w:val="single" w:sz="4" w:space="0" w:color="auto"/>
        <w:bottom w:val="single" w:sz="4" w:space="0" w:color="auto"/>
      </w:pBdr>
      <w:shd w:val="clear" w:color="000000" w:fill="FFFFFF"/>
      <w:spacing w:before="100" w:beforeAutospacing="1" w:after="100" w:afterAutospacing="1" w:line="240" w:lineRule="auto"/>
      <w:jc w:val="center"/>
    </w:pPr>
    <w:rPr>
      <w:rFonts w:ascii="Garamond" w:eastAsia="Times New Roman" w:hAnsi="Garamond" w:cs="Times New Roman"/>
      <w:b/>
      <w:bCs/>
      <w:sz w:val="24"/>
      <w:szCs w:val="24"/>
    </w:rPr>
  </w:style>
  <w:style w:type="paragraph" w:customStyle="1" w:styleId="xl80">
    <w:name w:val="xl80"/>
    <w:basedOn w:val="Normal"/>
    <w:rsid w:val="009D10A9"/>
    <w:pPr>
      <w:pBdr>
        <w:top w:val="single" w:sz="4" w:space="0" w:color="auto"/>
        <w:bottom w:val="single" w:sz="4" w:space="0" w:color="auto"/>
      </w:pBdr>
      <w:shd w:val="clear" w:color="000000" w:fill="FFFFFF"/>
      <w:spacing w:before="100" w:beforeAutospacing="1" w:after="100" w:afterAutospacing="1" w:line="240" w:lineRule="auto"/>
      <w:jc w:val="center"/>
    </w:pPr>
    <w:rPr>
      <w:rFonts w:ascii="Garamond" w:eastAsia="Times New Roman" w:hAnsi="Garamond" w:cs="Times New Roman"/>
      <w:b/>
      <w:bCs/>
      <w:sz w:val="24"/>
      <w:szCs w:val="24"/>
    </w:rPr>
  </w:style>
  <w:style w:type="paragraph" w:customStyle="1" w:styleId="xl81">
    <w:name w:val="xl81"/>
    <w:basedOn w:val="Normal"/>
    <w:rsid w:val="009D10A9"/>
    <w:pPr>
      <w:shd w:val="clear" w:color="000000" w:fill="FFFFFF"/>
      <w:spacing w:before="100" w:beforeAutospacing="1" w:after="100" w:afterAutospacing="1" w:line="240" w:lineRule="auto"/>
      <w:ind w:firstLineChars="100" w:firstLine="100"/>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9816">
      <w:bodyDiv w:val="1"/>
      <w:marLeft w:val="0"/>
      <w:marRight w:val="0"/>
      <w:marTop w:val="0"/>
      <w:marBottom w:val="0"/>
      <w:divBdr>
        <w:top w:val="none" w:sz="0" w:space="0" w:color="auto"/>
        <w:left w:val="none" w:sz="0" w:space="0" w:color="auto"/>
        <w:bottom w:val="none" w:sz="0" w:space="0" w:color="auto"/>
        <w:right w:val="none" w:sz="0" w:space="0" w:color="auto"/>
      </w:divBdr>
    </w:div>
    <w:div w:id="334381363">
      <w:bodyDiv w:val="1"/>
      <w:marLeft w:val="0"/>
      <w:marRight w:val="0"/>
      <w:marTop w:val="0"/>
      <w:marBottom w:val="0"/>
      <w:divBdr>
        <w:top w:val="none" w:sz="0" w:space="0" w:color="auto"/>
        <w:left w:val="none" w:sz="0" w:space="0" w:color="auto"/>
        <w:bottom w:val="none" w:sz="0" w:space="0" w:color="auto"/>
        <w:right w:val="none" w:sz="0" w:space="0" w:color="auto"/>
      </w:divBdr>
    </w:div>
    <w:div w:id="429089767">
      <w:bodyDiv w:val="1"/>
      <w:marLeft w:val="0"/>
      <w:marRight w:val="0"/>
      <w:marTop w:val="0"/>
      <w:marBottom w:val="0"/>
      <w:divBdr>
        <w:top w:val="none" w:sz="0" w:space="0" w:color="auto"/>
        <w:left w:val="none" w:sz="0" w:space="0" w:color="auto"/>
        <w:bottom w:val="none" w:sz="0" w:space="0" w:color="auto"/>
        <w:right w:val="none" w:sz="0" w:space="0" w:color="auto"/>
      </w:divBdr>
    </w:div>
    <w:div w:id="507136384">
      <w:bodyDiv w:val="1"/>
      <w:marLeft w:val="0"/>
      <w:marRight w:val="0"/>
      <w:marTop w:val="0"/>
      <w:marBottom w:val="0"/>
      <w:divBdr>
        <w:top w:val="none" w:sz="0" w:space="0" w:color="auto"/>
        <w:left w:val="none" w:sz="0" w:space="0" w:color="auto"/>
        <w:bottom w:val="none" w:sz="0" w:space="0" w:color="auto"/>
        <w:right w:val="none" w:sz="0" w:space="0" w:color="auto"/>
      </w:divBdr>
    </w:div>
    <w:div w:id="555436554">
      <w:bodyDiv w:val="1"/>
      <w:marLeft w:val="0"/>
      <w:marRight w:val="0"/>
      <w:marTop w:val="0"/>
      <w:marBottom w:val="0"/>
      <w:divBdr>
        <w:top w:val="none" w:sz="0" w:space="0" w:color="auto"/>
        <w:left w:val="none" w:sz="0" w:space="0" w:color="auto"/>
        <w:bottom w:val="none" w:sz="0" w:space="0" w:color="auto"/>
        <w:right w:val="none" w:sz="0" w:space="0" w:color="auto"/>
      </w:divBdr>
    </w:div>
    <w:div w:id="592208935">
      <w:bodyDiv w:val="1"/>
      <w:marLeft w:val="0"/>
      <w:marRight w:val="0"/>
      <w:marTop w:val="0"/>
      <w:marBottom w:val="0"/>
      <w:divBdr>
        <w:top w:val="none" w:sz="0" w:space="0" w:color="auto"/>
        <w:left w:val="none" w:sz="0" w:space="0" w:color="auto"/>
        <w:bottom w:val="none" w:sz="0" w:space="0" w:color="auto"/>
        <w:right w:val="none" w:sz="0" w:space="0" w:color="auto"/>
      </w:divBdr>
    </w:div>
    <w:div w:id="731776248">
      <w:bodyDiv w:val="1"/>
      <w:marLeft w:val="0"/>
      <w:marRight w:val="0"/>
      <w:marTop w:val="0"/>
      <w:marBottom w:val="0"/>
      <w:divBdr>
        <w:top w:val="none" w:sz="0" w:space="0" w:color="auto"/>
        <w:left w:val="none" w:sz="0" w:space="0" w:color="auto"/>
        <w:bottom w:val="none" w:sz="0" w:space="0" w:color="auto"/>
        <w:right w:val="none" w:sz="0" w:space="0" w:color="auto"/>
      </w:divBdr>
    </w:div>
    <w:div w:id="745957501">
      <w:bodyDiv w:val="1"/>
      <w:marLeft w:val="0"/>
      <w:marRight w:val="0"/>
      <w:marTop w:val="0"/>
      <w:marBottom w:val="0"/>
      <w:divBdr>
        <w:top w:val="none" w:sz="0" w:space="0" w:color="auto"/>
        <w:left w:val="none" w:sz="0" w:space="0" w:color="auto"/>
        <w:bottom w:val="none" w:sz="0" w:space="0" w:color="auto"/>
        <w:right w:val="none" w:sz="0" w:space="0" w:color="auto"/>
      </w:divBdr>
    </w:div>
    <w:div w:id="848909202">
      <w:bodyDiv w:val="1"/>
      <w:marLeft w:val="0"/>
      <w:marRight w:val="0"/>
      <w:marTop w:val="0"/>
      <w:marBottom w:val="0"/>
      <w:divBdr>
        <w:top w:val="none" w:sz="0" w:space="0" w:color="auto"/>
        <w:left w:val="none" w:sz="0" w:space="0" w:color="auto"/>
        <w:bottom w:val="none" w:sz="0" w:space="0" w:color="auto"/>
        <w:right w:val="none" w:sz="0" w:space="0" w:color="auto"/>
      </w:divBdr>
    </w:div>
    <w:div w:id="924874569">
      <w:bodyDiv w:val="1"/>
      <w:marLeft w:val="0"/>
      <w:marRight w:val="0"/>
      <w:marTop w:val="0"/>
      <w:marBottom w:val="0"/>
      <w:divBdr>
        <w:top w:val="none" w:sz="0" w:space="0" w:color="auto"/>
        <w:left w:val="none" w:sz="0" w:space="0" w:color="auto"/>
        <w:bottom w:val="none" w:sz="0" w:space="0" w:color="auto"/>
        <w:right w:val="none" w:sz="0" w:space="0" w:color="auto"/>
      </w:divBdr>
    </w:div>
    <w:div w:id="956332881">
      <w:bodyDiv w:val="1"/>
      <w:marLeft w:val="0"/>
      <w:marRight w:val="0"/>
      <w:marTop w:val="0"/>
      <w:marBottom w:val="0"/>
      <w:divBdr>
        <w:top w:val="none" w:sz="0" w:space="0" w:color="auto"/>
        <w:left w:val="none" w:sz="0" w:space="0" w:color="auto"/>
        <w:bottom w:val="none" w:sz="0" w:space="0" w:color="auto"/>
        <w:right w:val="none" w:sz="0" w:space="0" w:color="auto"/>
      </w:divBdr>
    </w:div>
    <w:div w:id="1037895013">
      <w:bodyDiv w:val="1"/>
      <w:marLeft w:val="0"/>
      <w:marRight w:val="0"/>
      <w:marTop w:val="0"/>
      <w:marBottom w:val="0"/>
      <w:divBdr>
        <w:top w:val="none" w:sz="0" w:space="0" w:color="auto"/>
        <w:left w:val="none" w:sz="0" w:space="0" w:color="auto"/>
        <w:bottom w:val="none" w:sz="0" w:space="0" w:color="auto"/>
        <w:right w:val="none" w:sz="0" w:space="0" w:color="auto"/>
      </w:divBdr>
    </w:div>
    <w:div w:id="1197036080">
      <w:bodyDiv w:val="1"/>
      <w:marLeft w:val="0"/>
      <w:marRight w:val="0"/>
      <w:marTop w:val="0"/>
      <w:marBottom w:val="0"/>
      <w:divBdr>
        <w:top w:val="none" w:sz="0" w:space="0" w:color="auto"/>
        <w:left w:val="none" w:sz="0" w:space="0" w:color="auto"/>
        <w:bottom w:val="none" w:sz="0" w:space="0" w:color="auto"/>
        <w:right w:val="none" w:sz="0" w:space="0" w:color="auto"/>
      </w:divBdr>
    </w:div>
    <w:div w:id="1423449964">
      <w:bodyDiv w:val="1"/>
      <w:marLeft w:val="0"/>
      <w:marRight w:val="0"/>
      <w:marTop w:val="0"/>
      <w:marBottom w:val="0"/>
      <w:divBdr>
        <w:top w:val="none" w:sz="0" w:space="0" w:color="auto"/>
        <w:left w:val="none" w:sz="0" w:space="0" w:color="auto"/>
        <w:bottom w:val="none" w:sz="0" w:space="0" w:color="auto"/>
        <w:right w:val="none" w:sz="0" w:space="0" w:color="auto"/>
      </w:divBdr>
    </w:div>
    <w:div w:id="1449814220">
      <w:bodyDiv w:val="1"/>
      <w:marLeft w:val="0"/>
      <w:marRight w:val="0"/>
      <w:marTop w:val="0"/>
      <w:marBottom w:val="0"/>
      <w:divBdr>
        <w:top w:val="none" w:sz="0" w:space="0" w:color="auto"/>
        <w:left w:val="none" w:sz="0" w:space="0" w:color="auto"/>
        <w:bottom w:val="none" w:sz="0" w:space="0" w:color="auto"/>
        <w:right w:val="none" w:sz="0" w:space="0" w:color="auto"/>
      </w:divBdr>
    </w:div>
    <w:div w:id="1478106720">
      <w:bodyDiv w:val="1"/>
      <w:marLeft w:val="0"/>
      <w:marRight w:val="0"/>
      <w:marTop w:val="0"/>
      <w:marBottom w:val="0"/>
      <w:divBdr>
        <w:top w:val="none" w:sz="0" w:space="0" w:color="auto"/>
        <w:left w:val="none" w:sz="0" w:space="0" w:color="auto"/>
        <w:bottom w:val="none" w:sz="0" w:space="0" w:color="auto"/>
        <w:right w:val="none" w:sz="0" w:space="0" w:color="auto"/>
      </w:divBdr>
      <w:divsChild>
        <w:div w:id="351303891">
          <w:marLeft w:val="0"/>
          <w:marRight w:val="0"/>
          <w:marTop w:val="0"/>
          <w:marBottom w:val="240"/>
          <w:divBdr>
            <w:top w:val="none" w:sz="0" w:space="0" w:color="auto"/>
            <w:left w:val="none" w:sz="0" w:space="0" w:color="auto"/>
            <w:bottom w:val="none" w:sz="0" w:space="0" w:color="auto"/>
            <w:right w:val="none" w:sz="0" w:space="0" w:color="auto"/>
          </w:divBdr>
        </w:div>
      </w:divsChild>
    </w:div>
    <w:div w:id="1492915041">
      <w:bodyDiv w:val="1"/>
      <w:marLeft w:val="0"/>
      <w:marRight w:val="0"/>
      <w:marTop w:val="0"/>
      <w:marBottom w:val="0"/>
      <w:divBdr>
        <w:top w:val="none" w:sz="0" w:space="0" w:color="auto"/>
        <w:left w:val="none" w:sz="0" w:space="0" w:color="auto"/>
        <w:bottom w:val="none" w:sz="0" w:space="0" w:color="auto"/>
        <w:right w:val="none" w:sz="0" w:space="0" w:color="auto"/>
      </w:divBdr>
    </w:div>
    <w:div w:id="1565333520">
      <w:bodyDiv w:val="1"/>
      <w:marLeft w:val="0"/>
      <w:marRight w:val="0"/>
      <w:marTop w:val="0"/>
      <w:marBottom w:val="0"/>
      <w:divBdr>
        <w:top w:val="none" w:sz="0" w:space="0" w:color="auto"/>
        <w:left w:val="none" w:sz="0" w:space="0" w:color="auto"/>
        <w:bottom w:val="none" w:sz="0" w:space="0" w:color="auto"/>
        <w:right w:val="none" w:sz="0" w:space="0" w:color="auto"/>
      </w:divBdr>
    </w:div>
    <w:div w:id="1610972120">
      <w:bodyDiv w:val="1"/>
      <w:marLeft w:val="0"/>
      <w:marRight w:val="0"/>
      <w:marTop w:val="0"/>
      <w:marBottom w:val="0"/>
      <w:divBdr>
        <w:top w:val="none" w:sz="0" w:space="0" w:color="auto"/>
        <w:left w:val="none" w:sz="0" w:space="0" w:color="auto"/>
        <w:bottom w:val="none" w:sz="0" w:space="0" w:color="auto"/>
        <w:right w:val="none" w:sz="0" w:space="0" w:color="auto"/>
      </w:divBdr>
    </w:div>
    <w:div w:id="1674600045">
      <w:bodyDiv w:val="1"/>
      <w:marLeft w:val="0"/>
      <w:marRight w:val="0"/>
      <w:marTop w:val="0"/>
      <w:marBottom w:val="0"/>
      <w:divBdr>
        <w:top w:val="none" w:sz="0" w:space="0" w:color="auto"/>
        <w:left w:val="none" w:sz="0" w:space="0" w:color="auto"/>
        <w:bottom w:val="none" w:sz="0" w:space="0" w:color="auto"/>
        <w:right w:val="none" w:sz="0" w:space="0" w:color="auto"/>
      </w:divBdr>
    </w:div>
    <w:div w:id="1683311574">
      <w:bodyDiv w:val="1"/>
      <w:marLeft w:val="0"/>
      <w:marRight w:val="0"/>
      <w:marTop w:val="0"/>
      <w:marBottom w:val="0"/>
      <w:divBdr>
        <w:top w:val="none" w:sz="0" w:space="0" w:color="auto"/>
        <w:left w:val="none" w:sz="0" w:space="0" w:color="auto"/>
        <w:bottom w:val="none" w:sz="0" w:space="0" w:color="auto"/>
        <w:right w:val="none" w:sz="0" w:space="0" w:color="auto"/>
      </w:divBdr>
    </w:div>
    <w:div w:id="1705404166">
      <w:bodyDiv w:val="1"/>
      <w:marLeft w:val="0"/>
      <w:marRight w:val="0"/>
      <w:marTop w:val="0"/>
      <w:marBottom w:val="0"/>
      <w:divBdr>
        <w:top w:val="none" w:sz="0" w:space="0" w:color="auto"/>
        <w:left w:val="none" w:sz="0" w:space="0" w:color="auto"/>
        <w:bottom w:val="none" w:sz="0" w:space="0" w:color="auto"/>
        <w:right w:val="none" w:sz="0" w:space="0" w:color="auto"/>
      </w:divBdr>
    </w:div>
    <w:div w:id="1756437580">
      <w:bodyDiv w:val="1"/>
      <w:marLeft w:val="0"/>
      <w:marRight w:val="0"/>
      <w:marTop w:val="0"/>
      <w:marBottom w:val="0"/>
      <w:divBdr>
        <w:top w:val="none" w:sz="0" w:space="0" w:color="auto"/>
        <w:left w:val="none" w:sz="0" w:space="0" w:color="auto"/>
        <w:bottom w:val="none" w:sz="0" w:space="0" w:color="auto"/>
        <w:right w:val="none" w:sz="0" w:space="0" w:color="auto"/>
      </w:divBdr>
      <w:divsChild>
        <w:div w:id="1138451406">
          <w:marLeft w:val="0"/>
          <w:marRight w:val="0"/>
          <w:marTop w:val="0"/>
          <w:marBottom w:val="240"/>
          <w:divBdr>
            <w:top w:val="none" w:sz="0" w:space="0" w:color="auto"/>
            <w:left w:val="none" w:sz="0" w:space="0" w:color="auto"/>
            <w:bottom w:val="none" w:sz="0" w:space="0" w:color="auto"/>
            <w:right w:val="none" w:sz="0" w:space="0" w:color="auto"/>
          </w:divBdr>
        </w:div>
      </w:divsChild>
    </w:div>
    <w:div w:id="1900170566">
      <w:bodyDiv w:val="1"/>
      <w:marLeft w:val="0"/>
      <w:marRight w:val="0"/>
      <w:marTop w:val="0"/>
      <w:marBottom w:val="0"/>
      <w:divBdr>
        <w:top w:val="none" w:sz="0" w:space="0" w:color="auto"/>
        <w:left w:val="none" w:sz="0" w:space="0" w:color="auto"/>
        <w:bottom w:val="none" w:sz="0" w:space="0" w:color="auto"/>
        <w:right w:val="none" w:sz="0" w:space="0" w:color="auto"/>
      </w:divBdr>
    </w:div>
    <w:div w:id="1910457227">
      <w:bodyDiv w:val="1"/>
      <w:marLeft w:val="0"/>
      <w:marRight w:val="0"/>
      <w:marTop w:val="0"/>
      <w:marBottom w:val="0"/>
      <w:divBdr>
        <w:top w:val="none" w:sz="0" w:space="0" w:color="auto"/>
        <w:left w:val="none" w:sz="0" w:space="0" w:color="auto"/>
        <w:bottom w:val="none" w:sz="0" w:space="0" w:color="auto"/>
        <w:right w:val="none" w:sz="0" w:space="0" w:color="auto"/>
      </w:divBdr>
    </w:div>
    <w:div w:id="1947224271">
      <w:bodyDiv w:val="1"/>
      <w:marLeft w:val="0"/>
      <w:marRight w:val="0"/>
      <w:marTop w:val="0"/>
      <w:marBottom w:val="0"/>
      <w:divBdr>
        <w:top w:val="none" w:sz="0" w:space="0" w:color="auto"/>
        <w:left w:val="none" w:sz="0" w:space="0" w:color="auto"/>
        <w:bottom w:val="none" w:sz="0" w:space="0" w:color="auto"/>
        <w:right w:val="none" w:sz="0" w:space="0" w:color="auto"/>
      </w:divBdr>
    </w:div>
    <w:div w:id="1952742106">
      <w:bodyDiv w:val="1"/>
      <w:marLeft w:val="0"/>
      <w:marRight w:val="0"/>
      <w:marTop w:val="0"/>
      <w:marBottom w:val="0"/>
      <w:divBdr>
        <w:top w:val="none" w:sz="0" w:space="0" w:color="auto"/>
        <w:left w:val="none" w:sz="0" w:space="0" w:color="auto"/>
        <w:bottom w:val="none" w:sz="0" w:space="0" w:color="auto"/>
        <w:right w:val="none" w:sz="0" w:space="0" w:color="auto"/>
      </w:divBdr>
    </w:div>
    <w:div w:id="1966736300">
      <w:bodyDiv w:val="1"/>
      <w:marLeft w:val="0"/>
      <w:marRight w:val="0"/>
      <w:marTop w:val="0"/>
      <w:marBottom w:val="0"/>
      <w:divBdr>
        <w:top w:val="none" w:sz="0" w:space="0" w:color="auto"/>
        <w:left w:val="none" w:sz="0" w:space="0" w:color="auto"/>
        <w:bottom w:val="none" w:sz="0" w:space="0" w:color="auto"/>
        <w:right w:val="none" w:sz="0" w:space="0" w:color="auto"/>
      </w:divBdr>
    </w:div>
    <w:div w:id="2090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21" Type="http://schemas.openxmlformats.org/officeDocument/2006/relationships/image" Target="media/image14.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iresearch.worldbank.org/PovMap/PovMap2/" TargetMode="External"/><Relationship Id="rId36"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2.png"/><Relationship Id="rId35"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con.worldbank.org/WBSITE/EXTERNAL/EXTDEC/EXTRESEARCH/EXTPROGRAMS/EXTPOVRES/0,,contentMDK:22717057~pagePK:64168182~piPK:64168060~theSitePK:477894,00.html" TargetMode="External"/><Relationship Id="rId1" Type="http://schemas.openxmlformats.org/officeDocument/2006/relationships/hyperlink" Target="http://eur-lex.europa.eu/LexUriServ/LexUriServ.do?uri=CELEX:32003R1059: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000172538:Anahit Poghosyan:apoghosyan@worldbank.org;</DocAuthors>
    <Authors xmlns="b99a068c-3844-4a16-badd-77233eea0529">
      <UserInfo>
        <DisplayName>i:0#.w|wb\wb172538</DisplayName>
        <AccountId>3561</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2018-06-19T04:00:00+00:00</DocumentDate>
    <WBDocType xmlns="b99a068c-3844-4a16-badd-77233eea0529">Report</WBDocType>
    <SecurityClassification xmlns="b99a068c-3844-4a16-badd-77233eea0529">Public</SecurityClassification>
    <DeliverableID xmlns="b99a068c-3844-4a16-badd-77233eea0529">DLV0242481</DeliverableID>
    <ProjectID xmlns="b99a068c-3844-4a16-badd-77233eea0529">P155214</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A20C051D5D8C4546A9ABC034194C114B" ma:contentTypeVersion="3" ma:contentTypeDescription="" ma:contentTypeScope="" ma:versionID="a493cedc62ed65259ccf549f8ee89e1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D437A449-59F5-4579-B010-C48A171FB015}"/>
</file>

<file path=customXml/itemProps2.xml><?xml version="1.0" encoding="utf-8"?>
<ds:datastoreItem xmlns:ds="http://schemas.openxmlformats.org/officeDocument/2006/customXml" ds:itemID="{2A97DFD0-B134-44A2-87AF-BCE23A290D85}"/>
</file>

<file path=customXml/itemProps3.xml><?xml version="1.0" encoding="utf-8"?>
<ds:datastoreItem xmlns:ds="http://schemas.openxmlformats.org/officeDocument/2006/customXml" ds:itemID="{9224CA31-C6A4-4470-B642-EECA726F1347}"/>
</file>

<file path=customXml/itemProps4.xml><?xml version="1.0" encoding="utf-8"?>
<ds:datastoreItem xmlns:ds="http://schemas.openxmlformats.org/officeDocument/2006/customXml" ds:itemID="{FBB8BC98-6C58-4727-B119-864BFE521297}"/>
</file>

<file path=customXml/itemProps5.xml><?xml version="1.0" encoding="utf-8"?>
<ds:datastoreItem xmlns:ds="http://schemas.openxmlformats.org/officeDocument/2006/customXml" ds:itemID="{9CEBC86E-6781-4C1A-AAEF-5BC5014D0C72}"/>
</file>

<file path=docProps/app.xml><?xml version="1.0" encoding="utf-8"?>
<Properties xmlns="http://schemas.openxmlformats.org/officeDocument/2006/extended-properties" xmlns:vt="http://schemas.openxmlformats.org/officeDocument/2006/docPropsVTypes">
  <Template>Normal.dotm</Template>
  <TotalTime>3</TotalTime>
  <Pages>1</Pages>
  <Words>11716</Words>
  <Characters>66786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 Poverty map</dc:title>
  <dc:creator>Paul Andres Corral Rodas</dc:creator>
  <cp:lastModifiedBy>Joao Pedro Wagner De Azevedo</cp:lastModifiedBy>
  <cp:revision>4</cp:revision>
  <dcterms:created xsi:type="dcterms:W3CDTF">2016-10-08T04:25:00Z</dcterms:created>
  <dcterms:modified xsi:type="dcterms:W3CDTF">2016-10-11T14:49:00Z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0x01010054E0FEF4951F9D49A6F48A35419983C700A20C051D5D8C4546A9ABC034194C114B</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