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Pr="00AE052E" w:rsidRDefault="008627D4">
      <w:pPr>
        <w:jc w:val="center"/>
        <w:rPr>
          <w:b/>
          <w:bCs/>
          <w:sz w:val="22"/>
          <w:szCs w:val="22"/>
        </w:rPr>
      </w:pPr>
      <w:r w:rsidRPr="00AE052E">
        <w:rPr>
          <w:b/>
          <w:bCs/>
          <w:sz w:val="22"/>
          <w:szCs w:val="22"/>
        </w:rPr>
        <w:t>PROGRAM INFORMATION DOCUMENT (PID)</w:t>
      </w:r>
    </w:p>
    <w:p w:rsidR="008627D4" w:rsidRPr="00D620F9" w:rsidRDefault="008627D4">
      <w:pPr>
        <w:jc w:val="center"/>
        <w:rPr>
          <w:b/>
          <w:bCs/>
          <w:sz w:val="22"/>
          <w:szCs w:val="22"/>
        </w:rPr>
      </w:pPr>
      <w:r w:rsidRPr="00D620F9">
        <w:rPr>
          <w:b/>
          <w:bCs/>
          <w:sz w:val="22"/>
          <w:szCs w:val="22"/>
        </w:rPr>
        <w:t>APPRAISAL STAGE</w:t>
      </w:r>
    </w:p>
    <w:p w:rsidR="00876A71" w:rsidRPr="00D620F9" w:rsidRDefault="00AE052E">
      <w:pPr>
        <w:ind w:right="720"/>
        <w:jc w:val="right"/>
        <w:rPr>
          <w:sz w:val="22"/>
          <w:szCs w:val="22"/>
        </w:rPr>
      </w:pPr>
      <w:r>
        <w:rPr>
          <w:sz w:val="22"/>
          <w:szCs w:val="22"/>
        </w:rPr>
        <w:t>September 4</w:t>
      </w:r>
      <w:r w:rsidR="00B724CC" w:rsidRPr="00D620F9">
        <w:rPr>
          <w:sz w:val="22"/>
          <w:szCs w:val="22"/>
        </w:rPr>
        <w:t>, 2014</w:t>
      </w:r>
    </w:p>
    <w:p w:rsidR="008627D4" w:rsidRPr="00D620F9" w:rsidRDefault="008627D4">
      <w:pPr>
        <w:ind w:right="720"/>
        <w:jc w:val="right"/>
        <w:rPr>
          <w:sz w:val="22"/>
          <w:szCs w:val="22"/>
        </w:rPr>
      </w:pPr>
      <w:r w:rsidRPr="00D620F9">
        <w:rPr>
          <w:sz w:val="22"/>
          <w:szCs w:val="22"/>
        </w:rPr>
        <w:t xml:space="preserve">Report No.:  </w:t>
      </w:r>
      <w:bookmarkStart w:id="0" w:name="ReportNo"/>
      <w:r w:rsidR="005C0868">
        <w:t>AB7625</w:t>
      </w:r>
      <w:bookmarkEnd w:id="0"/>
    </w:p>
    <w:p w:rsidR="00876A71" w:rsidRPr="00D620F9" w:rsidRDefault="00876A71">
      <w:pPr>
        <w:ind w:right="720"/>
        <w:jc w:val="right"/>
        <w:rPr>
          <w:sz w:val="22"/>
          <w:szCs w:val="22"/>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627D4">
            <w:pPr>
              <w:rPr>
                <w:b/>
                <w:bCs/>
                <w:sz w:val="22"/>
                <w:szCs w:val="22"/>
              </w:rPr>
            </w:pPr>
            <w:r w:rsidRPr="00D620F9">
              <w:rPr>
                <w:b/>
                <w:bCs/>
                <w:sz w:val="22"/>
                <w:szCs w:val="22"/>
              </w:rPr>
              <w:t>Operation Name</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B724CC" w:rsidP="00B724CC">
            <w:pPr>
              <w:rPr>
                <w:sz w:val="22"/>
                <w:szCs w:val="22"/>
              </w:rPr>
            </w:pPr>
            <w:bookmarkStart w:id="1" w:name="PROJECTNAME"/>
            <w:r w:rsidRPr="00D620F9">
              <w:rPr>
                <w:sz w:val="22"/>
                <w:szCs w:val="22"/>
              </w:rPr>
              <w:t xml:space="preserve">First Programmatic Sustained Growth and Income Convergence </w:t>
            </w:r>
            <w:r w:rsidR="000C24F3" w:rsidRPr="00D620F9">
              <w:rPr>
                <w:sz w:val="22"/>
                <w:szCs w:val="22"/>
              </w:rPr>
              <w:t>DPL</w:t>
            </w:r>
            <w:bookmarkEnd w:id="1"/>
          </w:p>
        </w:tc>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627D4">
            <w:pPr>
              <w:rPr>
                <w:b/>
                <w:bCs/>
                <w:sz w:val="22"/>
                <w:szCs w:val="22"/>
              </w:rPr>
            </w:pPr>
            <w:r w:rsidRPr="00D620F9">
              <w:rPr>
                <w:b/>
                <w:bCs/>
                <w:sz w:val="22"/>
                <w:szCs w:val="22"/>
              </w:rPr>
              <w:t>Region</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B724CC">
            <w:pPr>
              <w:rPr>
                <w:sz w:val="22"/>
                <w:szCs w:val="22"/>
              </w:rPr>
            </w:pPr>
            <w:r w:rsidRPr="00D620F9">
              <w:rPr>
                <w:sz w:val="22"/>
                <w:szCs w:val="22"/>
              </w:rPr>
              <w:t>Latin America and Caribbean</w:t>
            </w:r>
          </w:p>
        </w:tc>
      </w:tr>
      <w:tr w:rsidR="00876A71" w:rsidRPr="00D620F9" w:rsidTr="00876A71">
        <w:tc>
          <w:tcPr>
            <w:tcW w:w="3420" w:type="dxa"/>
            <w:tcBorders>
              <w:top w:val="single" w:sz="4" w:space="0" w:color="auto"/>
              <w:left w:val="single" w:sz="4" w:space="0" w:color="auto"/>
              <w:bottom w:val="single" w:sz="4" w:space="0" w:color="auto"/>
              <w:right w:val="single" w:sz="4" w:space="0" w:color="auto"/>
            </w:tcBorders>
          </w:tcPr>
          <w:p w:rsidR="00876A71" w:rsidRPr="00D620F9" w:rsidRDefault="00876A71">
            <w:pPr>
              <w:rPr>
                <w:b/>
                <w:bCs/>
                <w:sz w:val="22"/>
                <w:szCs w:val="22"/>
              </w:rPr>
            </w:pPr>
            <w:r w:rsidRPr="00D620F9">
              <w:rPr>
                <w:b/>
                <w:bCs/>
                <w:sz w:val="22"/>
                <w:szCs w:val="22"/>
              </w:rPr>
              <w:t>Country</w:t>
            </w:r>
          </w:p>
        </w:tc>
        <w:tc>
          <w:tcPr>
            <w:tcW w:w="6120" w:type="dxa"/>
            <w:tcBorders>
              <w:top w:val="single" w:sz="4" w:space="0" w:color="auto"/>
              <w:left w:val="single" w:sz="4" w:space="0" w:color="auto"/>
              <w:bottom w:val="single" w:sz="4" w:space="0" w:color="auto"/>
              <w:right w:val="single" w:sz="4" w:space="0" w:color="auto"/>
            </w:tcBorders>
          </w:tcPr>
          <w:p w:rsidR="00876A71" w:rsidRPr="00D620F9" w:rsidRDefault="000C24F3">
            <w:pPr>
              <w:rPr>
                <w:sz w:val="22"/>
                <w:szCs w:val="22"/>
              </w:rPr>
            </w:pPr>
            <w:bookmarkStart w:id="2" w:name="COUNTRY"/>
            <w:r w:rsidRPr="00D620F9">
              <w:rPr>
                <w:sz w:val="22"/>
                <w:szCs w:val="22"/>
              </w:rPr>
              <w:t>Colombia</w:t>
            </w:r>
            <w:bookmarkEnd w:id="2"/>
          </w:p>
        </w:tc>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627D4">
            <w:pPr>
              <w:rPr>
                <w:b/>
                <w:bCs/>
                <w:sz w:val="22"/>
                <w:szCs w:val="22"/>
              </w:rPr>
            </w:pPr>
            <w:r w:rsidRPr="00D620F9">
              <w:rPr>
                <w:b/>
                <w:bCs/>
                <w:sz w:val="22"/>
                <w:szCs w:val="22"/>
              </w:rPr>
              <w:t>Sector</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0C24F3">
            <w:pPr>
              <w:rPr>
                <w:sz w:val="22"/>
                <w:szCs w:val="22"/>
              </w:rPr>
            </w:pPr>
            <w:bookmarkStart w:id="3" w:name="SECTOR"/>
            <w:r w:rsidRPr="00D620F9">
              <w:rPr>
                <w:sz w:val="22"/>
                <w:szCs w:val="22"/>
              </w:rPr>
              <w:t>General finance sector (25%);</w:t>
            </w:r>
            <w:r w:rsidR="00B724CC" w:rsidRPr="00D620F9">
              <w:rPr>
                <w:sz w:val="22"/>
                <w:szCs w:val="22"/>
              </w:rPr>
              <w:t xml:space="preserve"> </w:t>
            </w:r>
            <w:r w:rsidRPr="00D620F9">
              <w:rPr>
                <w:sz w:val="22"/>
                <w:szCs w:val="22"/>
              </w:rPr>
              <w:t>General education sector (20%);</w:t>
            </w:r>
            <w:r w:rsidR="00B724CC" w:rsidRPr="00D620F9">
              <w:rPr>
                <w:sz w:val="22"/>
                <w:szCs w:val="22"/>
              </w:rPr>
              <w:t xml:space="preserve"> </w:t>
            </w:r>
            <w:r w:rsidRPr="00D620F9">
              <w:rPr>
                <w:sz w:val="22"/>
                <w:szCs w:val="22"/>
              </w:rPr>
              <w:t>Public administration- Industry and trade (15%)</w:t>
            </w:r>
            <w:proofErr w:type="gramStart"/>
            <w:r w:rsidRPr="00D620F9">
              <w:rPr>
                <w:sz w:val="22"/>
                <w:szCs w:val="22"/>
              </w:rPr>
              <w:t>;Central</w:t>
            </w:r>
            <w:proofErr w:type="gramEnd"/>
            <w:r w:rsidRPr="00D620F9">
              <w:rPr>
                <w:sz w:val="22"/>
                <w:szCs w:val="22"/>
              </w:rPr>
              <w:t xml:space="preserve"> government administration (40%)</w:t>
            </w:r>
            <w:bookmarkEnd w:id="3"/>
          </w:p>
        </w:tc>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76A71">
            <w:pPr>
              <w:rPr>
                <w:b/>
                <w:bCs/>
                <w:sz w:val="22"/>
                <w:szCs w:val="22"/>
              </w:rPr>
            </w:pPr>
            <w:r w:rsidRPr="00D620F9">
              <w:rPr>
                <w:b/>
                <w:bCs/>
                <w:sz w:val="22"/>
                <w:szCs w:val="22"/>
              </w:rPr>
              <w:t>Operation</w:t>
            </w:r>
            <w:r w:rsidR="008627D4" w:rsidRPr="00D620F9">
              <w:rPr>
                <w:b/>
                <w:bCs/>
                <w:sz w:val="22"/>
                <w:szCs w:val="22"/>
              </w:rPr>
              <w:t xml:space="preserve"> ID</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0C24F3">
            <w:pPr>
              <w:rPr>
                <w:sz w:val="22"/>
                <w:szCs w:val="22"/>
              </w:rPr>
            </w:pPr>
            <w:bookmarkStart w:id="4" w:name="PROJECTCODE"/>
            <w:r w:rsidRPr="00D620F9">
              <w:rPr>
                <w:sz w:val="22"/>
                <w:szCs w:val="22"/>
              </w:rPr>
              <w:t>P149609</w:t>
            </w:r>
            <w:bookmarkEnd w:id="4"/>
          </w:p>
        </w:tc>
      </w:tr>
      <w:tr w:rsidR="00876A71" w:rsidRPr="00D620F9" w:rsidTr="00876A71">
        <w:tc>
          <w:tcPr>
            <w:tcW w:w="3420" w:type="dxa"/>
            <w:tcBorders>
              <w:top w:val="single" w:sz="4" w:space="0" w:color="auto"/>
              <w:left w:val="single" w:sz="4" w:space="0" w:color="auto"/>
              <w:bottom w:val="single" w:sz="4" w:space="0" w:color="auto"/>
              <w:right w:val="single" w:sz="4" w:space="0" w:color="auto"/>
            </w:tcBorders>
          </w:tcPr>
          <w:p w:rsidR="00876A71" w:rsidRPr="00D620F9" w:rsidRDefault="00876A71">
            <w:pPr>
              <w:rPr>
                <w:b/>
                <w:bCs/>
                <w:sz w:val="22"/>
                <w:szCs w:val="22"/>
              </w:rPr>
            </w:pPr>
            <w:r w:rsidRPr="00D620F9">
              <w:rPr>
                <w:b/>
                <w:bCs/>
                <w:sz w:val="22"/>
                <w:szCs w:val="22"/>
              </w:rPr>
              <w:t>Lending Instrument</w:t>
            </w:r>
          </w:p>
        </w:tc>
        <w:tc>
          <w:tcPr>
            <w:tcW w:w="6120" w:type="dxa"/>
            <w:tcBorders>
              <w:top w:val="single" w:sz="4" w:space="0" w:color="auto"/>
              <w:left w:val="single" w:sz="4" w:space="0" w:color="auto"/>
              <w:bottom w:val="single" w:sz="4" w:space="0" w:color="auto"/>
              <w:right w:val="single" w:sz="4" w:space="0" w:color="auto"/>
            </w:tcBorders>
          </w:tcPr>
          <w:p w:rsidR="00876A71" w:rsidRPr="00D620F9" w:rsidRDefault="000C24F3">
            <w:pPr>
              <w:rPr>
                <w:sz w:val="22"/>
                <w:szCs w:val="22"/>
              </w:rPr>
            </w:pPr>
            <w:bookmarkStart w:id="5" w:name="INSTR_NAME"/>
            <w:r w:rsidRPr="00D620F9">
              <w:rPr>
                <w:sz w:val="22"/>
                <w:szCs w:val="22"/>
              </w:rPr>
              <w:t>Development Policy Lending</w:t>
            </w:r>
            <w:bookmarkEnd w:id="5"/>
          </w:p>
        </w:tc>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627D4">
            <w:pPr>
              <w:rPr>
                <w:b/>
                <w:bCs/>
                <w:sz w:val="22"/>
                <w:szCs w:val="22"/>
              </w:rPr>
            </w:pPr>
            <w:r w:rsidRPr="00D620F9">
              <w:rPr>
                <w:b/>
                <w:bCs/>
                <w:sz w:val="22"/>
                <w:szCs w:val="22"/>
              </w:rPr>
              <w:t>Borrower(s)</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0C24F3">
            <w:pPr>
              <w:rPr>
                <w:sz w:val="22"/>
                <w:szCs w:val="22"/>
              </w:rPr>
            </w:pPr>
            <w:bookmarkStart w:id="6" w:name="BORROWERNAME"/>
            <w:r w:rsidRPr="00D620F9">
              <w:rPr>
                <w:sz w:val="22"/>
                <w:szCs w:val="22"/>
              </w:rPr>
              <w:t>COLOMBIA MINISTRY OF FINANCE</w:t>
            </w:r>
            <w:bookmarkEnd w:id="6"/>
          </w:p>
        </w:tc>
      </w:tr>
      <w:tr w:rsidR="008627D4" w:rsidRPr="00D620F9" w:rsidTr="00876A71">
        <w:trPr>
          <w:trHeight w:val="140"/>
        </w:trPr>
        <w:tc>
          <w:tcPr>
            <w:tcW w:w="3420" w:type="dxa"/>
            <w:tcBorders>
              <w:top w:val="single" w:sz="4" w:space="0" w:color="auto"/>
              <w:left w:val="single" w:sz="4" w:space="0" w:color="auto"/>
              <w:bottom w:val="nil"/>
              <w:right w:val="single" w:sz="4" w:space="0" w:color="auto"/>
            </w:tcBorders>
          </w:tcPr>
          <w:p w:rsidR="008627D4" w:rsidRPr="00D620F9" w:rsidRDefault="008627D4">
            <w:pPr>
              <w:rPr>
                <w:b/>
                <w:bCs/>
                <w:sz w:val="22"/>
                <w:szCs w:val="22"/>
              </w:rPr>
            </w:pPr>
            <w:r w:rsidRPr="00D620F9">
              <w:rPr>
                <w:b/>
                <w:bCs/>
                <w:sz w:val="22"/>
                <w:szCs w:val="22"/>
              </w:rPr>
              <w:t>Implementing Agency</w:t>
            </w:r>
          </w:p>
        </w:tc>
        <w:tc>
          <w:tcPr>
            <w:tcW w:w="6120" w:type="dxa"/>
            <w:tcBorders>
              <w:top w:val="single" w:sz="4" w:space="0" w:color="auto"/>
              <w:left w:val="single" w:sz="4" w:space="0" w:color="auto"/>
              <w:bottom w:val="nil"/>
              <w:right w:val="single" w:sz="4" w:space="0" w:color="auto"/>
            </w:tcBorders>
          </w:tcPr>
          <w:p w:rsidR="008627D4" w:rsidRPr="00D620F9" w:rsidRDefault="008627D4">
            <w:pPr>
              <w:rPr>
                <w:sz w:val="22"/>
                <w:szCs w:val="22"/>
              </w:rPr>
            </w:pPr>
            <w:bookmarkStart w:id="7" w:name="IMPLEMENTINGAGENCY"/>
            <w:bookmarkEnd w:id="7"/>
          </w:p>
        </w:tc>
      </w:tr>
      <w:tr w:rsidR="000C24F3" w:rsidRPr="00D620F9" w:rsidTr="00876A71">
        <w:tc>
          <w:tcPr>
            <w:tcW w:w="3420" w:type="dxa"/>
            <w:tcBorders>
              <w:top w:val="single" w:sz="4" w:space="0" w:color="auto"/>
              <w:left w:val="single" w:sz="4" w:space="0" w:color="auto"/>
              <w:bottom w:val="single" w:sz="4" w:space="0" w:color="auto"/>
              <w:right w:val="single" w:sz="4" w:space="0" w:color="auto"/>
            </w:tcBorders>
          </w:tcPr>
          <w:p w:rsidR="000C24F3" w:rsidRPr="00D620F9" w:rsidRDefault="000C24F3">
            <w:pPr>
              <w:rPr>
                <w:b/>
                <w:bCs/>
                <w:sz w:val="22"/>
                <w:szCs w:val="22"/>
              </w:rPr>
            </w:pPr>
          </w:p>
        </w:tc>
        <w:tc>
          <w:tcPr>
            <w:tcW w:w="6120" w:type="dxa"/>
            <w:tcBorders>
              <w:top w:val="single" w:sz="4" w:space="0" w:color="auto"/>
              <w:left w:val="single" w:sz="4" w:space="0" w:color="auto"/>
              <w:bottom w:val="single" w:sz="4" w:space="0" w:color="auto"/>
              <w:right w:val="single" w:sz="4" w:space="0" w:color="auto"/>
            </w:tcBorders>
          </w:tcPr>
          <w:p w:rsidR="00CB5EF7" w:rsidRPr="00D620F9" w:rsidRDefault="00CB5EF7" w:rsidP="00CB5EF7">
            <w:pPr>
              <w:rPr>
                <w:sz w:val="22"/>
                <w:szCs w:val="22"/>
              </w:rPr>
            </w:pPr>
            <w:r w:rsidRPr="00D620F9">
              <w:rPr>
                <w:sz w:val="22"/>
                <w:szCs w:val="22"/>
              </w:rPr>
              <w:t>Ministry of Finance and Public Credit</w:t>
            </w:r>
          </w:p>
          <w:p w:rsidR="000C24F3" w:rsidRPr="00502949" w:rsidRDefault="000C24F3">
            <w:pPr>
              <w:rPr>
                <w:sz w:val="22"/>
                <w:szCs w:val="22"/>
              </w:rPr>
            </w:pPr>
          </w:p>
          <w:p w:rsidR="000C24F3" w:rsidRPr="00D620F9" w:rsidRDefault="000C24F3">
            <w:pPr>
              <w:rPr>
                <w:sz w:val="22"/>
                <w:szCs w:val="22"/>
                <w:lang w:val="es-ES"/>
              </w:rPr>
            </w:pPr>
            <w:r w:rsidRPr="00D620F9">
              <w:rPr>
                <w:sz w:val="22"/>
                <w:szCs w:val="22"/>
                <w:lang w:val="es-ES"/>
              </w:rPr>
              <w:t>Carrera 7 No. 6-40</w:t>
            </w:r>
          </w:p>
          <w:p w:rsidR="000C24F3" w:rsidRPr="00D620F9" w:rsidRDefault="000C24F3">
            <w:pPr>
              <w:rPr>
                <w:sz w:val="22"/>
                <w:szCs w:val="22"/>
                <w:lang w:val="es-ES"/>
              </w:rPr>
            </w:pPr>
            <w:proofErr w:type="spellStart"/>
            <w:r w:rsidRPr="00D620F9">
              <w:rPr>
                <w:sz w:val="22"/>
                <w:szCs w:val="22"/>
                <w:lang w:val="es-ES"/>
              </w:rPr>
              <w:t>Bogota</w:t>
            </w:r>
            <w:proofErr w:type="spellEnd"/>
          </w:p>
          <w:p w:rsidR="000C24F3" w:rsidRPr="00D620F9" w:rsidRDefault="000C24F3">
            <w:pPr>
              <w:rPr>
                <w:sz w:val="22"/>
                <w:szCs w:val="22"/>
                <w:lang w:val="es-ES"/>
              </w:rPr>
            </w:pPr>
            <w:r w:rsidRPr="00D620F9">
              <w:rPr>
                <w:sz w:val="22"/>
                <w:szCs w:val="22"/>
                <w:lang w:val="es-ES"/>
              </w:rPr>
              <w:t>Colombia</w:t>
            </w:r>
          </w:p>
          <w:p w:rsidR="000C24F3" w:rsidRPr="00D620F9" w:rsidRDefault="000C24F3">
            <w:pPr>
              <w:rPr>
                <w:sz w:val="22"/>
                <w:szCs w:val="22"/>
                <w:lang w:val="es-ES"/>
              </w:rPr>
            </w:pPr>
            <w:r w:rsidRPr="00D620F9">
              <w:rPr>
                <w:sz w:val="22"/>
                <w:szCs w:val="22"/>
                <w:lang w:val="es-ES"/>
              </w:rPr>
              <w:t>Tel: (57-1) 381-1700</w:t>
            </w:r>
            <w:r w:rsidRPr="00D620F9">
              <w:rPr>
                <w:sz w:val="22"/>
                <w:szCs w:val="22"/>
                <w:lang w:val="es-ES"/>
              </w:rPr>
              <w:tab/>
            </w:r>
          </w:p>
          <w:p w:rsidR="000C24F3" w:rsidRPr="00D620F9" w:rsidRDefault="00CB5EF7">
            <w:pPr>
              <w:rPr>
                <w:sz w:val="22"/>
                <w:szCs w:val="22"/>
              </w:rPr>
            </w:pPr>
            <w:r w:rsidRPr="00CB5EF7">
              <w:rPr>
                <w:sz w:val="22"/>
                <w:szCs w:val="22"/>
              </w:rPr>
              <w:t>lmondrag@minhacienda.gov.co</w:t>
            </w:r>
          </w:p>
        </w:tc>
        <w:bookmarkStart w:id="8" w:name="_GoBack"/>
        <w:bookmarkEnd w:id="8"/>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627D4">
            <w:pPr>
              <w:rPr>
                <w:b/>
                <w:bCs/>
                <w:sz w:val="22"/>
                <w:szCs w:val="22"/>
              </w:rPr>
            </w:pPr>
            <w:r w:rsidRPr="00D620F9">
              <w:rPr>
                <w:b/>
                <w:bCs/>
                <w:sz w:val="22"/>
                <w:szCs w:val="22"/>
              </w:rPr>
              <w:t>Date PID Prepared</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AE052E">
            <w:pPr>
              <w:rPr>
                <w:sz w:val="22"/>
                <w:szCs w:val="22"/>
              </w:rPr>
            </w:pPr>
            <w:bookmarkStart w:id="9" w:name="DATEPREPARED"/>
            <w:r>
              <w:rPr>
                <w:sz w:val="22"/>
                <w:szCs w:val="22"/>
              </w:rPr>
              <w:t>September 4</w:t>
            </w:r>
            <w:r w:rsidR="000C24F3" w:rsidRPr="00D620F9">
              <w:rPr>
                <w:sz w:val="22"/>
                <w:szCs w:val="22"/>
              </w:rPr>
              <w:t>, 2014</w:t>
            </w:r>
            <w:bookmarkEnd w:id="9"/>
          </w:p>
        </w:tc>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76A71">
            <w:pPr>
              <w:rPr>
                <w:b/>
                <w:bCs/>
                <w:sz w:val="22"/>
                <w:szCs w:val="22"/>
              </w:rPr>
            </w:pPr>
            <w:r w:rsidRPr="00D620F9">
              <w:rPr>
                <w:b/>
                <w:bCs/>
                <w:sz w:val="22"/>
                <w:szCs w:val="22"/>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0C24F3">
            <w:pPr>
              <w:rPr>
                <w:sz w:val="22"/>
                <w:szCs w:val="22"/>
              </w:rPr>
            </w:pPr>
            <w:bookmarkStart w:id="10" w:name="APPRAISALDATE"/>
            <w:r w:rsidRPr="00D620F9">
              <w:rPr>
                <w:sz w:val="22"/>
                <w:szCs w:val="22"/>
              </w:rPr>
              <w:t xml:space="preserve">September </w:t>
            </w:r>
            <w:r w:rsidR="00AE052E">
              <w:rPr>
                <w:sz w:val="22"/>
                <w:szCs w:val="22"/>
              </w:rPr>
              <w:t>22</w:t>
            </w:r>
            <w:r w:rsidRPr="00D620F9">
              <w:rPr>
                <w:sz w:val="22"/>
                <w:szCs w:val="22"/>
              </w:rPr>
              <w:t>, 2014</w:t>
            </w:r>
            <w:bookmarkEnd w:id="10"/>
            <w:r w:rsidR="00502949">
              <w:rPr>
                <w:sz w:val="22"/>
                <w:szCs w:val="22"/>
              </w:rPr>
              <w:t xml:space="preserve"> </w:t>
            </w:r>
          </w:p>
        </w:tc>
      </w:tr>
      <w:tr w:rsidR="008627D4" w:rsidRPr="00D620F9" w:rsidTr="00876A71">
        <w:tc>
          <w:tcPr>
            <w:tcW w:w="3420" w:type="dxa"/>
            <w:tcBorders>
              <w:top w:val="single" w:sz="4" w:space="0" w:color="auto"/>
              <w:left w:val="single" w:sz="4" w:space="0" w:color="auto"/>
              <w:bottom w:val="single" w:sz="4" w:space="0" w:color="auto"/>
              <w:right w:val="single" w:sz="4" w:space="0" w:color="auto"/>
            </w:tcBorders>
          </w:tcPr>
          <w:p w:rsidR="008627D4" w:rsidRPr="00D620F9" w:rsidRDefault="00876A71" w:rsidP="00876A71">
            <w:pPr>
              <w:rPr>
                <w:b/>
                <w:bCs/>
                <w:sz w:val="22"/>
                <w:szCs w:val="22"/>
              </w:rPr>
            </w:pPr>
            <w:r w:rsidRPr="00D620F9">
              <w:rPr>
                <w:b/>
                <w:bCs/>
                <w:sz w:val="22"/>
                <w:szCs w:val="22"/>
              </w:rPr>
              <w:t xml:space="preserve">Estimated </w:t>
            </w:r>
            <w:r w:rsidR="008627D4" w:rsidRPr="00D620F9">
              <w:rPr>
                <w:b/>
                <w:bCs/>
                <w:sz w:val="22"/>
                <w:szCs w:val="22"/>
              </w:rPr>
              <w:t>Date of Board Approval</w:t>
            </w:r>
          </w:p>
        </w:tc>
        <w:tc>
          <w:tcPr>
            <w:tcW w:w="6120" w:type="dxa"/>
            <w:tcBorders>
              <w:top w:val="single" w:sz="4" w:space="0" w:color="auto"/>
              <w:left w:val="single" w:sz="4" w:space="0" w:color="auto"/>
              <w:bottom w:val="single" w:sz="4" w:space="0" w:color="auto"/>
              <w:right w:val="single" w:sz="4" w:space="0" w:color="auto"/>
            </w:tcBorders>
          </w:tcPr>
          <w:p w:rsidR="008627D4" w:rsidRPr="00D620F9" w:rsidRDefault="000C24F3">
            <w:pPr>
              <w:rPr>
                <w:sz w:val="22"/>
                <w:szCs w:val="22"/>
              </w:rPr>
            </w:pPr>
            <w:bookmarkStart w:id="11" w:name="BOARDAPPROVALDATE"/>
            <w:r w:rsidRPr="00D620F9">
              <w:rPr>
                <w:sz w:val="22"/>
                <w:szCs w:val="22"/>
              </w:rPr>
              <w:t>November 20, 2014</w:t>
            </w:r>
            <w:bookmarkEnd w:id="11"/>
          </w:p>
        </w:tc>
      </w:tr>
      <w:tr w:rsidR="00876A71" w:rsidRPr="00D620F9" w:rsidTr="00876A71">
        <w:tc>
          <w:tcPr>
            <w:tcW w:w="3420" w:type="dxa"/>
            <w:tcBorders>
              <w:top w:val="single" w:sz="4" w:space="0" w:color="auto"/>
              <w:left w:val="single" w:sz="4" w:space="0" w:color="auto"/>
              <w:bottom w:val="single" w:sz="4" w:space="0" w:color="auto"/>
              <w:right w:val="single" w:sz="4" w:space="0" w:color="auto"/>
            </w:tcBorders>
          </w:tcPr>
          <w:p w:rsidR="00876A71" w:rsidRPr="00D620F9" w:rsidRDefault="00876A71" w:rsidP="00876A71">
            <w:pPr>
              <w:rPr>
                <w:b/>
                <w:bCs/>
                <w:sz w:val="22"/>
                <w:szCs w:val="22"/>
              </w:rPr>
            </w:pPr>
            <w:r w:rsidRPr="00D620F9">
              <w:rPr>
                <w:b/>
                <w:bCs/>
                <w:sz w:val="22"/>
                <w:szCs w:val="22"/>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876A71" w:rsidRPr="00502949" w:rsidRDefault="000B2F2F" w:rsidP="00876A71">
            <w:pPr>
              <w:rPr>
                <w:sz w:val="22"/>
                <w:szCs w:val="22"/>
              </w:rPr>
            </w:pPr>
            <w:r w:rsidRPr="00502949">
              <w:rPr>
                <w:sz w:val="22"/>
                <w:szCs w:val="22"/>
              </w:rPr>
              <w:t>TBD</w:t>
            </w:r>
          </w:p>
        </w:tc>
      </w:tr>
    </w:tbl>
    <w:p w:rsidR="008627D4" w:rsidRPr="00D620F9" w:rsidRDefault="008627D4">
      <w:pPr>
        <w:rPr>
          <w:sz w:val="22"/>
          <w:szCs w:val="22"/>
        </w:rPr>
      </w:pPr>
    </w:p>
    <w:p w:rsidR="004239CB" w:rsidRPr="00D620F9" w:rsidRDefault="004239CB" w:rsidP="004239CB">
      <w:pPr>
        <w:numPr>
          <w:ilvl w:val="0"/>
          <w:numId w:val="7"/>
        </w:numPr>
        <w:rPr>
          <w:b/>
          <w:i/>
          <w:sz w:val="22"/>
          <w:szCs w:val="22"/>
        </w:rPr>
      </w:pPr>
      <w:r w:rsidRPr="00D620F9">
        <w:rPr>
          <w:b/>
          <w:sz w:val="22"/>
          <w:szCs w:val="22"/>
        </w:rPr>
        <w:t xml:space="preserve">Country and Sector Background </w:t>
      </w:r>
    </w:p>
    <w:p w:rsidR="00B724CC" w:rsidRDefault="00B724CC" w:rsidP="00B724CC">
      <w:pPr>
        <w:pStyle w:val="ListParagraph"/>
        <w:ind w:left="0"/>
        <w:jc w:val="both"/>
        <w:rPr>
          <w:iCs/>
          <w:sz w:val="22"/>
          <w:szCs w:val="22"/>
        </w:rPr>
      </w:pPr>
    </w:p>
    <w:p w:rsidR="00B724CC" w:rsidRPr="00D620F9" w:rsidRDefault="00B724CC" w:rsidP="00D620F9">
      <w:pPr>
        <w:pStyle w:val="ListParagraph"/>
        <w:ind w:left="0"/>
        <w:contextualSpacing w:val="0"/>
        <w:jc w:val="both"/>
        <w:rPr>
          <w:iCs/>
          <w:sz w:val="22"/>
          <w:szCs w:val="22"/>
        </w:rPr>
      </w:pPr>
      <w:r w:rsidRPr="00D620F9">
        <w:rPr>
          <w:b/>
          <w:sz w:val="22"/>
          <w:szCs w:val="22"/>
        </w:rPr>
        <w:t>Colombia’s strong economic performance has contributed to poverty reduction and shared prosperity</w:t>
      </w:r>
      <w:r w:rsidR="00856C3A">
        <w:rPr>
          <w:b/>
          <w:sz w:val="22"/>
          <w:szCs w:val="22"/>
        </w:rPr>
        <w:t xml:space="preserve"> in the last decade</w:t>
      </w:r>
      <w:r w:rsidRPr="00D620F9">
        <w:rPr>
          <w:b/>
          <w:sz w:val="22"/>
          <w:szCs w:val="22"/>
        </w:rPr>
        <w:t>.</w:t>
      </w:r>
      <w:r w:rsidR="00D620F9">
        <w:rPr>
          <w:b/>
          <w:sz w:val="22"/>
          <w:szCs w:val="22"/>
        </w:rPr>
        <w:t xml:space="preserve"> </w:t>
      </w:r>
      <w:r w:rsidRPr="00D620F9">
        <w:rPr>
          <w:sz w:val="22"/>
          <w:szCs w:val="22"/>
        </w:rPr>
        <w:t xml:space="preserve">According to </w:t>
      </w:r>
      <w:r w:rsidRPr="00D620F9">
        <w:rPr>
          <w:spacing w:val="-2"/>
          <w:sz w:val="22"/>
          <w:szCs w:val="22"/>
        </w:rPr>
        <w:t>Colombia’s official poverty line</w:t>
      </w:r>
      <w:r w:rsidRPr="00D620F9">
        <w:rPr>
          <w:rStyle w:val="FootnoteReference"/>
          <w:spacing w:val="-2"/>
          <w:sz w:val="22"/>
          <w:szCs w:val="22"/>
        </w:rPr>
        <w:footnoteReference w:id="1"/>
      </w:r>
      <w:r w:rsidRPr="00D620F9">
        <w:rPr>
          <w:spacing w:val="-2"/>
          <w:sz w:val="22"/>
          <w:szCs w:val="22"/>
        </w:rPr>
        <w:t xml:space="preserve"> poverty rates decreased significantly in the last decade (from 49.7 to 30.6 percent between 2002 and 2013). Poverty reduction has been accompanied by progress in shared prosperity, with the income growth of the bottom 40 percent of the population reaching 7.9 percent over the period 2008-2012 compared to 5.2 percent </w:t>
      </w:r>
      <w:r w:rsidRPr="00D620F9">
        <w:rPr>
          <w:spacing w:val="-4"/>
          <w:sz w:val="22"/>
          <w:szCs w:val="22"/>
        </w:rPr>
        <w:t xml:space="preserve">for the total population. </w:t>
      </w:r>
      <w:r w:rsidRPr="00D620F9">
        <w:rPr>
          <w:sz w:val="22"/>
          <w:szCs w:val="22"/>
        </w:rPr>
        <w:t xml:space="preserve">These trends are mostly explained by sustained economic growth. More than 60 percent of the poverty reduction over the last decade is explained by income growth and labor market participation. The unemployment rate fell (from 15.6 percent in 2002 to 9.6 percent in 2013) while the overall participation rate increased (from 62.3 to 64.2 percent in the same period), but Colombia’s labor market outcomes remain much worse than the LAC average (6.5 percent unemployment and 71 percent participation rate). </w:t>
      </w:r>
    </w:p>
    <w:p w:rsidR="00B724CC" w:rsidRPr="00D620F9" w:rsidRDefault="00B724CC" w:rsidP="00B724CC">
      <w:pPr>
        <w:pStyle w:val="ListParagraph"/>
        <w:ind w:left="0"/>
        <w:jc w:val="both"/>
        <w:rPr>
          <w:iCs/>
          <w:sz w:val="22"/>
          <w:szCs w:val="22"/>
        </w:rPr>
      </w:pPr>
    </w:p>
    <w:p w:rsidR="00B724CC" w:rsidRPr="00D620F9" w:rsidRDefault="00B724CC" w:rsidP="00D620F9">
      <w:pPr>
        <w:pStyle w:val="ListParagraph"/>
        <w:ind w:left="0"/>
        <w:contextualSpacing w:val="0"/>
        <w:jc w:val="both"/>
        <w:rPr>
          <w:iCs/>
          <w:sz w:val="22"/>
          <w:szCs w:val="22"/>
        </w:rPr>
      </w:pPr>
      <w:r w:rsidRPr="00D620F9">
        <w:rPr>
          <w:b/>
          <w:sz w:val="22"/>
          <w:szCs w:val="22"/>
        </w:rPr>
        <w:t>Colombia</w:t>
      </w:r>
      <w:r w:rsidR="000B2F2F">
        <w:rPr>
          <w:b/>
          <w:sz w:val="22"/>
          <w:szCs w:val="22"/>
        </w:rPr>
        <w:t xml:space="preserve"> has</w:t>
      </w:r>
      <w:r w:rsidRPr="00D620F9">
        <w:rPr>
          <w:b/>
          <w:sz w:val="22"/>
          <w:szCs w:val="22"/>
        </w:rPr>
        <w:t xml:space="preserve"> consolidated its position among the top performers in Latin America</w:t>
      </w:r>
      <w:r w:rsidR="00856C3A">
        <w:rPr>
          <w:b/>
          <w:sz w:val="22"/>
          <w:szCs w:val="22"/>
        </w:rPr>
        <w:t xml:space="preserve"> (LAC)</w:t>
      </w:r>
      <w:r w:rsidRPr="00D620F9">
        <w:rPr>
          <w:b/>
          <w:sz w:val="22"/>
          <w:szCs w:val="22"/>
        </w:rPr>
        <w:t xml:space="preserve">, helped by </w:t>
      </w:r>
      <w:r w:rsidR="00856C3A">
        <w:rPr>
          <w:b/>
          <w:sz w:val="22"/>
          <w:szCs w:val="22"/>
        </w:rPr>
        <w:t>macro stability reforms</w:t>
      </w:r>
      <w:r w:rsidR="00856C3A" w:rsidRPr="00D620F9">
        <w:rPr>
          <w:b/>
          <w:sz w:val="22"/>
          <w:szCs w:val="22"/>
        </w:rPr>
        <w:t xml:space="preserve"> </w:t>
      </w:r>
      <w:r w:rsidRPr="00D620F9">
        <w:rPr>
          <w:b/>
          <w:sz w:val="22"/>
          <w:szCs w:val="22"/>
        </w:rPr>
        <w:t xml:space="preserve">and </w:t>
      </w:r>
      <w:r w:rsidR="00856C3A">
        <w:rPr>
          <w:b/>
          <w:sz w:val="22"/>
          <w:szCs w:val="22"/>
        </w:rPr>
        <w:t xml:space="preserve">a favorable </w:t>
      </w:r>
      <w:r w:rsidRPr="00D620F9">
        <w:rPr>
          <w:b/>
          <w:sz w:val="22"/>
          <w:szCs w:val="22"/>
        </w:rPr>
        <w:t xml:space="preserve">external </w:t>
      </w:r>
      <w:r w:rsidR="00856C3A">
        <w:rPr>
          <w:b/>
          <w:sz w:val="22"/>
          <w:szCs w:val="22"/>
        </w:rPr>
        <w:t>environment</w:t>
      </w:r>
      <w:r w:rsidRPr="00D620F9">
        <w:rPr>
          <w:b/>
          <w:sz w:val="22"/>
          <w:szCs w:val="22"/>
        </w:rPr>
        <w:t xml:space="preserve">. </w:t>
      </w:r>
      <w:r w:rsidRPr="00D620F9">
        <w:rPr>
          <w:sz w:val="22"/>
          <w:szCs w:val="22"/>
        </w:rPr>
        <w:t xml:space="preserve">Colombia’s sound macroeconomic management, based on a combination of its inflation targeting regime, floating exchange rate, and a strong track record of fiscal reforms, has helped the country weather the global financial crisis and sustain relatively high growth rates in its wake. Colombia’s performance has also benefited from a favorable external environment. The country received large capital inflows, taking advantage of abundant </w:t>
      </w:r>
      <w:r w:rsidRPr="00D620F9">
        <w:rPr>
          <w:sz w:val="22"/>
          <w:szCs w:val="22"/>
        </w:rPr>
        <w:lastRenderedPageBreak/>
        <w:t>international liquidity. High commodity prices contributed to an expansion of extractive industries production and exports as well as fiscal revenues, having important implications for growth. Colombia had an average growth rate of 5.4 percent prior to the global crisis (2004-08) and during recovery (2010-11), helping close the country’s per capita income gap with top LAC economies and high income (OECD) countries. However, growth slowed down in the last two years as the external environment started to change.</w:t>
      </w:r>
    </w:p>
    <w:p w:rsidR="00FF4FC0" w:rsidRPr="00D620F9" w:rsidRDefault="00FF4FC0" w:rsidP="00B724CC">
      <w:pPr>
        <w:pStyle w:val="ListParagraph"/>
        <w:ind w:left="0"/>
        <w:jc w:val="both"/>
        <w:rPr>
          <w:iCs/>
          <w:sz w:val="22"/>
          <w:szCs w:val="22"/>
        </w:rPr>
      </w:pPr>
    </w:p>
    <w:p w:rsidR="00B724CC" w:rsidRPr="00D620F9" w:rsidRDefault="00B724CC" w:rsidP="00D620F9">
      <w:pPr>
        <w:pStyle w:val="ListParagraph"/>
        <w:ind w:left="0"/>
        <w:contextualSpacing w:val="0"/>
        <w:jc w:val="both"/>
        <w:rPr>
          <w:iCs/>
          <w:sz w:val="22"/>
          <w:szCs w:val="22"/>
        </w:rPr>
      </w:pPr>
      <w:r w:rsidRPr="00D620F9">
        <w:rPr>
          <w:b/>
          <w:sz w:val="22"/>
          <w:szCs w:val="22"/>
        </w:rPr>
        <w:t>Going forward, Colombia will have to rely on its ability to address structural bottlenecks in order to sustain</w:t>
      </w:r>
      <w:r w:rsidR="00856C3A">
        <w:rPr>
          <w:b/>
          <w:sz w:val="22"/>
          <w:szCs w:val="22"/>
        </w:rPr>
        <w:t xml:space="preserve"> high</w:t>
      </w:r>
      <w:r w:rsidRPr="00D620F9">
        <w:rPr>
          <w:b/>
          <w:sz w:val="22"/>
          <w:szCs w:val="22"/>
        </w:rPr>
        <w:t xml:space="preserve"> growth, speed up convergence</w:t>
      </w:r>
      <w:r w:rsidR="003442FB">
        <w:rPr>
          <w:b/>
          <w:sz w:val="22"/>
          <w:szCs w:val="22"/>
        </w:rPr>
        <w:t xml:space="preserve"> in standards of li</w:t>
      </w:r>
      <w:r w:rsidR="00856C3A">
        <w:rPr>
          <w:b/>
          <w:sz w:val="22"/>
          <w:szCs w:val="22"/>
        </w:rPr>
        <w:t>ving</w:t>
      </w:r>
      <w:r w:rsidRPr="00D620F9">
        <w:rPr>
          <w:b/>
          <w:sz w:val="22"/>
          <w:szCs w:val="22"/>
        </w:rPr>
        <w:t xml:space="preserve">. </w:t>
      </w:r>
      <w:r w:rsidR="00856C3A" w:rsidRPr="00502949">
        <w:rPr>
          <w:sz w:val="22"/>
          <w:szCs w:val="22"/>
        </w:rPr>
        <w:t xml:space="preserve">Favorable external conditions, i.e. “tailwinds”, are expected to recede. </w:t>
      </w:r>
      <w:r w:rsidRPr="00D620F9">
        <w:rPr>
          <w:sz w:val="22"/>
          <w:szCs w:val="22"/>
        </w:rPr>
        <w:t xml:space="preserve">As international investment conditions deteriorate and commodity prices stagnate, economic growth will depend more on Colombian firms’ ability to effectively produce and sell goods and services. In this context, addressing structural bottlenecks to economic growth will yield important dividends. In particular, closing Colombia’s gap with top performers in the LAC region and OECD with respect to physical capital, labor and human capital standards, as well as productivity, particularly innovation and regulatory environment for business, would help sustain the high levels of growth, poverty reduction and shared prosperity enjoyed over the last decade. It would also continue promoting a convergence in living standards between Colombia and this set of countries. </w:t>
      </w:r>
    </w:p>
    <w:p w:rsidR="00FF4FC0" w:rsidRPr="00D620F9" w:rsidRDefault="00FF4FC0" w:rsidP="00B724CC">
      <w:pPr>
        <w:pStyle w:val="ListParagraph"/>
        <w:ind w:left="0"/>
        <w:jc w:val="both"/>
        <w:rPr>
          <w:iCs/>
          <w:sz w:val="22"/>
          <w:szCs w:val="22"/>
        </w:rPr>
      </w:pPr>
    </w:p>
    <w:p w:rsidR="00B724CC" w:rsidRPr="00D620F9" w:rsidRDefault="00B724CC" w:rsidP="00D620F9">
      <w:pPr>
        <w:pStyle w:val="ListParagraph"/>
        <w:ind w:left="0"/>
        <w:contextualSpacing w:val="0"/>
        <w:jc w:val="both"/>
        <w:rPr>
          <w:i/>
          <w:iCs/>
          <w:color w:val="000000"/>
          <w:sz w:val="22"/>
          <w:szCs w:val="22"/>
        </w:rPr>
      </w:pPr>
      <w:r w:rsidRPr="00D620F9">
        <w:rPr>
          <w:b/>
          <w:sz w:val="22"/>
          <w:szCs w:val="22"/>
        </w:rPr>
        <w:t xml:space="preserve">Colombia faces a number of structural bottlenecks limiting Colombia’s long term growth performance. </w:t>
      </w:r>
      <w:r w:rsidRPr="00D620F9">
        <w:rPr>
          <w:sz w:val="22"/>
          <w:szCs w:val="22"/>
        </w:rPr>
        <w:t>Bottlenecks include financial markets development (in particular financing for investment in infrastructure and physical capital by firms),</w:t>
      </w:r>
      <w:r w:rsidRPr="00D620F9">
        <w:rPr>
          <w:b/>
          <w:sz w:val="22"/>
          <w:szCs w:val="22"/>
        </w:rPr>
        <w:t xml:space="preserve"> </w:t>
      </w:r>
      <w:r w:rsidRPr="00D620F9">
        <w:rPr>
          <w:sz w:val="22"/>
          <w:szCs w:val="22"/>
        </w:rPr>
        <w:t>low levels of human capital and skill mismatches, limited innovation,</w:t>
      </w:r>
      <w:r w:rsidRPr="00D620F9">
        <w:rPr>
          <w:b/>
          <w:sz w:val="22"/>
          <w:szCs w:val="22"/>
        </w:rPr>
        <w:t xml:space="preserve"> </w:t>
      </w:r>
      <w:r w:rsidRPr="00D620F9">
        <w:rPr>
          <w:sz w:val="22"/>
          <w:szCs w:val="22"/>
        </w:rPr>
        <w:t>restrictive business and labor regulations,</w:t>
      </w:r>
      <w:r w:rsidRPr="00D620F9">
        <w:rPr>
          <w:b/>
          <w:sz w:val="22"/>
          <w:szCs w:val="22"/>
        </w:rPr>
        <w:t xml:space="preserve"> </w:t>
      </w:r>
      <w:r w:rsidRPr="00D620F9">
        <w:rPr>
          <w:sz w:val="22"/>
          <w:szCs w:val="22"/>
        </w:rPr>
        <w:t>limited international trade, and impacts of the armed conflict.</w:t>
      </w:r>
      <w:r w:rsidRPr="00D620F9">
        <w:rPr>
          <w:rStyle w:val="FootnoteReference"/>
          <w:sz w:val="22"/>
          <w:szCs w:val="22"/>
        </w:rPr>
        <w:footnoteReference w:id="2"/>
      </w:r>
      <w:r w:rsidRPr="00D620F9">
        <w:rPr>
          <w:sz w:val="22"/>
          <w:szCs w:val="22"/>
        </w:rPr>
        <w:t xml:space="preserve"> </w:t>
      </w:r>
      <w:r w:rsidR="00856C3A">
        <w:rPr>
          <w:sz w:val="22"/>
          <w:szCs w:val="22"/>
        </w:rPr>
        <w:t xml:space="preserve">In most of these areas, Colombia presents a significant performance gap with respect to top LAC economies and OECD countries. Addressing those gaps is critical to sustain </w:t>
      </w:r>
      <w:r w:rsidR="003442FB">
        <w:rPr>
          <w:sz w:val="22"/>
          <w:szCs w:val="22"/>
        </w:rPr>
        <w:t>high growth rates, continue social gains and speed up convergence in standards of living.</w:t>
      </w:r>
    </w:p>
    <w:p w:rsidR="00B724CC" w:rsidRPr="00D620F9" w:rsidRDefault="00B724CC" w:rsidP="00B724CC">
      <w:pPr>
        <w:pStyle w:val="ListParagraph"/>
        <w:ind w:left="0"/>
        <w:jc w:val="both"/>
        <w:rPr>
          <w:iCs/>
          <w:sz w:val="22"/>
          <w:szCs w:val="22"/>
        </w:rPr>
      </w:pPr>
    </w:p>
    <w:p w:rsidR="004239CB" w:rsidRPr="00D620F9" w:rsidRDefault="004239CB" w:rsidP="004239CB">
      <w:pPr>
        <w:numPr>
          <w:ilvl w:val="0"/>
          <w:numId w:val="7"/>
        </w:numPr>
        <w:rPr>
          <w:b/>
          <w:sz w:val="22"/>
          <w:szCs w:val="22"/>
        </w:rPr>
      </w:pPr>
      <w:r w:rsidRPr="00D620F9">
        <w:rPr>
          <w:b/>
          <w:sz w:val="22"/>
          <w:szCs w:val="22"/>
        </w:rPr>
        <w:t>Operation Objectives</w:t>
      </w:r>
    </w:p>
    <w:p w:rsidR="00D620F9" w:rsidRDefault="00D620F9" w:rsidP="00D620F9">
      <w:pPr>
        <w:pStyle w:val="ListParagraph"/>
        <w:ind w:left="0"/>
        <w:contextualSpacing w:val="0"/>
        <w:jc w:val="both"/>
        <w:rPr>
          <w:b/>
          <w:iCs/>
          <w:sz w:val="22"/>
          <w:szCs w:val="22"/>
        </w:rPr>
      </w:pPr>
    </w:p>
    <w:p w:rsidR="00B724CC" w:rsidRPr="00D620F9" w:rsidRDefault="00D620F9" w:rsidP="00D620F9">
      <w:pPr>
        <w:pStyle w:val="ListParagraph"/>
        <w:ind w:left="0"/>
        <w:contextualSpacing w:val="0"/>
        <w:jc w:val="both"/>
        <w:rPr>
          <w:sz w:val="22"/>
          <w:szCs w:val="22"/>
        </w:rPr>
      </w:pPr>
      <w:r w:rsidRPr="00D620F9">
        <w:rPr>
          <w:b/>
          <w:iCs/>
          <w:sz w:val="22"/>
          <w:szCs w:val="22"/>
        </w:rPr>
        <w:t xml:space="preserve">The first programmatic sustained growth and income convergence development policy loan (DPL) supports the Colombian government’s efforts to sustain </w:t>
      </w:r>
      <w:r w:rsidR="003442FB">
        <w:rPr>
          <w:b/>
          <w:iCs/>
          <w:sz w:val="22"/>
          <w:szCs w:val="22"/>
        </w:rPr>
        <w:t>long-term</w:t>
      </w:r>
      <w:r w:rsidRPr="00D620F9">
        <w:rPr>
          <w:b/>
          <w:iCs/>
          <w:sz w:val="22"/>
          <w:szCs w:val="22"/>
        </w:rPr>
        <w:t xml:space="preserve"> growth and increase productivity.</w:t>
      </w:r>
      <w:r w:rsidRPr="00D620F9">
        <w:rPr>
          <w:iCs/>
          <w:sz w:val="22"/>
          <w:szCs w:val="22"/>
        </w:rPr>
        <w:t xml:space="preserve"> The DPL is the first in a series of two single tranche operations supporting a program of structural reforms to promote long term growth. The program seeks to address key </w:t>
      </w:r>
      <w:r w:rsidR="003442FB">
        <w:rPr>
          <w:iCs/>
          <w:sz w:val="22"/>
          <w:szCs w:val="22"/>
        </w:rPr>
        <w:t xml:space="preserve">structural </w:t>
      </w:r>
      <w:r w:rsidRPr="00D620F9">
        <w:rPr>
          <w:iCs/>
          <w:sz w:val="22"/>
          <w:szCs w:val="22"/>
        </w:rPr>
        <w:t xml:space="preserve">bottlenecks to growth and </w:t>
      </w:r>
      <w:r w:rsidR="003442FB">
        <w:rPr>
          <w:iCs/>
          <w:sz w:val="22"/>
          <w:szCs w:val="22"/>
        </w:rPr>
        <w:t xml:space="preserve">convergence, and help close </w:t>
      </w:r>
      <w:r w:rsidRPr="00D620F9">
        <w:rPr>
          <w:iCs/>
          <w:sz w:val="22"/>
          <w:szCs w:val="22"/>
        </w:rPr>
        <w:t xml:space="preserve">productivity </w:t>
      </w:r>
      <w:r w:rsidR="003442FB">
        <w:rPr>
          <w:iCs/>
          <w:sz w:val="22"/>
          <w:szCs w:val="22"/>
        </w:rPr>
        <w:t xml:space="preserve">and efficiency gaps with higher income countries.  For this purposed the supported program addresses issues </w:t>
      </w:r>
      <w:r w:rsidRPr="00D620F9">
        <w:rPr>
          <w:iCs/>
          <w:sz w:val="22"/>
          <w:szCs w:val="22"/>
        </w:rPr>
        <w:t>such as access to financing for investment in infrastructure and physical capital by firms, human capital accumulation and skill mismatches, limited innovation and managerial expertise in private firms, and the need for trade facilitation.</w:t>
      </w:r>
      <w:r w:rsidRPr="00D620F9">
        <w:rPr>
          <w:rStyle w:val="FootnoteReference"/>
          <w:iCs/>
          <w:sz w:val="22"/>
          <w:szCs w:val="22"/>
        </w:rPr>
        <w:footnoteReference w:id="3"/>
      </w:r>
      <w:r w:rsidRPr="00D620F9">
        <w:rPr>
          <w:iCs/>
          <w:sz w:val="22"/>
          <w:szCs w:val="22"/>
        </w:rPr>
        <w:t xml:space="preserve"> </w:t>
      </w:r>
      <w:r w:rsidR="000B2F2F">
        <w:rPr>
          <w:iCs/>
          <w:sz w:val="22"/>
          <w:szCs w:val="22"/>
        </w:rPr>
        <w:t>Thus, t</w:t>
      </w:r>
      <w:r w:rsidR="00B724CC" w:rsidRPr="00D620F9">
        <w:rPr>
          <w:iCs/>
          <w:sz w:val="22"/>
          <w:szCs w:val="22"/>
        </w:rPr>
        <w:t>he program development objective is to promote growth and income convergence with top LAC and OECD countries by fostering solution to close gaps in infrastructure and firm financing, improving quality and allocation of productive skills and increasing productivity through innovation and efficiency business regulations.</w:t>
      </w:r>
    </w:p>
    <w:p w:rsidR="00502949" w:rsidRDefault="00502949" w:rsidP="000B2F2F">
      <w:pPr>
        <w:keepNext/>
        <w:jc w:val="both"/>
        <w:rPr>
          <w:b/>
          <w:iCs/>
          <w:sz w:val="22"/>
          <w:szCs w:val="22"/>
        </w:rPr>
      </w:pPr>
    </w:p>
    <w:p w:rsidR="00B724CC" w:rsidRPr="00D620F9" w:rsidRDefault="00B724CC" w:rsidP="000B2F2F">
      <w:pPr>
        <w:keepNext/>
        <w:jc w:val="both"/>
        <w:rPr>
          <w:iCs/>
          <w:sz w:val="22"/>
          <w:szCs w:val="22"/>
        </w:rPr>
      </w:pPr>
      <w:r w:rsidRPr="00D620F9">
        <w:rPr>
          <w:b/>
          <w:iCs/>
          <w:sz w:val="22"/>
          <w:szCs w:val="22"/>
        </w:rPr>
        <w:t xml:space="preserve">The Programmatic Sustained Growth and Income Convergence Development Policy </w:t>
      </w:r>
      <w:r w:rsidR="000B2F2F">
        <w:rPr>
          <w:b/>
          <w:iCs/>
          <w:sz w:val="22"/>
          <w:szCs w:val="22"/>
        </w:rPr>
        <w:t>Loans</w:t>
      </w:r>
      <w:r w:rsidRPr="00D620F9">
        <w:rPr>
          <w:b/>
          <w:iCs/>
          <w:sz w:val="22"/>
          <w:szCs w:val="22"/>
        </w:rPr>
        <w:t xml:space="preserve"> contribute to Colombia’s growth and convergence agenda by supporting the implementation of policy reforms in three main areas:</w:t>
      </w:r>
      <w:r w:rsidRPr="00D620F9">
        <w:rPr>
          <w:iCs/>
          <w:sz w:val="22"/>
          <w:szCs w:val="22"/>
        </w:rPr>
        <w:t xml:space="preserve"> (Pillar 1) fostering solutions to develop infrastructure financing and increasing access to finance for firms; (Pillar 2) improving the quality and allocation of productive skills; (Pillar 3) increasing productivity by promoting innovation and an efficient regulatory environment.</w:t>
      </w:r>
      <w:r w:rsidR="00D620F9" w:rsidRPr="00D620F9">
        <w:rPr>
          <w:iCs/>
          <w:sz w:val="22"/>
          <w:szCs w:val="22"/>
        </w:rPr>
        <w:t xml:space="preserve"> </w:t>
      </w:r>
      <w:r w:rsidRPr="00D620F9">
        <w:rPr>
          <w:sz w:val="22"/>
          <w:szCs w:val="22"/>
        </w:rPr>
        <w:t xml:space="preserve">The policy areas supported by this </w:t>
      </w:r>
      <w:r w:rsidR="00FF4FC0">
        <w:rPr>
          <w:sz w:val="22"/>
          <w:szCs w:val="22"/>
        </w:rPr>
        <w:t xml:space="preserve">first </w:t>
      </w:r>
      <w:r w:rsidRPr="00D620F9">
        <w:rPr>
          <w:sz w:val="22"/>
          <w:szCs w:val="22"/>
        </w:rPr>
        <w:t xml:space="preserve">DPL </w:t>
      </w:r>
      <w:r w:rsidR="00CB74EC" w:rsidRPr="00D620F9">
        <w:rPr>
          <w:sz w:val="22"/>
          <w:szCs w:val="22"/>
        </w:rPr>
        <w:t>and</w:t>
      </w:r>
      <w:r w:rsidR="00D620F9" w:rsidRPr="00D620F9">
        <w:rPr>
          <w:sz w:val="22"/>
          <w:szCs w:val="22"/>
        </w:rPr>
        <w:t xml:space="preserve"> the</w:t>
      </w:r>
      <w:r w:rsidR="00CB74EC" w:rsidRPr="00D620F9">
        <w:rPr>
          <w:sz w:val="22"/>
          <w:szCs w:val="22"/>
        </w:rPr>
        <w:t xml:space="preserve"> </w:t>
      </w:r>
      <w:r w:rsidRPr="00D620F9">
        <w:rPr>
          <w:sz w:val="22"/>
          <w:szCs w:val="22"/>
        </w:rPr>
        <w:t>prior actions</w:t>
      </w:r>
      <w:r w:rsidR="00D620F9" w:rsidRPr="00D620F9">
        <w:rPr>
          <w:sz w:val="22"/>
          <w:szCs w:val="22"/>
        </w:rPr>
        <w:t xml:space="preserve"> under each pillar</w:t>
      </w:r>
      <w:r w:rsidRPr="00D620F9">
        <w:rPr>
          <w:sz w:val="22"/>
          <w:szCs w:val="22"/>
        </w:rPr>
        <w:t xml:space="preserve"> are described in the table below:</w:t>
      </w:r>
    </w:p>
    <w:p w:rsidR="00CB74EC" w:rsidRPr="00D620F9" w:rsidRDefault="00CB74EC" w:rsidP="00B724CC">
      <w:pPr>
        <w:pStyle w:val="Body"/>
        <w:numPr>
          <w:ilvl w:val="0"/>
          <w:numId w:val="0"/>
        </w:numPr>
        <w:rPr>
          <w:sz w:val="22"/>
          <w:szCs w:val="22"/>
        </w:rPr>
      </w:pPr>
    </w:p>
    <w:tbl>
      <w:tblPr>
        <w:tblW w:w="8925" w:type="dxa"/>
        <w:tblInd w:w="93" w:type="dxa"/>
        <w:tblLook w:val="04A0" w:firstRow="1" w:lastRow="0" w:firstColumn="1" w:lastColumn="0" w:noHBand="0" w:noVBand="1"/>
      </w:tblPr>
      <w:tblGrid>
        <w:gridCol w:w="2895"/>
        <w:gridCol w:w="6030"/>
      </w:tblGrid>
      <w:tr w:rsidR="00CB74EC" w:rsidRPr="00D620F9" w:rsidTr="00CB74EC">
        <w:trPr>
          <w:trHeight w:val="315"/>
        </w:trPr>
        <w:tc>
          <w:tcPr>
            <w:tcW w:w="289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CB74EC" w:rsidRPr="00D620F9" w:rsidRDefault="00CB74EC">
            <w:pPr>
              <w:jc w:val="center"/>
              <w:rPr>
                <w:b/>
                <w:bCs/>
                <w:color w:val="000000"/>
                <w:sz w:val="20"/>
                <w:szCs w:val="22"/>
              </w:rPr>
            </w:pPr>
            <w:r w:rsidRPr="00D620F9">
              <w:rPr>
                <w:b/>
                <w:bCs/>
                <w:color w:val="000000"/>
                <w:sz w:val="20"/>
                <w:szCs w:val="22"/>
              </w:rPr>
              <w:t>Objective</w:t>
            </w:r>
          </w:p>
        </w:tc>
        <w:tc>
          <w:tcPr>
            <w:tcW w:w="6030" w:type="dxa"/>
            <w:tcBorders>
              <w:top w:val="single" w:sz="8" w:space="0" w:color="auto"/>
              <w:left w:val="nil"/>
              <w:bottom w:val="single" w:sz="8" w:space="0" w:color="000000"/>
              <w:right w:val="single" w:sz="8" w:space="0" w:color="auto"/>
            </w:tcBorders>
            <w:shd w:val="clear" w:color="000000" w:fill="FFFFFF"/>
            <w:vAlign w:val="center"/>
            <w:hideMark/>
          </w:tcPr>
          <w:p w:rsidR="00CB74EC" w:rsidRPr="00D620F9" w:rsidRDefault="00CB74EC">
            <w:pPr>
              <w:jc w:val="center"/>
              <w:rPr>
                <w:b/>
                <w:bCs/>
                <w:color w:val="000000"/>
                <w:sz w:val="20"/>
                <w:szCs w:val="22"/>
              </w:rPr>
            </w:pPr>
            <w:r w:rsidRPr="00D620F9">
              <w:rPr>
                <w:b/>
                <w:bCs/>
                <w:color w:val="000000"/>
                <w:sz w:val="20"/>
                <w:szCs w:val="22"/>
              </w:rPr>
              <w:t>Prior Actions under DP</w:t>
            </w:r>
            <w:r w:rsidR="00FF4FC0">
              <w:rPr>
                <w:b/>
                <w:bCs/>
                <w:color w:val="000000"/>
                <w:sz w:val="20"/>
                <w:szCs w:val="22"/>
              </w:rPr>
              <w:t>L1</w:t>
            </w:r>
          </w:p>
        </w:tc>
      </w:tr>
      <w:tr w:rsidR="00CB74EC" w:rsidRPr="00D620F9" w:rsidTr="00CB74EC">
        <w:trPr>
          <w:trHeight w:val="810"/>
        </w:trPr>
        <w:tc>
          <w:tcPr>
            <w:tcW w:w="8925" w:type="dxa"/>
            <w:gridSpan w:val="2"/>
            <w:tcBorders>
              <w:top w:val="single" w:sz="8" w:space="0" w:color="000000"/>
              <w:left w:val="single" w:sz="8" w:space="0" w:color="auto"/>
              <w:bottom w:val="single" w:sz="8" w:space="0" w:color="000000"/>
              <w:right w:val="single" w:sz="4" w:space="0" w:color="auto"/>
            </w:tcBorders>
            <w:shd w:val="clear" w:color="000000" w:fill="D9D9D9"/>
            <w:vAlign w:val="center"/>
            <w:hideMark/>
          </w:tcPr>
          <w:p w:rsidR="00CB74EC" w:rsidRPr="00D620F9" w:rsidRDefault="00CB74EC" w:rsidP="00005CE2">
            <w:pPr>
              <w:rPr>
                <w:b/>
                <w:bCs/>
                <w:color w:val="000000"/>
                <w:sz w:val="20"/>
                <w:szCs w:val="22"/>
              </w:rPr>
            </w:pPr>
            <w:r w:rsidRPr="00D620F9">
              <w:rPr>
                <w:b/>
                <w:bCs/>
                <w:color w:val="000000"/>
                <w:sz w:val="20"/>
                <w:szCs w:val="22"/>
              </w:rPr>
              <w:t>Pillar 1--</w:t>
            </w:r>
            <w:r w:rsidRPr="00D620F9">
              <w:rPr>
                <w:color w:val="000000"/>
                <w:sz w:val="20"/>
                <w:szCs w:val="22"/>
              </w:rPr>
              <w:t xml:space="preserve"> </w:t>
            </w:r>
            <w:r w:rsidRPr="00D620F9">
              <w:rPr>
                <w:b/>
                <w:bCs/>
                <w:color w:val="000000"/>
                <w:sz w:val="20"/>
                <w:szCs w:val="22"/>
              </w:rPr>
              <w:t>Fostering solutions to develop infrastructure financing and increasing access to finance for firms</w:t>
            </w:r>
          </w:p>
        </w:tc>
      </w:tr>
      <w:tr w:rsidR="00CB74EC" w:rsidRPr="00D620F9" w:rsidTr="00502949">
        <w:trPr>
          <w:trHeight w:val="1663"/>
        </w:trPr>
        <w:tc>
          <w:tcPr>
            <w:tcW w:w="2895" w:type="dxa"/>
            <w:tcBorders>
              <w:top w:val="nil"/>
              <w:left w:val="single" w:sz="8" w:space="0" w:color="auto"/>
              <w:bottom w:val="nil"/>
              <w:right w:val="single" w:sz="8" w:space="0" w:color="auto"/>
            </w:tcBorders>
            <w:shd w:val="clear" w:color="000000" w:fill="FFFFFF"/>
            <w:vAlign w:val="center"/>
            <w:hideMark/>
          </w:tcPr>
          <w:p w:rsidR="00CB74EC" w:rsidRPr="00D620F9" w:rsidRDefault="00D13D57">
            <w:pPr>
              <w:rPr>
                <w:color w:val="000000"/>
                <w:sz w:val="20"/>
                <w:szCs w:val="22"/>
              </w:rPr>
            </w:pPr>
            <w:r w:rsidRPr="00A61BF3">
              <w:rPr>
                <w:spacing w:val="-2"/>
                <w:sz w:val="20"/>
                <w:szCs w:val="20"/>
              </w:rPr>
              <w:t xml:space="preserve">Fostering the financing </w:t>
            </w:r>
            <w:r>
              <w:rPr>
                <w:spacing w:val="-2"/>
                <w:sz w:val="20"/>
                <w:szCs w:val="20"/>
              </w:rPr>
              <w:t>of key transport infrastructure</w:t>
            </w:r>
            <w:r w:rsidRPr="00A61BF3">
              <w:rPr>
                <w:spacing w:val="-2"/>
                <w:sz w:val="20"/>
                <w:szCs w:val="20"/>
              </w:rPr>
              <w:t xml:space="preserve"> under the government's 4G projects</w:t>
            </w:r>
            <w:r>
              <w:rPr>
                <w:spacing w:val="-2"/>
                <w:sz w:val="20"/>
                <w:szCs w:val="20"/>
              </w:rPr>
              <w:t>.</w:t>
            </w:r>
          </w:p>
        </w:tc>
        <w:tc>
          <w:tcPr>
            <w:tcW w:w="6030" w:type="dxa"/>
            <w:tcBorders>
              <w:top w:val="nil"/>
              <w:left w:val="nil"/>
              <w:bottom w:val="nil"/>
              <w:right w:val="single" w:sz="8" w:space="0" w:color="auto"/>
            </w:tcBorders>
            <w:shd w:val="clear" w:color="000000" w:fill="FFFFFF"/>
            <w:vAlign w:val="center"/>
            <w:hideMark/>
          </w:tcPr>
          <w:p w:rsidR="00CB74EC" w:rsidRPr="00D620F9" w:rsidRDefault="00CB74EC" w:rsidP="00D13D57">
            <w:pPr>
              <w:rPr>
                <w:b/>
                <w:bCs/>
                <w:color w:val="000000"/>
                <w:sz w:val="20"/>
                <w:szCs w:val="22"/>
              </w:rPr>
            </w:pPr>
            <w:r w:rsidRPr="00D620F9">
              <w:rPr>
                <w:b/>
                <w:bCs/>
                <w:iCs/>
                <w:color w:val="000000"/>
                <w:sz w:val="20"/>
                <w:szCs w:val="22"/>
              </w:rPr>
              <w:t>Prior action #1</w:t>
            </w:r>
            <w:r w:rsidR="00D13D57" w:rsidRPr="00611A32">
              <w:rPr>
                <w:bCs/>
                <w:iCs/>
                <w:sz w:val="20"/>
                <w:szCs w:val="20"/>
              </w:rPr>
              <w:t xml:space="preserve">The </w:t>
            </w:r>
            <w:proofErr w:type="spellStart"/>
            <w:r w:rsidR="00D13D57" w:rsidRPr="00611A32">
              <w:rPr>
                <w:bCs/>
                <w:iCs/>
                <w:sz w:val="20"/>
                <w:szCs w:val="20"/>
              </w:rPr>
              <w:t>GoC</w:t>
            </w:r>
            <w:proofErr w:type="spellEnd"/>
            <w:r w:rsidR="00D13D57" w:rsidRPr="00611A32">
              <w:rPr>
                <w:bCs/>
                <w:iCs/>
                <w:sz w:val="20"/>
                <w:szCs w:val="20"/>
              </w:rPr>
              <w:t xml:space="preserve"> has revised the regulatory framework relating to individual credit limits and</w:t>
            </w:r>
            <w:r w:rsidR="00D13D57">
              <w:rPr>
                <w:bCs/>
                <w:iCs/>
                <w:sz w:val="20"/>
                <w:szCs w:val="20"/>
              </w:rPr>
              <w:t xml:space="preserve"> investment regimes of </w:t>
            </w:r>
            <w:r w:rsidR="00D13D57" w:rsidRPr="00611A32">
              <w:rPr>
                <w:bCs/>
                <w:iCs/>
                <w:sz w:val="20"/>
                <w:szCs w:val="20"/>
              </w:rPr>
              <w:t>credit institutions, to allow for additional investments in the 4G projects</w:t>
            </w:r>
            <w:r w:rsidRPr="00D620F9">
              <w:rPr>
                <w:color w:val="000000"/>
                <w:sz w:val="20"/>
                <w:szCs w:val="22"/>
              </w:rPr>
              <w:t xml:space="preserve"> (Decree #816, April 2014)</w:t>
            </w:r>
          </w:p>
        </w:tc>
      </w:tr>
      <w:tr w:rsidR="00CB74EC" w:rsidRPr="00D620F9" w:rsidTr="00502949">
        <w:trPr>
          <w:trHeight w:val="1429"/>
        </w:trPr>
        <w:tc>
          <w:tcPr>
            <w:tcW w:w="2895" w:type="dxa"/>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CB74EC" w:rsidRPr="00D620F9" w:rsidRDefault="00CB74EC">
            <w:pPr>
              <w:rPr>
                <w:color w:val="000000"/>
                <w:sz w:val="20"/>
                <w:szCs w:val="22"/>
              </w:rPr>
            </w:pPr>
            <w:r w:rsidRPr="00D620F9">
              <w:rPr>
                <w:color w:val="000000"/>
                <w:spacing w:val="-2"/>
                <w:sz w:val="20"/>
                <w:szCs w:val="22"/>
              </w:rPr>
              <w:t>Improving access to credit by firms</w:t>
            </w:r>
          </w:p>
        </w:tc>
        <w:tc>
          <w:tcPr>
            <w:tcW w:w="6030" w:type="dxa"/>
            <w:tcBorders>
              <w:top w:val="single" w:sz="8" w:space="0" w:color="auto"/>
              <w:left w:val="nil"/>
              <w:bottom w:val="single" w:sz="8" w:space="0" w:color="auto"/>
              <w:right w:val="single" w:sz="8" w:space="0" w:color="auto"/>
            </w:tcBorders>
            <w:shd w:val="clear" w:color="000000" w:fill="FFFFFF"/>
            <w:vAlign w:val="center"/>
            <w:hideMark/>
          </w:tcPr>
          <w:p w:rsidR="00CB74EC" w:rsidRPr="00D620F9" w:rsidRDefault="00CB74EC">
            <w:pPr>
              <w:rPr>
                <w:b/>
                <w:bCs/>
                <w:color w:val="000000"/>
                <w:sz w:val="20"/>
                <w:szCs w:val="22"/>
              </w:rPr>
            </w:pPr>
            <w:r w:rsidRPr="00D620F9">
              <w:rPr>
                <w:b/>
                <w:bCs/>
                <w:iCs/>
                <w:color w:val="000000"/>
                <w:sz w:val="20"/>
                <w:szCs w:val="22"/>
              </w:rPr>
              <w:t>Prior action #2:</w:t>
            </w:r>
            <w:r w:rsidRPr="00D620F9">
              <w:rPr>
                <w:color w:val="000000"/>
                <w:sz w:val="20"/>
                <w:szCs w:val="22"/>
              </w:rPr>
              <w:t xml:space="preserve"> The </w:t>
            </w:r>
            <w:proofErr w:type="spellStart"/>
            <w:r w:rsidRPr="00D620F9">
              <w:rPr>
                <w:color w:val="000000"/>
                <w:sz w:val="20"/>
                <w:szCs w:val="22"/>
              </w:rPr>
              <w:t>GoC</w:t>
            </w:r>
            <w:proofErr w:type="spellEnd"/>
            <w:r w:rsidRPr="00D620F9">
              <w:rPr>
                <w:color w:val="000000"/>
                <w:sz w:val="20"/>
                <w:szCs w:val="22"/>
              </w:rPr>
              <w:t xml:space="preserve"> has improved access to credit by regulating the use of movable assets as collateral in financial operations. (Ley de Garantias#1676,August, 2013; Decree 400, February 2014)</w:t>
            </w:r>
          </w:p>
        </w:tc>
      </w:tr>
      <w:tr w:rsidR="00CB74EC" w:rsidRPr="00D620F9" w:rsidTr="00502949">
        <w:trPr>
          <w:trHeight w:val="2059"/>
        </w:trPr>
        <w:tc>
          <w:tcPr>
            <w:tcW w:w="2895" w:type="dxa"/>
            <w:vMerge/>
            <w:tcBorders>
              <w:top w:val="single" w:sz="8" w:space="0" w:color="000000"/>
              <w:left w:val="single" w:sz="8" w:space="0" w:color="auto"/>
              <w:bottom w:val="single" w:sz="8" w:space="0" w:color="000000"/>
              <w:right w:val="single" w:sz="8" w:space="0" w:color="auto"/>
            </w:tcBorders>
            <w:vAlign w:val="center"/>
            <w:hideMark/>
          </w:tcPr>
          <w:p w:rsidR="00CB74EC" w:rsidRPr="00D620F9" w:rsidRDefault="00CB74EC">
            <w:pPr>
              <w:rPr>
                <w:color w:val="000000"/>
                <w:sz w:val="20"/>
                <w:szCs w:val="22"/>
              </w:rPr>
            </w:pPr>
          </w:p>
        </w:tc>
        <w:tc>
          <w:tcPr>
            <w:tcW w:w="6030" w:type="dxa"/>
            <w:tcBorders>
              <w:top w:val="nil"/>
              <w:left w:val="nil"/>
              <w:bottom w:val="single" w:sz="8" w:space="0" w:color="000000"/>
              <w:right w:val="single" w:sz="8" w:space="0" w:color="auto"/>
            </w:tcBorders>
            <w:shd w:val="clear" w:color="000000" w:fill="FFFFFF"/>
            <w:vAlign w:val="center"/>
            <w:hideMark/>
          </w:tcPr>
          <w:p w:rsidR="00CB74EC" w:rsidRPr="00D620F9" w:rsidRDefault="00CB74EC" w:rsidP="003E6370">
            <w:pPr>
              <w:rPr>
                <w:b/>
                <w:bCs/>
                <w:color w:val="000000"/>
                <w:sz w:val="20"/>
                <w:szCs w:val="22"/>
              </w:rPr>
            </w:pPr>
            <w:r w:rsidRPr="00D620F9">
              <w:rPr>
                <w:b/>
                <w:bCs/>
                <w:iCs/>
                <w:color w:val="000000"/>
                <w:sz w:val="20"/>
                <w:szCs w:val="22"/>
              </w:rPr>
              <w:t>Prior action #3</w:t>
            </w:r>
            <w:r w:rsidRPr="00D620F9">
              <w:rPr>
                <w:color w:val="000000"/>
                <w:sz w:val="20"/>
                <w:szCs w:val="22"/>
              </w:rPr>
              <w:t xml:space="preserve"> - The </w:t>
            </w:r>
            <w:proofErr w:type="spellStart"/>
            <w:r w:rsidRPr="00D620F9">
              <w:rPr>
                <w:color w:val="000000"/>
                <w:sz w:val="20"/>
                <w:szCs w:val="22"/>
              </w:rPr>
              <w:t>GoC</w:t>
            </w:r>
            <w:proofErr w:type="spellEnd"/>
            <w:r w:rsidRPr="00D620F9">
              <w:rPr>
                <w:color w:val="000000"/>
                <w:sz w:val="20"/>
                <w:szCs w:val="22"/>
              </w:rPr>
              <w:t xml:space="preserve"> foster</w:t>
            </w:r>
            <w:r w:rsidR="003E6370">
              <w:rPr>
                <w:color w:val="000000"/>
                <w:sz w:val="20"/>
                <w:szCs w:val="22"/>
              </w:rPr>
              <w:t>ed</w:t>
            </w:r>
            <w:r w:rsidRPr="00D620F9">
              <w:rPr>
                <w:color w:val="000000"/>
                <w:sz w:val="20"/>
                <w:szCs w:val="22"/>
              </w:rPr>
              <w:t xml:space="preserve"> capital market developments by: </w:t>
            </w:r>
            <w:proofErr w:type="spellStart"/>
            <w:r w:rsidRPr="00D620F9">
              <w:rPr>
                <w:color w:val="000000"/>
                <w:sz w:val="20"/>
                <w:szCs w:val="22"/>
              </w:rPr>
              <w:t>i</w:t>
            </w:r>
            <w:proofErr w:type="spellEnd"/>
            <w:r w:rsidRPr="00D620F9">
              <w:rPr>
                <w:color w:val="000000"/>
                <w:sz w:val="20"/>
                <w:szCs w:val="22"/>
              </w:rPr>
              <w:t>) creating an alternative issuance scheme (</w:t>
            </w:r>
            <w:r w:rsidRPr="00D620F9">
              <w:rPr>
                <w:i/>
                <w:iCs/>
                <w:color w:val="000000"/>
                <w:sz w:val="20"/>
                <w:szCs w:val="22"/>
              </w:rPr>
              <w:t>Segundo Mercado</w:t>
            </w:r>
            <w:r w:rsidRPr="00D620F9">
              <w:rPr>
                <w:color w:val="000000"/>
                <w:sz w:val="20"/>
                <w:szCs w:val="22"/>
              </w:rPr>
              <w:t xml:space="preserve"> that grant access to capital markets to a more diversified group of issuers and ii) supporting the diversification of institutional investor base through lower entry barriers (Decree #1019, May 2014, drafted but not approved, expected by July, 2014; Decree 1242/June 2013; Decree 1243/June 2013) </w:t>
            </w:r>
          </w:p>
        </w:tc>
      </w:tr>
      <w:tr w:rsidR="00CB74EC" w:rsidRPr="00D620F9" w:rsidTr="00CB74EC">
        <w:trPr>
          <w:trHeight w:val="540"/>
        </w:trPr>
        <w:tc>
          <w:tcPr>
            <w:tcW w:w="8925" w:type="dxa"/>
            <w:gridSpan w:val="2"/>
            <w:tcBorders>
              <w:top w:val="single" w:sz="8" w:space="0" w:color="000000"/>
              <w:left w:val="single" w:sz="8" w:space="0" w:color="auto"/>
              <w:bottom w:val="single" w:sz="8" w:space="0" w:color="000000"/>
              <w:right w:val="single" w:sz="4" w:space="0" w:color="auto"/>
            </w:tcBorders>
            <w:shd w:val="clear" w:color="000000" w:fill="D9D9D9"/>
            <w:vAlign w:val="center"/>
            <w:hideMark/>
          </w:tcPr>
          <w:p w:rsidR="00CB74EC" w:rsidRPr="00D620F9" w:rsidRDefault="00CB74EC">
            <w:pPr>
              <w:rPr>
                <w:b/>
                <w:bCs/>
                <w:color w:val="000000"/>
                <w:sz w:val="20"/>
                <w:szCs w:val="22"/>
              </w:rPr>
            </w:pPr>
            <w:r w:rsidRPr="00D620F9">
              <w:rPr>
                <w:b/>
                <w:bCs/>
                <w:color w:val="000000"/>
                <w:sz w:val="20"/>
                <w:szCs w:val="22"/>
              </w:rPr>
              <w:t>Pillar 2-- Improving the quality and allocation of productive skills</w:t>
            </w:r>
            <w:r w:rsidRPr="00D620F9">
              <w:rPr>
                <w:color w:val="000099"/>
                <w:sz w:val="20"/>
                <w:szCs w:val="22"/>
              </w:rPr>
              <w:t xml:space="preserve"> </w:t>
            </w:r>
            <w:r w:rsidRPr="00D620F9">
              <w:rPr>
                <w:color w:val="000000"/>
                <w:sz w:val="20"/>
                <w:szCs w:val="22"/>
              </w:rPr>
              <w:t xml:space="preserve">   </w:t>
            </w:r>
          </w:p>
        </w:tc>
      </w:tr>
      <w:tr w:rsidR="00CB74EC" w:rsidRPr="00D620F9" w:rsidTr="00502949">
        <w:trPr>
          <w:trHeight w:val="1501"/>
        </w:trPr>
        <w:tc>
          <w:tcPr>
            <w:tcW w:w="2895" w:type="dxa"/>
            <w:tcBorders>
              <w:top w:val="nil"/>
              <w:left w:val="single" w:sz="8" w:space="0" w:color="auto"/>
              <w:bottom w:val="nil"/>
              <w:right w:val="single" w:sz="8" w:space="0" w:color="auto"/>
            </w:tcBorders>
            <w:shd w:val="clear" w:color="000000" w:fill="FFFFFF"/>
            <w:vAlign w:val="center"/>
            <w:hideMark/>
          </w:tcPr>
          <w:p w:rsidR="00CB74EC" w:rsidRPr="00D620F9" w:rsidRDefault="00CB74EC">
            <w:pPr>
              <w:rPr>
                <w:color w:val="000000"/>
                <w:sz w:val="20"/>
                <w:szCs w:val="22"/>
              </w:rPr>
            </w:pPr>
            <w:r w:rsidRPr="00D620F9">
              <w:rPr>
                <w:bCs/>
                <w:color w:val="000000"/>
                <w:sz w:val="20"/>
                <w:szCs w:val="22"/>
              </w:rPr>
              <w:t>Improving the matching between jobs and skills</w:t>
            </w:r>
          </w:p>
        </w:tc>
        <w:tc>
          <w:tcPr>
            <w:tcW w:w="6030" w:type="dxa"/>
            <w:tcBorders>
              <w:top w:val="nil"/>
              <w:left w:val="nil"/>
              <w:bottom w:val="nil"/>
              <w:right w:val="single" w:sz="8" w:space="0" w:color="auto"/>
            </w:tcBorders>
            <w:shd w:val="clear" w:color="000000" w:fill="FFFFFF"/>
            <w:vAlign w:val="center"/>
            <w:hideMark/>
          </w:tcPr>
          <w:p w:rsidR="00CB74EC" w:rsidRPr="00D620F9" w:rsidRDefault="00CB74EC">
            <w:pPr>
              <w:rPr>
                <w:b/>
                <w:bCs/>
                <w:color w:val="000000"/>
                <w:sz w:val="20"/>
                <w:szCs w:val="22"/>
              </w:rPr>
            </w:pPr>
            <w:r w:rsidRPr="00D620F9">
              <w:rPr>
                <w:b/>
                <w:bCs/>
                <w:iCs/>
                <w:color w:val="000000"/>
                <w:sz w:val="20"/>
                <w:szCs w:val="22"/>
              </w:rPr>
              <w:t>Prior action #4</w:t>
            </w:r>
            <w:r w:rsidRPr="00D620F9">
              <w:rPr>
                <w:color w:val="000000"/>
                <w:sz w:val="20"/>
                <w:szCs w:val="22"/>
              </w:rPr>
              <w:t xml:space="preserve"> The </w:t>
            </w:r>
            <w:proofErr w:type="spellStart"/>
            <w:r w:rsidRPr="00D620F9">
              <w:rPr>
                <w:color w:val="000000"/>
                <w:sz w:val="20"/>
                <w:szCs w:val="22"/>
              </w:rPr>
              <w:t>GoC</w:t>
            </w:r>
            <w:proofErr w:type="spellEnd"/>
            <w:r w:rsidRPr="00D620F9">
              <w:rPr>
                <w:color w:val="000000"/>
                <w:sz w:val="20"/>
                <w:szCs w:val="22"/>
              </w:rPr>
              <w:t xml:space="preserve"> has integrated at the Ministry of Labor the design and implementation of the Public Employment Service (PES), supported on an upgraded registry for unemployment and a unified national system for matching workers and vacancies. (Law 1636, July 2013; Decree 2521/2013, Decree 2852/2013, Decree 722, April 2014)</w:t>
            </w:r>
          </w:p>
        </w:tc>
      </w:tr>
      <w:tr w:rsidR="00CB74EC" w:rsidRPr="00D620F9" w:rsidTr="00502949">
        <w:trPr>
          <w:trHeight w:val="1753"/>
        </w:trPr>
        <w:tc>
          <w:tcPr>
            <w:tcW w:w="2895" w:type="dxa"/>
            <w:tcBorders>
              <w:top w:val="single" w:sz="8" w:space="0" w:color="000000"/>
              <w:left w:val="single" w:sz="8" w:space="0" w:color="auto"/>
              <w:bottom w:val="single" w:sz="8" w:space="0" w:color="000000"/>
              <w:right w:val="single" w:sz="8" w:space="0" w:color="auto"/>
            </w:tcBorders>
            <w:shd w:val="clear" w:color="000000" w:fill="FFFFFF"/>
            <w:vAlign w:val="center"/>
            <w:hideMark/>
          </w:tcPr>
          <w:p w:rsidR="00CB74EC" w:rsidRPr="00D620F9" w:rsidRDefault="00CB74EC">
            <w:pPr>
              <w:rPr>
                <w:color w:val="000000"/>
                <w:sz w:val="20"/>
                <w:szCs w:val="22"/>
              </w:rPr>
            </w:pPr>
            <w:r w:rsidRPr="00D620F9">
              <w:rPr>
                <w:bCs/>
                <w:color w:val="000000"/>
                <w:sz w:val="20"/>
                <w:szCs w:val="22"/>
              </w:rPr>
              <w:t>Building professional skills</w:t>
            </w:r>
          </w:p>
        </w:tc>
        <w:tc>
          <w:tcPr>
            <w:tcW w:w="6030" w:type="dxa"/>
            <w:tcBorders>
              <w:top w:val="single" w:sz="8" w:space="0" w:color="000000"/>
              <w:left w:val="nil"/>
              <w:bottom w:val="single" w:sz="8" w:space="0" w:color="000000"/>
              <w:right w:val="single" w:sz="8" w:space="0" w:color="auto"/>
            </w:tcBorders>
            <w:shd w:val="clear" w:color="000000" w:fill="FFFFFF"/>
            <w:vAlign w:val="center"/>
            <w:hideMark/>
          </w:tcPr>
          <w:p w:rsidR="00CB74EC" w:rsidRPr="00D620F9" w:rsidRDefault="00CB74EC">
            <w:pPr>
              <w:rPr>
                <w:b/>
                <w:bCs/>
                <w:color w:val="000000"/>
                <w:sz w:val="20"/>
                <w:szCs w:val="22"/>
              </w:rPr>
            </w:pPr>
            <w:r w:rsidRPr="00D620F9">
              <w:rPr>
                <w:b/>
                <w:bCs/>
                <w:iCs/>
                <w:color w:val="000000"/>
                <w:sz w:val="20"/>
                <w:szCs w:val="22"/>
              </w:rPr>
              <w:t xml:space="preserve">Prior action #5 </w:t>
            </w:r>
            <w:r w:rsidRPr="00D620F9">
              <w:rPr>
                <w:color w:val="000000"/>
                <w:sz w:val="20"/>
                <w:szCs w:val="22"/>
              </w:rPr>
              <w:t xml:space="preserve">The </w:t>
            </w:r>
            <w:proofErr w:type="spellStart"/>
            <w:r w:rsidRPr="00D620F9">
              <w:rPr>
                <w:color w:val="000000"/>
                <w:sz w:val="20"/>
                <w:szCs w:val="22"/>
              </w:rPr>
              <w:t>GoC</w:t>
            </w:r>
            <w:proofErr w:type="spellEnd"/>
            <w:r w:rsidRPr="00D620F9">
              <w:rPr>
                <w:color w:val="000000"/>
                <w:sz w:val="20"/>
                <w:szCs w:val="22"/>
              </w:rPr>
              <w:t xml:space="preserve"> has strengthening professional training and skill formation by </w:t>
            </w:r>
            <w:proofErr w:type="spellStart"/>
            <w:r w:rsidRPr="00D620F9">
              <w:rPr>
                <w:color w:val="000000"/>
                <w:sz w:val="20"/>
                <w:szCs w:val="22"/>
              </w:rPr>
              <w:t>i</w:t>
            </w:r>
            <w:proofErr w:type="spellEnd"/>
            <w:r w:rsidRPr="00D620F9">
              <w:rPr>
                <w:color w:val="000000"/>
                <w:sz w:val="20"/>
                <w:szCs w:val="22"/>
              </w:rPr>
              <w:t>) promoting strategic professional training to unemployed individuals in line with firm’s demands; and ii) regulating the provision and financing of continued professional training, and creating incentives for firms to invest in training (improving firms’ management of human capital)  (Decree 681/2014, Decree 2852/2013)</w:t>
            </w:r>
          </w:p>
        </w:tc>
      </w:tr>
      <w:tr w:rsidR="00CB74EC" w:rsidRPr="00D620F9" w:rsidTr="00CB74EC">
        <w:trPr>
          <w:trHeight w:val="540"/>
        </w:trPr>
        <w:tc>
          <w:tcPr>
            <w:tcW w:w="8925" w:type="dxa"/>
            <w:gridSpan w:val="2"/>
            <w:tcBorders>
              <w:top w:val="single" w:sz="8" w:space="0" w:color="000000"/>
              <w:left w:val="single" w:sz="8" w:space="0" w:color="auto"/>
              <w:bottom w:val="nil"/>
              <w:right w:val="single" w:sz="4" w:space="0" w:color="auto"/>
            </w:tcBorders>
            <w:shd w:val="clear" w:color="000000" w:fill="D9D9D9"/>
            <w:vAlign w:val="center"/>
            <w:hideMark/>
          </w:tcPr>
          <w:p w:rsidR="00CB74EC" w:rsidRPr="00D620F9" w:rsidRDefault="00CB74EC">
            <w:pPr>
              <w:rPr>
                <w:b/>
                <w:bCs/>
                <w:color w:val="000000"/>
                <w:sz w:val="20"/>
                <w:szCs w:val="22"/>
              </w:rPr>
            </w:pPr>
            <w:r w:rsidRPr="00D620F9">
              <w:rPr>
                <w:b/>
                <w:bCs/>
                <w:color w:val="000000"/>
                <w:sz w:val="20"/>
                <w:szCs w:val="22"/>
              </w:rPr>
              <w:lastRenderedPageBreak/>
              <w:t xml:space="preserve">Pillar 3—Promoting Innovation </w:t>
            </w:r>
            <w:r w:rsidRPr="00D620F9">
              <w:rPr>
                <w:color w:val="000000"/>
                <w:sz w:val="20"/>
                <w:szCs w:val="22"/>
              </w:rPr>
              <w:t xml:space="preserve">and  </w:t>
            </w:r>
            <w:r w:rsidRPr="00D620F9">
              <w:rPr>
                <w:b/>
                <w:bCs/>
                <w:color w:val="000000"/>
                <w:sz w:val="20"/>
                <w:szCs w:val="22"/>
              </w:rPr>
              <w:t>Improving Business Regulations</w:t>
            </w:r>
          </w:p>
        </w:tc>
      </w:tr>
      <w:tr w:rsidR="00CB74EC" w:rsidRPr="00D620F9" w:rsidTr="00AD6002">
        <w:trPr>
          <w:trHeight w:val="1933"/>
        </w:trPr>
        <w:tc>
          <w:tcPr>
            <w:tcW w:w="289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B74EC" w:rsidRPr="00D620F9" w:rsidRDefault="00CB74EC">
            <w:pPr>
              <w:rPr>
                <w:color w:val="000000"/>
                <w:sz w:val="20"/>
                <w:szCs w:val="22"/>
              </w:rPr>
            </w:pPr>
            <w:r w:rsidRPr="00D620F9">
              <w:rPr>
                <w:color w:val="000000"/>
                <w:spacing w:val="-2"/>
                <w:sz w:val="20"/>
                <w:szCs w:val="22"/>
              </w:rPr>
              <w:t>Promoting innovation and technological progress</w:t>
            </w:r>
          </w:p>
        </w:tc>
        <w:tc>
          <w:tcPr>
            <w:tcW w:w="6030" w:type="dxa"/>
            <w:tcBorders>
              <w:top w:val="single" w:sz="8" w:space="0" w:color="auto"/>
              <w:left w:val="nil"/>
              <w:bottom w:val="single" w:sz="8" w:space="0" w:color="auto"/>
              <w:right w:val="single" w:sz="8" w:space="0" w:color="auto"/>
            </w:tcBorders>
            <w:shd w:val="clear" w:color="000000" w:fill="FFFFFF"/>
            <w:vAlign w:val="center"/>
            <w:hideMark/>
          </w:tcPr>
          <w:p w:rsidR="00CB74EC" w:rsidRPr="00D620F9" w:rsidRDefault="00CB74EC">
            <w:pPr>
              <w:rPr>
                <w:b/>
                <w:bCs/>
                <w:color w:val="000000"/>
                <w:sz w:val="20"/>
                <w:szCs w:val="22"/>
              </w:rPr>
            </w:pPr>
            <w:r w:rsidRPr="00D620F9">
              <w:rPr>
                <w:b/>
                <w:bCs/>
                <w:iCs/>
                <w:color w:val="000000"/>
                <w:sz w:val="20"/>
                <w:szCs w:val="22"/>
              </w:rPr>
              <w:t xml:space="preserve">Prior action #6 </w:t>
            </w:r>
            <w:r w:rsidRPr="00D620F9">
              <w:rPr>
                <w:color w:val="000000"/>
                <w:sz w:val="20"/>
                <w:szCs w:val="22"/>
              </w:rPr>
              <w:t xml:space="preserve">The </w:t>
            </w:r>
            <w:proofErr w:type="spellStart"/>
            <w:r w:rsidRPr="00D620F9">
              <w:rPr>
                <w:color w:val="000000"/>
                <w:sz w:val="20"/>
                <w:szCs w:val="22"/>
              </w:rPr>
              <w:t>GoC</w:t>
            </w:r>
            <w:proofErr w:type="spellEnd"/>
            <w:r w:rsidRPr="00D620F9">
              <w:rPr>
                <w:color w:val="000000"/>
                <w:sz w:val="20"/>
                <w:szCs w:val="22"/>
              </w:rPr>
              <w:t xml:space="preserve"> has </w:t>
            </w:r>
            <w:proofErr w:type="spellStart"/>
            <w:r w:rsidRPr="00D620F9">
              <w:rPr>
                <w:color w:val="000000"/>
                <w:sz w:val="20"/>
                <w:szCs w:val="22"/>
              </w:rPr>
              <w:t>strenghthened</w:t>
            </w:r>
            <w:proofErr w:type="spellEnd"/>
            <w:r w:rsidRPr="00D620F9">
              <w:rPr>
                <w:color w:val="000000"/>
                <w:sz w:val="20"/>
                <w:szCs w:val="22"/>
              </w:rPr>
              <w:t xml:space="preserve"> its system of tax credits for innovation, science and technology by: </w:t>
            </w:r>
            <w:proofErr w:type="spellStart"/>
            <w:r w:rsidRPr="00D620F9">
              <w:rPr>
                <w:color w:val="000000"/>
                <w:sz w:val="20"/>
                <w:szCs w:val="22"/>
              </w:rPr>
              <w:t>i</w:t>
            </w:r>
            <w:proofErr w:type="spellEnd"/>
            <w:r w:rsidRPr="00D620F9">
              <w:rPr>
                <w:color w:val="000000"/>
                <w:sz w:val="20"/>
                <w:szCs w:val="22"/>
              </w:rPr>
              <w:t>) clearly defining the roles and responsibilities of the National Council of Tax Credits for innovation; ii) clearly defining expenditures eligible for tax credits as well as monitoring and evaluation. (Decree 121/2014, Agreement 09, approved in July 31, 2014)</w:t>
            </w:r>
          </w:p>
        </w:tc>
      </w:tr>
      <w:tr w:rsidR="00CB74EC" w:rsidRPr="00D620F9" w:rsidTr="00D13D57">
        <w:trPr>
          <w:trHeight w:val="1690"/>
        </w:trPr>
        <w:tc>
          <w:tcPr>
            <w:tcW w:w="2895" w:type="dxa"/>
            <w:tcBorders>
              <w:top w:val="nil"/>
              <w:left w:val="single" w:sz="8" w:space="0" w:color="auto"/>
              <w:bottom w:val="nil"/>
              <w:right w:val="single" w:sz="8" w:space="0" w:color="auto"/>
            </w:tcBorders>
            <w:shd w:val="clear" w:color="auto" w:fill="auto"/>
            <w:vAlign w:val="center"/>
            <w:hideMark/>
          </w:tcPr>
          <w:p w:rsidR="00CB74EC" w:rsidRPr="00D620F9" w:rsidRDefault="00CB74EC">
            <w:pPr>
              <w:rPr>
                <w:color w:val="000000"/>
                <w:sz w:val="20"/>
                <w:szCs w:val="22"/>
              </w:rPr>
            </w:pPr>
            <w:r w:rsidRPr="00D620F9">
              <w:rPr>
                <w:color w:val="000000"/>
                <w:spacing w:val="-2"/>
                <w:sz w:val="20"/>
                <w:szCs w:val="22"/>
              </w:rPr>
              <w:t>Improving regulatory efficiency</w:t>
            </w:r>
          </w:p>
        </w:tc>
        <w:tc>
          <w:tcPr>
            <w:tcW w:w="6030" w:type="dxa"/>
            <w:tcBorders>
              <w:top w:val="nil"/>
              <w:left w:val="nil"/>
              <w:bottom w:val="single" w:sz="8" w:space="0" w:color="auto"/>
              <w:right w:val="single" w:sz="8" w:space="0" w:color="auto"/>
            </w:tcBorders>
            <w:shd w:val="clear" w:color="auto" w:fill="auto"/>
            <w:vAlign w:val="center"/>
            <w:hideMark/>
          </w:tcPr>
          <w:p w:rsidR="00CB74EC" w:rsidRPr="00D620F9" w:rsidRDefault="00CB74EC">
            <w:pPr>
              <w:rPr>
                <w:b/>
                <w:bCs/>
                <w:color w:val="000000"/>
                <w:sz w:val="20"/>
                <w:szCs w:val="22"/>
              </w:rPr>
            </w:pPr>
            <w:r w:rsidRPr="00D620F9">
              <w:rPr>
                <w:b/>
                <w:bCs/>
                <w:iCs/>
                <w:color w:val="000000"/>
                <w:sz w:val="20"/>
                <w:szCs w:val="22"/>
              </w:rPr>
              <w:t xml:space="preserve">Prior action #7 </w:t>
            </w:r>
            <w:r w:rsidRPr="00D620F9">
              <w:rPr>
                <w:color w:val="000000"/>
                <w:sz w:val="20"/>
                <w:szCs w:val="22"/>
              </w:rPr>
              <w:t xml:space="preserve">The </w:t>
            </w:r>
            <w:proofErr w:type="spellStart"/>
            <w:r w:rsidRPr="00D620F9">
              <w:rPr>
                <w:color w:val="000000"/>
                <w:sz w:val="20"/>
                <w:szCs w:val="22"/>
              </w:rPr>
              <w:t>GoC</w:t>
            </w:r>
            <w:proofErr w:type="spellEnd"/>
            <w:r w:rsidRPr="00D620F9">
              <w:rPr>
                <w:color w:val="000000"/>
                <w:sz w:val="20"/>
                <w:szCs w:val="22"/>
              </w:rPr>
              <w:t xml:space="preserve"> has approved a CONPES defining the new policy for production of regulations, which implements evaluations of economic and social impacts and efficiency of policy reforms. The policy, which is in line with OECD best </w:t>
            </w:r>
            <w:proofErr w:type="gramStart"/>
            <w:r w:rsidRPr="00D620F9">
              <w:rPr>
                <w:color w:val="000000"/>
                <w:sz w:val="20"/>
                <w:szCs w:val="22"/>
              </w:rPr>
              <w:t>practices</w:t>
            </w:r>
            <w:proofErr w:type="gramEnd"/>
            <w:r w:rsidRPr="00D620F9">
              <w:rPr>
                <w:color w:val="000000"/>
                <w:sz w:val="20"/>
                <w:szCs w:val="22"/>
              </w:rPr>
              <w:t xml:space="preserve"> seeks to reduce distortions and inefficiencies from regulatory changes. (CONPES #, pending approval, expected September 2014)</w:t>
            </w:r>
          </w:p>
        </w:tc>
      </w:tr>
      <w:tr w:rsidR="00D13D57" w:rsidRPr="00D620F9" w:rsidTr="00D13D57">
        <w:trPr>
          <w:trHeight w:val="2469"/>
        </w:trPr>
        <w:tc>
          <w:tcPr>
            <w:tcW w:w="289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13D57" w:rsidRPr="00D620F9" w:rsidRDefault="00D13D57">
            <w:pPr>
              <w:rPr>
                <w:color w:val="000000"/>
                <w:sz w:val="20"/>
                <w:szCs w:val="22"/>
              </w:rPr>
            </w:pPr>
            <w:r w:rsidRPr="00D620F9">
              <w:rPr>
                <w:bCs/>
                <w:color w:val="000000"/>
                <w:sz w:val="20"/>
                <w:szCs w:val="22"/>
              </w:rPr>
              <w:t>Streamlining customs procedures</w:t>
            </w:r>
          </w:p>
        </w:tc>
        <w:tc>
          <w:tcPr>
            <w:tcW w:w="6030" w:type="dxa"/>
            <w:tcBorders>
              <w:top w:val="single" w:sz="8" w:space="0" w:color="auto"/>
              <w:left w:val="nil"/>
              <w:bottom w:val="single" w:sz="8" w:space="0" w:color="auto"/>
              <w:right w:val="single" w:sz="8" w:space="0" w:color="auto"/>
            </w:tcBorders>
            <w:shd w:val="clear" w:color="auto" w:fill="auto"/>
            <w:vAlign w:val="center"/>
            <w:hideMark/>
          </w:tcPr>
          <w:p w:rsidR="00D13D57" w:rsidRPr="00D620F9" w:rsidRDefault="00D13D57">
            <w:pPr>
              <w:rPr>
                <w:b/>
                <w:bCs/>
                <w:color w:val="000000"/>
                <w:sz w:val="20"/>
                <w:szCs w:val="22"/>
              </w:rPr>
            </w:pPr>
            <w:r w:rsidRPr="00D620F9">
              <w:rPr>
                <w:b/>
                <w:bCs/>
                <w:iCs/>
                <w:color w:val="000000"/>
                <w:sz w:val="20"/>
                <w:szCs w:val="22"/>
              </w:rPr>
              <w:t>Prior action #8</w:t>
            </w:r>
            <w:r w:rsidRPr="00D620F9">
              <w:rPr>
                <w:color w:val="000000"/>
                <w:sz w:val="20"/>
                <w:szCs w:val="22"/>
              </w:rPr>
              <w:t xml:space="preserve"> The </w:t>
            </w:r>
            <w:proofErr w:type="spellStart"/>
            <w:r w:rsidRPr="00D620F9">
              <w:rPr>
                <w:color w:val="000000"/>
                <w:sz w:val="20"/>
                <w:szCs w:val="22"/>
              </w:rPr>
              <w:t>GoC</w:t>
            </w:r>
            <w:proofErr w:type="spellEnd"/>
            <w:r w:rsidRPr="00D620F9">
              <w:rPr>
                <w:color w:val="000000"/>
                <w:sz w:val="20"/>
                <w:szCs w:val="22"/>
              </w:rPr>
              <w:t xml:space="preserve"> has issued the decree which constitutes the legal base for restructuring the National Tax and Customs Administration, with the purpose of streamlining processes and improving efficiency and effectiveness</w:t>
            </w:r>
            <w:r w:rsidRPr="00D620F9">
              <w:rPr>
                <w:b/>
                <w:bCs/>
                <w:color w:val="000000"/>
                <w:sz w:val="20"/>
                <w:szCs w:val="22"/>
              </w:rPr>
              <w:t xml:space="preserve">.  </w:t>
            </w:r>
            <w:r w:rsidRPr="00D620F9">
              <w:rPr>
                <w:color w:val="000000"/>
                <w:sz w:val="20"/>
                <w:szCs w:val="22"/>
              </w:rPr>
              <w:t>(Decree #,</w:t>
            </w:r>
            <w:r w:rsidRPr="00D620F9">
              <w:rPr>
                <w:b/>
                <w:bCs/>
                <w:color w:val="000000"/>
                <w:sz w:val="20"/>
                <w:szCs w:val="22"/>
              </w:rPr>
              <w:t xml:space="preserve"> </w:t>
            </w:r>
            <w:r w:rsidRPr="00D620F9">
              <w:rPr>
                <w:color w:val="000000"/>
                <w:sz w:val="20"/>
                <w:szCs w:val="22"/>
              </w:rPr>
              <w:t>approval expected in September 2014)</w:t>
            </w:r>
            <w:r w:rsidRPr="00D620F9">
              <w:rPr>
                <w:b/>
                <w:bCs/>
                <w:color w:val="000000"/>
                <w:sz w:val="20"/>
                <w:szCs w:val="22"/>
              </w:rPr>
              <w:t>)</w:t>
            </w:r>
          </w:p>
        </w:tc>
      </w:tr>
    </w:tbl>
    <w:p w:rsidR="00CB74EC" w:rsidRPr="00D620F9" w:rsidRDefault="00CB74EC" w:rsidP="00B724CC">
      <w:pPr>
        <w:pStyle w:val="Body"/>
        <w:numPr>
          <w:ilvl w:val="0"/>
          <w:numId w:val="0"/>
        </w:numPr>
        <w:rPr>
          <w:sz w:val="22"/>
          <w:szCs w:val="22"/>
        </w:rPr>
      </w:pPr>
    </w:p>
    <w:p w:rsidR="00D620F9" w:rsidRPr="00D620F9" w:rsidRDefault="00D620F9" w:rsidP="00B724CC">
      <w:pPr>
        <w:pStyle w:val="Body"/>
        <w:numPr>
          <w:ilvl w:val="0"/>
          <w:numId w:val="0"/>
        </w:numPr>
        <w:rPr>
          <w:sz w:val="22"/>
          <w:szCs w:val="22"/>
        </w:rPr>
      </w:pPr>
    </w:p>
    <w:p w:rsidR="004239CB" w:rsidRPr="00D620F9" w:rsidRDefault="004239CB" w:rsidP="004239CB">
      <w:pPr>
        <w:numPr>
          <w:ilvl w:val="0"/>
          <w:numId w:val="7"/>
        </w:numPr>
        <w:rPr>
          <w:b/>
          <w:sz w:val="22"/>
          <w:szCs w:val="22"/>
        </w:rPr>
      </w:pPr>
      <w:r w:rsidRPr="00D620F9">
        <w:rPr>
          <w:b/>
          <w:sz w:val="22"/>
          <w:szCs w:val="22"/>
        </w:rPr>
        <w:t>Rationale for Bank Involvement</w:t>
      </w:r>
    </w:p>
    <w:p w:rsidR="004239CB" w:rsidRPr="00D620F9" w:rsidRDefault="004239CB" w:rsidP="004239CB">
      <w:pPr>
        <w:rPr>
          <w:b/>
          <w:sz w:val="22"/>
          <w:szCs w:val="22"/>
        </w:rPr>
      </w:pPr>
    </w:p>
    <w:p w:rsidR="00D620F9" w:rsidRDefault="00B26A3A" w:rsidP="00D620F9">
      <w:pPr>
        <w:pStyle w:val="ListParagraph"/>
        <w:ind w:left="0"/>
        <w:contextualSpacing w:val="0"/>
        <w:jc w:val="both"/>
        <w:rPr>
          <w:iCs/>
          <w:sz w:val="22"/>
          <w:szCs w:val="22"/>
        </w:rPr>
      </w:pPr>
      <w:r w:rsidRPr="00D620F9">
        <w:rPr>
          <w:b/>
          <w:bCs/>
          <w:sz w:val="22"/>
          <w:szCs w:val="22"/>
        </w:rPr>
        <w:t xml:space="preserve">The proposed operation is fully aligned with the Colombia National Development Plan </w:t>
      </w:r>
      <w:r w:rsidR="00FF4FC0">
        <w:rPr>
          <w:b/>
          <w:bCs/>
          <w:sz w:val="22"/>
          <w:szCs w:val="22"/>
        </w:rPr>
        <w:t>and the</w:t>
      </w:r>
      <w:r w:rsidRPr="00D620F9">
        <w:rPr>
          <w:b/>
          <w:iCs/>
          <w:sz w:val="22"/>
          <w:szCs w:val="22"/>
        </w:rPr>
        <w:t xml:space="preserve"> Colombia Country Partnership Strategy (CPS)</w:t>
      </w:r>
      <w:r w:rsidRPr="00D620F9">
        <w:rPr>
          <w:iCs/>
          <w:sz w:val="22"/>
          <w:szCs w:val="22"/>
        </w:rPr>
        <w:t xml:space="preserve">. The operation has been requested by the Colombian government and </w:t>
      </w:r>
      <w:r w:rsidRPr="00D620F9">
        <w:rPr>
          <w:sz w:val="22"/>
          <w:szCs w:val="22"/>
        </w:rPr>
        <w:t>underscores the government’s continued interest in engaging</w:t>
      </w:r>
      <w:r w:rsidRPr="00D620F9">
        <w:rPr>
          <w:iCs/>
          <w:sz w:val="22"/>
          <w:szCs w:val="22"/>
        </w:rPr>
        <w:t xml:space="preserve"> </w:t>
      </w:r>
      <w:r w:rsidRPr="00D620F9">
        <w:rPr>
          <w:sz w:val="22"/>
          <w:szCs w:val="22"/>
        </w:rPr>
        <w:t>with the World Bank to strengthen economic activity and shared prosperity. I</w:t>
      </w:r>
      <w:r w:rsidRPr="00D620F9">
        <w:rPr>
          <w:iCs/>
          <w:sz w:val="22"/>
          <w:szCs w:val="22"/>
        </w:rPr>
        <w:t xml:space="preserve">n particular this operation is consistent with the World Bank </w:t>
      </w:r>
      <w:r w:rsidR="00FF4FC0">
        <w:rPr>
          <w:iCs/>
          <w:sz w:val="22"/>
          <w:szCs w:val="22"/>
        </w:rPr>
        <w:t xml:space="preserve">FY12-FY16 </w:t>
      </w:r>
      <w:r w:rsidRPr="00D620F9">
        <w:rPr>
          <w:iCs/>
          <w:sz w:val="22"/>
          <w:szCs w:val="22"/>
        </w:rPr>
        <w:t xml:space="preserve">CPS strategy on the pillar of inclusive growth with enhanced productivity, and with the government’s </w:t>
      </w:r>
      <w:r w:rsidR="00FF4FC0">
        <w:rPr>
          <w:iCs/>
          <w:sz w:val="22"/>
          <w:szCs w:val="22"/>
        </w:rPr>
        <w:t>2010-2014</w:t>
      </w:r>
      <w:r w:rsidR="000B2F2F">
        <w:rPr>
          <w:iCs/>
          <w:sz w:val="22"/>
          <w:szCs w:val="22"/>
        </w:rPr>
        <w:t xml:space="preserve"> National Development </w:t>
      </w:r>
      <w:r w:rsidR="00FF4FC0">
        <w:rPr>
          <w:iCs/>
          <w:sz w:val="22"/>
          <w:szCs w:val="22"/>
        </w:rPr>
        <w:t>Plan</w:t>
      </w:r>
      <w:r w:rsidRPr="00D620F9">
        <w:rPr>
          <w:iCs/>
          <w:sz w:val="22"/>
          <w:szCs w:val="22"/>
        </w:rPr>
        <w:t>, in particular the pillar of sustainable growth and productivity</w:t>
      </w:r>
      <w:r w:rsidR="00D620F9">
        <w:rPr>
          <w:iCs/>
          <w:sz w:val="22"/>
          <w:szCs w:val="22"/>
        </w:rPr>
        <w:t xml:space="preserve">. </w:t>
      </w:r>
    </w:p>
    <w:p w:rsidR="00D620F9" w:rsidRDefault="00D620F9" w:rsidP="00D620F9">
      <w:pPr>
        <w:pStyle w:val="ListParagraph"/>
        <w:ind w:left="0"/>
        <w:contextualSpacing w:val="0"/>
        <w:jc w:val="both"/>
        <w:rPr>
          <w:iCs/>
          <w:sz w:val="22"/>
          <w:szCs w:val="22"/>
        </w:rPr>
      </w:pPr>
    </w:p>
    <w:p w:rsidR="00267826" w:rsidRDefault="00D620F9" w:rsidP="00B26A3A">
      <w:pPr>
        <w:pStyle w:val="ListParagraph"/>
        <w:ind w:left="0"/>
        <w:contextualSpacing w:val="0"/>
        <w:jc w:val="both"/>
        <w:rPr>
          <w:kern w:val="28"/>
          <w:sz w:val="22"/>
          <w:szCs w:val="22"/>
        </w:rPr>
      </w:pPr>
      <w:r w:rsidRPr="00D620F9">
        <w:rPr>
          <w:b/>
          <w:iCs/>
          <w:sz w:val="22"/>
          <w:szCs w:val="22"/>
        </w:rPr>
        <w:t>This</w:t>
      </w:r>
      <w:r w:rsidRPr="00D620F9">
        <w:rPr>
          <w:b/>
          <w:sz w:val="22"/>
          <w:szCs w:val="22"/>
        </w:rPr>
        <w:t xml:space="preserve"> </w:t>
      </w:r>
      <w:r w:rsidRPr="00121236">
        <w:rPr>
          <w:b/>
          <w:sz w:val="22"/>
          <w:szCs w:val="22"/>
        </w:rPr>
        <w:t xml:space="preserve">DPL also complements the Bank’s long-term partnership with the </w:t>
      </w:r>
      <w:proofErr w:type="spellStart"/>
      <w:r w:rsidRPr="00121236">
        <w:rPr>
          <w:b/>
          <w:sz w:val="22"/>
          <w:szCs w:val="22"/>
        </w:rPr>
        <w:t>GoC</w:t>
      </w:r>
      <w:proofErr w:type="spellEnd"/>
      <w:r w:rsidR="00267826">
        <w:rPr>
          <w:b/>
          <w:sz w:val="22"/>
          <w:szCs w:val="22"/>
        </w:rPr>
        <w:t xml:space="preserve"> to support the country’s development </w:t>
      </w:r>
      <w:r w:rsidRPr="00121236">
        <w:rPr>
          <w:b/>
          <w:sz w:val="22"/>
          <w:szCs w:val="22"/>
        </w:rPr>
        <w:t>and contributes to the</w:t>
      </w:r>
      <w:r>
        <w:rPr>
          <w:b/>
          <w:sz w:val="22"/>
          <w:szCs w:val="22"/>
        </w:rPr>
        <w:t xml:space="preserve"> WB</w:t>
      </w:r>
      <w:r w:rsidRPr="00121236">
        <w:rPr>
          <w:b/>
          <w:sz w:val="22"/>
          <w:szCs w:val="22"/>
        </w:rPr>
        <w:t xml:space="preserve"> twin goals of reduced poverty and shared prosperity.</w:t>
      </w:r>
      <w:r>
        <w:rPr>
          <w:b/>
          <w:sz w:val="22"/>
          <w:szCs w:val="22"/>
        </w:rPr>
        <w:t xml:space="preserve"> </w:t>
      </w:r>
      <w:r w:rsidR="00B26A3A" w:rsidRPr="00D620F9">
        <w:rPr>
          <w:sz w:val="22"/>
          <w:szCs w:val="22"/>
        </w:rPr>
        <w:t>This DPL has been supported by the technical work developed under different thematic Programmatic Approach (PA) for Colombia</w:t>
      </w:r>
      <w:r>
        <w:rPr>
          <w:sz w:val="22"/>
          <w:szCs w:val="22"/>
        </w:rPr>
        <w:t>, including</w:t>
      </w:r>
      <w:r w:rsidR="00B26A3A" w:rsidRPr="00D620F9">
        <w:rPr>
          <w:sz w:val="22"/>
          <w:szCs w:val="22"/>
        </w:rPr>
        <w:t xml:space="preserve"> the</w:t>
      </w:r>
      <w:r w:rsidR="00B26A3A" w:rsidRPr="00D620F9">
        <w:rPr>
          <w:b/>
          <w:sz w:val="22"/>
          <w:szCs w:val="22"/>
        </w:rPr>
        <w:t xml:space="preserve"> </w:t>
      </w:r>
      <w:r w:rsidR="00B26A3A" w:rsidRPr="00D620F9">
        <w:rPr>
          <w:sz w:val="22"/>
          <w:szCs w:val="22"/>
        </w:rPr>
        <w:t xml:space="preserve">Sound Financial Sector Development PA, </w:t>
      </w:r>
      <w:r w:rsidR="00B26A3A" w:rsidRPr="00D620F9">
        <w:rPr>
          <w:bCs/>
          <w:sz w:val="22"/>
          <w:szCs w:val="22"/>
        </w:rPr>
        <w:t>the Innovation and Competitiveness PA</w:t>
      </w:r>
      <w:r>
        <w:rPr>
          <w:bCs/>
          <w:sz w:val="22"/>
          <w:szCs w:val="22"/>
        </w:rPr>
        <w:t xml:space="preserve"> and</w:t>
      </w:r>
      <w:r w:rsidR="00B26A3A" w:rsidRPr="00D620F9">
        <w:rPr>
          <w:bCs/>
          <w:sz w:val="22"/>
          <w:szCs w:val="22"/>
        </w:rPr>
        <w:t xml:space="preserve"> the Public Sector PA</w:t>
      </w:r>
      <w:r>
        <w:rPr>
          <w:bCs/>
          <w:sz w:val="22"/>
          <w:szCs w:val="22"/>
        </w:rPr>
        <w:t xml:space="preserve">. </w:t>
      </w:r>
      <w:r w:rsidR="00267826">
        <w:rPr>
          <w:bCs/>
          <w:sz w:val="22"/>
          <w:szCs w:val="22"/>
        </w:rPr>
        <w:t>In addition, t</w:t>
      </w:r>
      <w:r w:rsidR="00B26A3A" w:rsidRPr="00D620F9">
        <w:rPr>
          <w:sz w:val="22"/>
          <w:szCs w:val="22"/>
        </w:rPr>
        <w:t>he definition of the PDO and the overall diagnostic that supported the design of the operation were based on the work under the Strengthening Fiscal Policy for Sustained and Inclusive Growth PA and the Colombia Policy Notes. Finally, it is worth highlighting that this DPL series follows a long engagement with Colombia through DPLs, including the Fiscal Sustainability and Growth Resilience DPL I (2011) and II (2012) and the Fiscal Policy fo</w:t>
      </w:r>
      <w:r w:rsidR="00267826">
        <w:rPr>
          <w:sz w:val="22"/>
          <w:szCs w:val="22"/>
        </w:rPr>
        <w:t xml:space="preserve">r Shared Prosperity DPL (2013) and the </w:t>
      </w:r>
      <w:r w:rsidR="00B26A3A" w:rsidRPr="00267826">
        <w:rPr>
          <w:kern w:val="28"/>
          <w:sz w:val="22"/>
          <w:szCs w:val="22"/>
        </w:rPr>
        <w:t>DPL series on business productivity and efficiency implemented between 2006 and 2011.</w:t>
      </w:r>
    </w:p>
    <w:p w:rsidR="00B26A3A" w:rsidRPr="00D620F9" w:rsidRDefault="00267826" w:rsidP="00B26A3A">
      <w:pPr>
        <w:pStyle w:val="ListParagraph"/>
        <w:ind w:left="0"/>
        <w:contextualSpacing w:val="0"/>
        <w:jc w:val="both"/>
        <w:rPr>
          <w:iCs/>
          <w:sz w:val="22"/>
          <w:szCs w:val="22"/>
        </w:rPr>
      </w:pPr>
      <w:r w:rsidRPr="00D620F9">
        <w:rPr>
          <w:iCs/>
          <w:sz w:val="22"/>
          <w:szCs w:val="22"/>
        </w:rPr>
        <w:t xml:space="preserve"> </w:t>
      </w:r>
    </w:p>
    <w:p w:rsidR="004239CB" w:rsidRPr="00D620F9" w:rsidRDefault="004239CB" w:rsidP="004239CB">
      <w:pPr>
        <w:numPr>
          <w:ilvl w:val="0"/>
          <w:numId w:val="7"/>
        </w:numPr>
        <w:rPr>
          <w:b/>
          <w:sz w:val="22"/>
          <w:szCs w:val="22"/>
        </w:rPr>
      </w:pPr>
      <w:r w:rsidRPr="00D620F9">
        <w:rPr>
          <w:b/>
          <w:sz w:val="22"/>
          <w:szCs w:val="22"/>
        </w:rPr>
        <w:lastRenderedPageBreak/>
        <w:t>Tentative financing</w:t>
      </w:r>
    </w:p>
    <w:p w:rsidR="004239CB" w:rsidRPr="00D620F9" w:rsidRDefault="004239CB" w:rsidP="004239CB">
      <w:pPr>
        <w:ind w:firstLine="720"/>
        <w:rPr>
          <w:sz w:val="22"/>
          <w:szCs w:val="22"/>
        </w:rPr>
      </w:pPr>
    </w:p>
    <w:tbl>
      <w:tblPr>
        <w:tblW w:w="0" w:type="auto"/>
        <w:tblLook w:val="0000" w:firstRow="0" w:lastRow="0" w:firstColumn="0" w:lastColumn="0" w:noHBand="0" w:noVBand="0"/>
      </w:tblPr>
      <w:tblGrid>
        <w:gridCol w:w="7488"/>
        <w:gridCol w:w="1980"/>
      </w:tblGrid>
      <w:tr w:rsidR="004239CB" w:rsidRPr="00D620F9" w:rsidTr="00B1679B">
        <w:tc>
          <w:tcPr>
            <w:tcW w:w="7488" w:type="dxa"/>
          </w:tcPr>
          <w:p w:rsidR="004239CB" w:rsidRPr="00D620F9" w:rsidRDefault="004239CB" w:rsidP="00B1679B">
            <w:pPr>
              <w:rPr>
                <w:sz w:val="22"/>
                <w:szCs w:val="22"/>
              </w:rPr>
            </w:pPr>
            <w:r w:rsidRPr="00D620F9">
              <w:rPr>
                <w:sz w:val="22"/>
                <w:szCs w:val="22"/>
              </w:rPr>
              <w:t>Source:</w:t>
            </w:r>
            <w:bookmarkStart w:id="12" w:name="FINANCINGTAB_PID"/>
            <w:bookmarkEnd w:id="12"/>
          </w:p>
        </w:tc>
        <w:tc>
          <w:tcPr>
            <w:tcW w:w="1980" w:type="dxa"/>
          </w:tcPr>
          <w:p w:rsidR="004239CB" w:rsidRPr="00D620F9" w:rsidRDefault="004239CB" w:rsidP="00B1679B">
            <w:pPr>
              <w:tabs>
                <w:tab w:val="decimal" w:pos="252"/>
              </w:tabs>
              <w:jc w:val="center"/>
              <w:rPr>
                <w:sz w:val="22"/>
                <w:szCs w:val="22"/>
              </w:rPr>
            </w:pPr>
            <w:r w:rsidRPr="00D620F9">
              <w:rPr>
                <w:sz w:val="22"/>
                <w:szCs w:val="22"/>
              </w:rPr>
              <w:t>($m.)</w:t>
            </w:r>
          </w:p>
        </w:tc>
      </w:tr>
      <w:tr w:rsidR="000C24F3" w:rsidRPr="00D620F9" w:rsidTr="00B1679B">
        <w:tc>
          <w:tcPr>
            <w:tcW w:w="7488" w:type="dxa"/>
          </w:tcPr>
          <w:p w:rsidR="000C24F3" w:rsidRPr="00D620F9" w:rsidRDefault="000C24F3" w:rsidP="00B1679B">
            <w:pPr>
              <w:tabs>
                <w:tab w:val="right" w:pos="7200"/>
              </w:tabs>
              <w:rPr>
                <w:sz w:val="22"/>
                <w:szCs w:val="22"/>
              </w:rPr>
            </w:pPr>
            <w:r w:rsidRPr="00D620F9">
              <w:rPr>
                <w:sz w:val="22"/>
                <w:szCs w:val="22"/>
              </w:rPr>
              <w:t>Borrower</w:t>
            </w:r>
          </w:p>
        </w:tc>
        <w:tc>
          <w:tcPr>
            <w:tcW w:w="1980" w:type="dxa"/>
          </w:tcPr>
          <w:p w:rsidR="000C24F3" w:rsidRPr="00D620F9" w:rsidRDefault="000C24F3" w:rsidP="00B1679B">
            <w:pPr>
              <w:tabs>
                <w:tab w:val="decimal" w:pos="252"/>
              </w:tabs>
              <w:jc w:val="center"/>
              <w:rPr>
                <w:sz w:val="22"/>
                <w:szCs w:val="22"/>
              </w:rPr>
            </w:pPr>
            <w:r w:rsidRPr="00D620F9">
              <w:rPr>
                <w:sz w:val="22"/>
                <w:szCs w:val="22"/>
              </w:rPr>
              <w:t>0</w:t>
            </w:r>
          </w:p>
        </w:tc>
      </w:tr>
      <w:tr w:rsidR="000C24F3" w:rsidRPr="00D620F9" w:rsidTr="00B1679B">
        <w:tc>
          <w:tcPr>
            <w:tcW w:w="7488" w:type="dxa"/>
          </w:tcPr>
          <w:p w:rsidR="000C24F3" w:rsidRPr="00D620F9" w:rsidRDefault="000C24F3" w:rsidP="00B1679B">
            <w:pPr>
              <w:tabs>
                <w:tab w:val="right" w:pos="7200"/>
              </w:tabs>
              <w:rPr>
                <w:sz w:val="22"/>
                <w:szCs w:val="22"/>
              </w:rPr>
            </w:pPr>
            <w:r w:rsidRPr="00D620F9">
              <w:rPr>
                <w:sz w:val="22"/>
                <w:szCs w:val="22"/>
              </w:rPr>
              <w:t>International Bank for Reconstruction and Development</w:t>
            </w:r>
          </w:p>
        </w:tc>
        <w:tc>
          <w:tcPr>
            <w:tcW w:w="1980" w:type="dxa"/>
          </w:tcPr>
          <w:p w:rsidR="000C24F3" w:rsidRPr="00D620F9" w:rsidRDefault="000C24F3" w:rsidP="00B1679B">
            <w:pPr>
              <w:tabs>
                <w:tab w:val="decimal" w:pos="252"/>
              </w:tabs>
              <w:jc w:val="center"/>
              <w:rPr>
                <w:sz w:val="22"/>
                <w:szCs w:val="22"/>
              </w:rPr>
            </w:pPr>
            <w:r w:rsidRPr="00D620F9">
              <w:rPr>
                <w:sz w:val="22"/>
                <w:szCs w:val="22"/>
              </w:rPr>
              <w:t>400</w:t>
            </w:r>
          </w:p>
        </w:tc>
      </w:tr>
      <w:tr w:rsidR="004239CB" w:rsidRPr="00D620F9" w:rsidTr="00B1679B">
        <w:tc>
          <w:tcPr>
            <w:tcW w:w="7488" w:type="dxa"/>
          </w:tcPr>
          <w:p w:rsidR="004239CB" w:rsidRPr="00D620F9" w:rsidRDefault="004239CB" w:rsidP="00B1679B">
            <w:pPr>
              <w:tabs>
                <w:tab w:val="right" w:pos="7200"/>
              </w:tabs>
              <w:rPr>
                <w:sz w:val="22"/>
                <w:szCs w:val="22"/>
              </w:rPr>
            </w:pPr>
            <w:r w:rsidRPr="00D620F9">
              <w:rPr>
                <w:sz w:val="22"/>
                <w:szCs w:val="22"/>
              </w:rPr>
              <w:t>Borrower/Recipient</w:t>
            </w:r>
          </w:p>
        </w:tc>
        <w:tc>
          <w:tcPr>
            <w:tcW w:w="1980" w:type="dxa"/>
          </w:tcPr>
          <w:p w:rsidR="004239CB" w:rsidRPr="00D620F9" w:rsidRDefault="004239CB" w:rsidP="00B1679B">
            <w:pPr>
              <w:tabs>
                <w:tab w:val="decimal" w:pos="252"/>
              </w:tabs>
              <w:jc w:val="center"/>
              <w:rPr>
                <w:sz w:val="22"/>
                <w:szCs w:val="22"/>
              </w:rPr>
            </w:pPr>
          </w:p>
        </w:tc>
      </w:tr>
      <w:tr w:rsidR="004239CB" w:rsidRPr="00D620F9" w:rsidTr="00B1679B">
        <w:tc>
          <w:tcPr>
            <w:tcW w:w="7488" w:type="dxa"/>
          </w:tcPr>
          <w:p w:rsidR="004239CB" w:rsidRPr="00D620F9" w:rsidRDefault="004239CB" w:rsidP="00B1679B">
            <w:pPr>
              <w:tabs>
                <w:tab w:val="right" w:pos="7200"/>
              </w:tabs>
              <w:rPr>
                <w:sz w:val="22"/>
                <w:szCs w:val="22"/>
              </w:rPr>
            </w:pPr>
            <w:r w:rsidRPr="00D620F9">
              <w:rPr>
                <w:sz w:val="22"/>
                <w:szCs w:val="22"/>
              </w:rPr>
              <w:t>IBRD</w:t>
            </w:r>
          </w:p>
          <w:p w:rsidR="004239CB" w:rsidRPr="00D620F9" w:rsidRDefault="004239CB" w:rsidP="00B1679B">
            <w:pPr>
              <w:tabs>
                <w:tab w:val="right" w:pos="7200"/>
              </w:tabs>
              <w:rPr>
                <w:sz w:val="22"/>
                <w:szCs w:val="22"/>
              </w:rPr>
            </w:pPr>
            <w:r w:rsidRPr="00D620F9">
              <w:rPr>
                <w:sz w:val="22"/>
                <w:szCs w:val="22"/>
              </w:rPr>
              <w:t>Others (</w:t>
            </w:r>
            <w:proofErr w:type="spellStart"/>
            <w:r w:rsidRPr="00D620F9">
              <w:rPr>
                <w:sz w:val="22"/>
                <w:szCs w:val="22"/>
              </w:rPr>
              <w:t>specifiy</w:t>
            </w:r>
            <w:proofErr w:type="spellEnd"/>
            <w:r w:rsidRPr="00D620F9">
              <w:rPr>
                <w:sz w:val="22"/>
                <w:szCs w:val="22"/>
              </w:rPr>
              <w:t>)</w:t>
            </w:r>
          </w:p>
        </w:tc>
        <w:tc>
          <w:tcPr>
            <w:tcW w:w="1980" w:type="dxa"/>
          </w:tcPr>
          <w:p w:rsidR="004239CB" w:rsidRPr="00D620F9" w:rsidRDefault="004239CB" w:rsidP="00B1679B">
            <w:pPr>
              <w:tabs>
                <w:tab w:val="decimal" w:pos="252"/>
              </w:tabs>
              <w:jc w:val="center"/>
              <w:rPr>
                <w:sz w:val="22"/>
                <w:szCs w:val="22"/>
              </w:rPr>
            </w:pPr>
          </w:p>
        </w:tc>
      </w:tr>
      <w:tr w:rsidR="004239CB" w:rsidRPr="00D620F9" w:rsidTr="00B1679B">
        <w:tc>
          <w:tcPr>
            <w:tcW w:w="7488" w:type="dxa"/>
          </w:tcPr>
          <w:p w:rsidR="004239CB" w:rsidRPr="00D620F9" w:rsidRDefault="004239CB" w:rsidP="00B1679B">
            <w:pPr>
              <w:tabs>
                <w:tab w:val="right" w:pos="7200"/>
              </w:tabs>
              <w:rPr>
                <w:sz w:val="22"/>
                <w:szCs w:val="22"/>
              </w:rPr>
            </w:pPr>
            <w:r w:rsidRPr="00D620F9">
              <w:rPr>
                <w:sz w:val="22"/>
                <w:szCs w:val="22"/>
              </w:rPr>
              <w:tab/>
              <w:t>Total</w:t>
            </w:r>
          </w:p>
        </w:tc>
        <w:tc>
          <w:tcPr>
            <w:tcW w:w="1980" w:type="dxa"/>
          </w:tcPr>
          <w:p w:rsidR="004239CB" w:rsidRPr="00D620F9" w:rsidRDefault="00CB74EC" w:rsidP="00B1679B">
            <w:pPr>
              <w:tabs>
                <w:tab w:val="decimal" w:pos="252"/>
              </w:tabs>
              <w:jc w:val="center"/>
              <w:rPr>
                <w:sz w:val="22"/>
                <w:szCs w:val="22"/>
              </w:rPr>
            </w:pPr>
            <w:r w:rsidRPr="00D620F9">
              <w:rPr>
                <w:sz w:val="22"/>
                <w:szCs w:val="22"/>
              </w:rPr>
              <w:t>400</w:t>
            </w:r>
          </w:p>
        </w:tc>
      </w:tr>
    </w:tbl>
    <w:p w:rsidR="00B26A3A" w:rsidRPr="00D620F9" w:rsidRDefault="00B26A3A" w:rsidP="00B26A3A">
      <w:pPr>
        <w:numPr>
          <w:ilvl w:val="0"/>
          <w:numId w:val="7"/>
        </w:numPr>
        <w:rPr>
          <w:b/>
          <w:sz w:val="22"/>
          <w:szCs w:val="22"/>
        </w:rPr>
      </w:pPr>
      <w:r w:rsidRPr="00D620F9">
        <w:rPr>
          <w:b/>
          <w:sz w:val="22"/>
          <w:szCs w:val="22"/>
        </w:rPr>
        <w:t>Tranches</w:t>
      </w:r>
    </w:p>
    <w:p w:rsidR="00B26A3A" w:rsidRPr="00D620F9" w:rsidRDefault="00B26A3A" w:rsidP="004239CB">
      <w:pPr>
        <w:rPr>
          <w:sz w:val="22"/>
          <w:szCs w:val="22"/>
        </w:rPr>
      </w:pPr>
    </w:p>
    <w:p w:rsidR="00B26A3A" w:rsidRPr="00D620F9" w:rsidRDefault="00B26A3A" w:rsidP="004239CB">
      <w:pPr>
        <w:rPr>
          <w:b/>
          <w:sz w:val="22"/>
          <w:szCs w:val="22"/>
        </w:rPr>
      </w:pPr>
      <w:r w:rsidRPr="00D620F9">
        <w:rPr>
          <w:sz w:val="22"/>
          <w:szCs w:val="22"/>
        </w:rPr>
        <w:t>The US$400 million DPL will be disbursed once the operation goes into effect and is contingent upon the Government’s completion of prior policy actions.</w:t>
      </w:r>
    </w:p>
    <w:p w:rsidR="00B26A3A" w:rsidRPr="00D620F9" w:rsidRDefault="00B26A3A" w:rsidP="004239CB">
      <w:pPr>
        <w:rPr>
          <w:b/>
          <w:sz w:val="22"/>
          <w:szCs w:val="22"/>
        </w:rPr>
      </w:pPr>
    </w:p>
    <w:p w:rsidR="004239CB" w:rsidRPr="00D620F9" w:rsidRDefault="004239CB" w:rsidP="004239CB">
      <w:pPr>
        <w:numPr>
          <w:ilvl w:val="0"/>
          <w:numId w:val="7"/>
        </w:numPr>
        <w:rPr>
          <w:b/>
          <w:sz w:val="22"/>
          <w:szCs w:val="22"/>
        </w:rPr>
      </w:pPr>
      <w:r w:rsidRPr="00D620F9">
        <w:rPr>
          <w:b/>
          <w:sz w:val="22"/>
          <w:szCs w:val="22"/>
        </w:rPr>
        <w:t>Institutional and Implementation Arrangements</w:t>
      </w:r>
    </w:p>
    <w:p w:rsidR="004239CB" w:rsidRDefault="004239CB" w:rsidP="004239CB">
      <w:pPr>
        <w:pStyle w:val="ListParagraph"/>
        <w:rPr>
          <w:b/>
          <w:sz w:val="22"/>
          <w:szCs w:val="22"/>
        </w:rPr>
      </w:pPr>
    </w:p>
    <w:p w:rsidR="00267826" w:rsidRPr="00121236" w:rsidRDefault="00267826" w:rsidP="00267826">
      <w:pPr>
        <w:pStyle w:val="Body"/>
        <w:numPr>
          <w:ilvl w:val="0"/>
          <w:numId w:val="0"/>
        </w:numPr>
        <w:spacing w:after="120" w:line="240" w:lineRule="auto"/>
        <w:rPr>
          <w:b/>
          <w:sz w:val="22"/>
          <w:szCs w:val="22"/>
        </w:rPr>
      </w:pPr>
      <w:r w:rsidRPr="00121236">
        <w:rPr>
          <w:b/>
          <w:sz w:val="22"/>
          <w:szCs w:val="22"/>
        </w:rPr>
        <w:t xml:space="preserve">The preparation of this operation is being led by the </w:t>
      </w:r>
      <w:r>
        <w:rPr>
          <w:b/>
          <w:sz w:val="22"/>
          <w:szCs w:val="22"/>
        </w:rPr>
        <w:t xml:space="preserve">Ministry of Finance and the </w:t>
      </w:r>
      <w:r w:rsidRPr="00121236">
        <w:rPr>
          <w:b/>
          <w:sz w:val="22"/>
          <w:szCs w:val="22"/>
        </w:rPr>
        <w:t xml:space="preserve">National Planning Department, with participation from the Ministry of </w:t>
      </w:r>
      <w:r>
        <w:rPr>
          <w:b/>
          <w:sz w:val="22"/>
          <w:szCs w:val="22"/>
        </w:rPr>
        <w:t>Education, Ministry of Labor, Ministry of Commerce, DIAN,</w:t>
      </w:r>
      <w:r w:rsidR="00FF4FC0">
        <w:rPr>
          <w:b/>
          <w:sz w:val="22"/>
          <w:szCs w:val="22"/>
        </w:rPr>
        <w:t xml:space="preserve"> </w:t>
      </w:r>
      <w:r w:rsidR="003442FB">
        <w:rPr>
          <w:b/>
          <w:sz w:val="22"/>
          <w:szCs w:val="22"/>
        </w:rPr>
        <w:t xml:space="preserve">and </w:t>
      </w:r>
      <w:r w:rsidR="00FF4FC0">
        <w:rPr>
          <w:b/>
          <w:sz w:val="22"/>
          <w:szCs w:val="22"/>
        </w:rPr>
        <w:t>SENA</w:t>
      </w:r>
      <w:r w:rsidRPr="00121236">
        <w:rPr>
          <w:b/>
          <w:sz w:val="22"/>
          <w:szCs w:val="22"/>
        </w:rPr>
        <w:t>.</w:t>
      </w:r>
      <w:r w:rsidRPr="00121236">
        <w:rPr>
          <w:sz w:val="22"/>
          <w:szCs w:val="22"/>
        </w:rPr>
        <w:t xml:space="preserve">  These agencies will be responsible for the overall implementation of the proposed operation, and for reporting on progress.  </w:t>
      </w:r>
      <w:r w:rsidRPr="00121236">
        <w:rPr>
          <w:b/>
          <w:sz w:val="22"/>
          <w:szCs w:val="22"/>
        </w:rPr>
        <w:t xml:space="preserve"> </w:t>
      </w:r>
    </w:p>
    <w:p w:rsidR="00267826" w:rsidRPr="00121236" w:rsidRDefault="00267826" w:rsidP="00267826">
      <w:pPr>
        <w:pStyle w:val="Body"/>
        <w:numPr>
          <w:ilvl w:val="0"/>
          <w:numId w:val="0"/>
        </w:numPr>
        <w:spacing w:before="240" w:after="120" w:line="240" w:lineRule="auto"/>
        <w:rPr>
          <w:b/>
          <w:sz w:val="22"/>
          <w:szCs w:val="22"/>
        </w:rPr>
      </w:pPr>
      <w:r w:rsidRPr="00121236">
        <w:rPr>
          <w:b/>
          <w:sz w:val="22"/>
          <w:szCs w:val="22"/>
        </w:rPr>
        <w:t xml:space="preserve">The Program outcomes will be monitored through the measurement of the indicators included in the policy matrix. </w:t>
      </w:r>
      <w:r w:rsidRPr="00121236">
        <w:rPr>
          <w:sz w:val="22"/>
          <w:szCs w:val="22"/>
        </w:rPr>
        <w:t xml:space="preserve">The indicators seek to assess progress towards the implementation of the reforms supported by the proposed DPL and will be evaluated one year following the disbursement of the Loan. </w:t>
      </w:r>
    </w:p>
    <w:p w:rsidR="004239CB" w:rsidRPr="00D620F9" w:rsidRDefault="004239CB" w:rsidP="004239CB">
      <w:pPr>
        <w:ind w:left="720"/>
        <w:rPr>
          <w:b/>
          <w:sz w:val="22"/>
          <w:szCs w:val="22"/>
        </w:rPr>
      </w:pPr>
    </w:p>
    <w:p w:rsidR="004239CB" w:rsidRPr="00D620F9" w:rsidRDefault="004239CB" w:rsidP="004239CB">
      <w:pPr>
        <w:numPr>
          <w:ilvl w:val="0"/>
          <w:numId w:val="7"/>
        </w:numPr>
        <w:rPr>
          <w:b/>
          <w:sz w:val="22"/>
          <w:szCs w:val="22"/>
        </w:rPr>
      </w:pPr>
      <w:r w:rsidRPr="00D620F9">
        <w:rPr>
          <w:b/>
          <w:sz w:val="22"/>
          <w:szCs w:val="22"/>
        </w:rPr>
        <w:t>Risks and Risk Mitigation</w:t>
      </w:r>
    </w:p>
    <w:p w:rsidR="00502949" w:rsidRDefault="00502949" w:rsidP="00CB74EC">
      <w:pPr>
        <w:pStyle w:val="ListParagraph"/>
        <w:ind w:left="0"/>
        <w:contextualSpacing w:val="0"/>
        <w:jc w:val="both"/>
        <w:rPr>
          <w:b/>
          <w:bCs/>
          <w:sz w:val="22"/>
          <w:szCs w:val="22"/>
        </w:rPr>
      </w:pPr>
    </w:p>
    <w:p w:rsidR="00CB74EC" w:rsidRPr="00D620F9" w:rsidRDefault="00CB74EC" w:rsidP="00CB74EC">
      <w:pPr>
        <w:pStyle w:val="ListParagraph"/>
        <w:ind w:left="0"/>
        <w:contextualSpacing w:val="0"/>
        <w:jc w:val="both"/>
        <w:rPr>
          <w:bCs/>
          <w:sz w:val="22"/>
          <w:szCs w:val="22"/>
        </w:rPr>
      </w:pPr>
      <w:r w:rsidRPr="00D620F9">
        <w:rPr>
          <w:b/>
          <w:bCs/>
          <w:sz w:val="22"/>
          <w:szCs w:val="22"/>
        </w:rPr>
        <w:t xml:space="preserve">The overall risk for this operation is moderate. </w:t>
      </w:r>
      <w:r w:rsidRPr="00D620F9">
        <w:rPr>
          <w:bCs/>
          <w:sz w:val="22"/>
          <w:szCs w:val="22"/>
        </w:rPr>
        <w:t xml:space="preserve">The main risks arise from changes in the external economic environment, such as stagnation of oil prices and variation in external financing conditions. The team believes that the program supported by this DPL will help strengthen the domestic economy and help attenuate the impact from larger than expected external shocks. </w:t>
      </w:r>
    </w:p>
    <w:p w:rsidR="00CB74EC" w:rsidRPr="00D620F9" w:rsidRDefault="00CB74EC" w:rsidP="00CB74EC">
      <w:pPr>
        <w:autoSpaceDE w:val="0"/>
        <w:autoSpaceDN w:val="0"/>
        <w:adjustRightInd w:val="0"/>
        <w:rPr>
          <w:b/>
          <w:bCs/>
          <w:i/>
          <w:iCs/>
          <w:sz w:val="22"/>
          <w:szCs w:val="22"/>
        </w:rPr>
      </w:pPr>
    </w:p>
    <w:p w:rsidR="00E40F0E" w:rsidRDefault="00CB74EC" w:rsidP="00E40F0E">
      <w:pPr>
        <w:autoSpaceDE w:val="0"/>
        <w:autoSpaceDN w:val="0"/>
        <w:adjustRightInd w:val="0"/>
        <w:rPr>
          <w:b/>
          <w:bCs/>
          <w:i/>
          <w:iCs/>
          <w:sz w:val="22"/>
          <w:szCs w:val="22"/>
        </w:rPr>
      </w:pPr>
      <w:r w:rsidRPr="00E40F0E">
        <w:rPr>
          <w:b/>
          <w:bCs/>
          <w:i/>
          <w:iCs/>
          <w:sz w:val="22"/>
          <w:szCs w:val="22"/>
        </w:rPr>
        <w:t>Economic Risks</w:t>
      </w:r>
    </w:p>
    <w:p w:rsidR="00FF4FC0" w:rsidRDefault="00FF4FC0" w:rsidP="00E40F0E">
      <w:pPr>
        <w:autoSpaceDE w:val="0"/>
        <w:autoSpaceDN w:val="0"/>
        <w:adjustRightInd w:val="0"/>
        <w:rPr>
          <w:b/>
          <w:bCs/>
          <w:i/>
          <w:iCs/>
          <w:sz w:val="22"/>
          <w:szCs w:val="22"/>
        </w:rPr>
      </w:pPr>
    </w:p>
    <w:p w:rsidR="00CB74EC" w:rsidRPr="00D620F9" w:rsidRDefault="00CB74EC" w:rsidP="00E40F0E">
      <w:pPr>
        <w:autoSpaceDE w:val="0"/>
        <w:autoSpaceDN w:val="0"/>
        <w:adjustRightInd w:val="0"/>
        <w:rPr>
          <w:kern w:val="28"/>
          <w:sz w:val="22"/>
          <w:szCs w:val="22"/>
        </w:rPr>
      </w:pPr>
      <w:r w:rsidRPr="00E40F0E">
        <w:rPr>
          <w:b/>
          <w:sz w:val="22"/>
          <w:szCs w:val="22"/>
        </w:rPr>
        <w:t>Colombia is exposed to two main types of</w:t>
      </w:r>
      <w:r w:rsidRPr="00E40F0E">
        <w:rPr>
          <w:b/>
          <w:bCs/>
          <w:sz w:val="22"/>
          <w:szCs w:val="22"/>
        </w:rPr>
        <w:t xml:space="preserve"> </w:t>
      </w:r>
      <w:r w:rsidRPr="00E40F0E">
        <w:rPr>
          <w:b/>
          <w:sz w:val="22"/>
          <w:szCs w:val="22"/>
        </w:rPr>
        <w:t>external shocks: a decline in oil and mining prices and financial turmoil’s associated with a possible tapering of US monetary policy.</w:t>
      </w:r>
      <w:r w:rsidRPr="00D620F9">
        <w:rPr>
          <w:sz w:val="22"/>
          <w:szCs w:val="22"/>
        </w:rPr>
        <w:t xml:space="preserve"> </w:t>
      </w:r>
      <w:r w:rsidRPr="00D620F9">
        <w:rPr>
          <w:iCs/>
          <w:sz w:val="22"/>
          <w:szCs w:val="22"/>
        </w:rPr>
        <w:t>This risk is mitigated by the fact that t</w:t>
      </w:r>
      <w:r w:rsidRPr="00D620F9">
        <w:rPr>
          <w:sz w:val="22"/>
          <w:szCs w:val="22"/>
        </w:rPr>
        <w:t>he country’s macro resilience is based on solid initial conditions and policy buffers to respond. In addition, structural reforms supported by this operation will contribute to growth and partially compensate for adverse changes in the external environment. The absence of significant domestic or external imbalances helps shore up stability. Prudent fiscal and monetary management – with room for countercyclical policy responses, substantial foreign direct investment inflows, comfortable levels of foreign reserves, and a Flexible Credit Line with the IMF help protect Colombia’s external position.</w:t>
      </w:r>
    </w:p>
    <w:p w:rsidR="00CB74EC" w:rsidRPr="00D620F9" w:rsidRDefault="00CB74EC" w:rsidP="00CB74EC">
      <w:pPr>
        <w:pStyle w:val="ListParagraph"/>
        <w:ind w:left="0"/>
        <w:jc w:val="both"/>
        <w:rPr>
          <w:kern w:val="28"/>
          <w:sz w:val="22"/>
          <w:szCs w:val="22"/>
        </w:rPr>
      </w:pPr>
    </w:p>
    <w:p w:rsidR="00CB74EC" w:rsidRPr="00E40F0E" w:rsidRDefault="00CB74EC" w:rsidP="00CB74EC">
      <w:pPr>
        <w:pStyle w:val="ListParagraph"/>
        <w:ind w:left="0"/>
        <w:contextualSpacing w:val="0"/>
        <w:jc w:val="both"/>
        <w:rPr>
          <w:sz w:val="22"/>
          <w:szCs w:val="22"/>
        </w:rPr>
      </w:pPr>
      <w:r w:rsidRPr="00D620F9">
        <w:rPr>
          <w:b/>
          <w:bCs/>
          <w:sz w:val="22"/>
          <w:szCs w:val="22"/>
        </w:rPr>
        <w:t>The appreciation of the Colombia peso, which has been an issue of concern, has halted since 2013</w:t>
      </w:r>
      <w:r w:rsidRPr="00D620F9">
        <w:rPr>
          <w:sz w:val="22"/>
          <w:szCs w:val="22"/>
        </w:rPr>
        <w:t>. The Colombian peso (the nominal as well as the real effective rate) has grown gradually stronger in recent years because of significant capital inflows (primarily FDI) and improved fiscal policy. Recently, however, a combination of lower interest rates, currency purchases by the Central Bank, and change in the international financial environment have contributed to a nominal depreciation of the peso during 2013, and a relatively stable position during 2014. This helped alleviate Dutch disease concerns</w:t>
      </w:r>
      <w:r w:rsidRPr="00D620F9">
        <w:rPr>
          <w:i/>
          <w:sz w:val="22"/>
          <w:szCs w:val="22"/>
        </w:rPr>
        <w:t xml:space="preserve">. </w:t>
      </w:r>
    </w:p>
    <w:p w:rsidR="00CB74EC" w:rsidRPr="00D620F9" w:rsidRDefault="00CB74EC" w:rsidP="00CB74EC">
      <w:pPr>
        <w:pStyle w:val="ListParagraph"/>
        <w:ind w:left="0"/>
        <w:jc w:val="both"/>
        <w:rPr>
          <w:kern w:val="28"/>
          <w:sz w:val="22"/>
          <w:szCs w:val="22"/>
        </w:rPr>
      </w:pPr>
    </w:p>
    <w:p w:rsidR="00CB74EC" w:rsidRPr="00D620F9" w:rsidRDefault="00CB74EC" w:rsidP="00CB74EC">
      <w:pPr>
        <w:autoSpaceDE w:val="0"/>
        <w:autoSpaceDN w:val="0"/>
        <w:adjustRightInd w:val="0"/>
        <w:rPr>
          <w:b/>
          <w:bCs/>
          <w:i/>
          <w:iCs/>
          <w:sz w:val="22"/>
          <w:szCs w:val="22"/>
        </w:rPr>
      </w:pPr>
      <w:r w:rsidRPr="00D620F9">
        <w:rPr>
          <w:b/>
          <w:bCs/>
          <w:i/>
          <w:iCs/>
          <w:sz w:val="22"/>
          <w:szCs w:val="22"/>
        </w:rPr>
        <w:lastRenderedPageBreak/>
        <w:t>Implementation Risks</w:t>
      </w:r>
    </w:p>
    <w:p w:rsidR="00CB74EC" w:rsidRPr="00D620F9" w:rsidRDefault="00CB74EC" w:rsidP="00CB74EC">
      <w:pPr>
        <w:autoSpaceDE w:val="0"/>
        <w:autoSpaceDN w:val="0"/>
        <w:adjustRightInd w:val="0"/>
        <w:rPr>
          <w:b/>
          <w:bCs/>
          <w:i/>
          <w:iCs/>
          <w:sz w:val="22"/>
          <w:szCs w:val="22"/>
        </w:rPr>
      </w:pPr>
    </w:p>
    <w:p w:rsidR="00CB74EC" w:rsidRPr="00D620F9" w:rsidRDefault="00CB74EC" w:rsidP="00CB74EC">
      <w:pPr>
        <w:pStyle w:val="ListParagraph"/>
        <w:ind w:left="0"/>
        <w:contextualSpacing w:val="0"/>
        <w:jc w:val="both"/>
        <w:rPr>
          <w:kern w:val="28"/>
          <w:sz w:val="22"/>
          <w:szCs w:val="22"/>
        </w:rPr>
      </w:pPr>
      <w:r w:rsidRPr="00D620F9">
        <w:rPr>
          <w:b/>
          <w:sz w:val="22"/>
          <w:szCs w:val="22"/>
        </w:rPr>
        <w:t xml:space="preserve">While direct risks associated with the implementation of the prior actions are low, indirect risk might affect the ability of reaching desired results in some cases. </w:t>
      </w:r>
      <w:r w:rsidRPr="00D620F9">
        <w:rPr>
          <w:sz w:val="22"/>
          <w:szCs w:val="22"/>
        </w:rPr>
        <w:t xml:space="preserve">For example, instruments to help financing infrastructure projects (supported under prior action one) will only be effective if these projects are well-executed. The government has made important regulatory changes to help mitigate risks associated with implementing infrastructure projects, but Colombia’s track record suggests that delays and interruptions could arise. In addition, as raised in the environmental assessment, it is possible that these projects end up having indirect adverse environmental impacts if environmental regulations and consultation processes are not enforced well. </w:t>
      </w:r>
    </w:p>
    <w:p w:rsidR="00CB74EC" w:rsidRPr="00D620F9" w:rsidRDefault="00CB74EC" w:rsidP="004239CB">
      <w:pPr>
        <w:ind w:left="720"/>
        <w:rPr>
          <w:i/>
          <w:iCs/>
          <w:color w:val="00007F"/>
          <w:sz w:val="22"/>
          <w:szCs w:val="22"/>
        </w:rPr>
      </w:pPr>
    </w:p>
    <w:p w:rsidR="004239CB" w:rsidRPr="00D620F9" w:rsidRDefault="004239CB" w:rsidP="004239CB">
      <w:pPr>
        <w:numPr>
          <w:ilvl w:val="0"/>
          <w:numId w:val="7"/>
        </w:numPr>
        <w:rPr>
          <w:b/>
          <w:sz w:val="22"/>
          <w:szCs w:val="22"/>
        </w:rPr>
      </w:pPr>
      <w:r w:rsidRPr="00D620F9">
        <w:rPr>
          <w:b/>
          <w:sz w:val="22"/>
          <w:szCs w:val="22"/>
        </w:rPr>
        <w:t>Poverty and Social Impacts and Environment Aspects</w:t>
      </w:r>
    </w:p>
    <w:p w:rsidR="00FF4FC0" w:rsidRDefault="00FF4FC0" w:rsidP="00CB74EC">
      <w:pPr>
        <w:pStyle w:val="ListParagraph"/>
        <w:ind w:left="0"/>
        <w:contextualSpacing w:val="0"/>
        <w:jc w:val="both"/>
        <w:rPr>
          <w:b/>
          <w:sz w:val="22"/>
          <w:szCs w:val="22"/>
        </w:rPr>
      </w:pPr>
    </w:p>
    <w:p w:rsidR="00CB74EC" w:rsidRPr="00502949" w:rsidRDefault="00CB74EC" w:rsidP="00CB74EC">
      <w:pPr>
        <w:pStyle w:val="ListParagraph"/>
        <w:ind w:left="0"/>
        <w:contextualSpacing w:val="0"/>
        <w:jc w:val="both"/>
        <w:rPr>
          <w:b/>
          <w:i/>
          <w:sz w:val="22"/>
          <w:szCs w:val="22"/>
        </w:rPr>
      </w:pPr>
      <w:r w:rsidRPr="00502949">
        <w:rPr>
          <w:b/>
          <w:i/>
          <w:sz w:val="22"/>
          <w:szCs w:val="22"/>
        </w:rPr>
        <w:t>Poverty and Social Impacts</w:t>
      </w:r>
    </w:p>
    <w:p w:rsidR="00CB74EC" w:rsidRPr="00D620F9" w:rsidRDefault="00CB74EC" w:rsidP="00CB74EC">
      <w:pPr>
        <w:pStyle w:val="ListParagraph"/>
        <w:ind w:left="0"/>
        <w:contextualSpacing w:val="0"/>
        <w:jc w:val="both"/>
        <w:rPr>
          <w:b/>
          <w:bCs/>
          <w:sz w:val="22"/>
          <w:szCs w:val="22"/>
        </w:rPr>
      </w:pPr>
    </w:p>
    <w:p w:rsidR="00CB74EC" w:rsidRPr="00D620F9" w:rsidRDefault="00CB74EC" w:rsidP="00CB74EC">
      <w:pPr>
        <w:pStyle w:val="ListParagraph"/>
        <w:ind w:left="0"/>
        <w:contextualSpacing w:val="0"/>
        <w:jc w:val="both"/>
        <w:rPr>
          <w:kern w:val="28"/>
          <w:sz w:val="22"/>
          <w:szCs w:val="22"/>
        </w:rPr>
      </w:pPr>
      <w:r w:rsidRPr="00D620F9">
        <w:rPr>
          <w:b/>
          <w:bCs/>
          <w:sz w:val="22"/>
          <w:szCs w:val="22"/>
        </w:rPr>
        <w:t xml:space="preserve">The Government policies supported in this DPL are expected to have a positive poverty and social impact. </w:t>
      </w:r>
      <w:r w:rsidRPr="00D620F9">
        <w:rPr>
          <w:bCs/>
          <w:sz w:val="22"/>
          <w:szCs w:val="22"/>
        </w:rPr>
        <w:t xml:space="preserve">Income growth and labor markets outcomes help explain 60 percent of Colombia’s poverty reduction in the last decade. The actions supported by this operation intended to further increase growth and productivity and likely to have similar impacts on poverty reduction and share prosperity. </w:t>
      </w:r>
      <w:r w:rsidRPr="00D620F9">
        <w:rPr>
          <w:sz w:val="22"/>
          <w:szCs w:val="22"/>
        </w:rPr>
        <w:t>The Poverty and Social Impact</w:t>
      </w:r>
      <w:r w:rsidRPr="00D620F9">
        <w:rPr>
          <w:color w:val="333333"/>
          <w:sz w:val="22"/>
          <w:szCs w:val="22"/>
        </w:rPr>
        <w:t xml:space="preserve"> </w:t>
      </w:r>
      <w:r w:rsidRPr="00D620F9">
        <w:rPr>
          <w:sz w:val="22"/>
          <w:szCs w:val="22"/>
        </w:rPr>
        <w:t xml:space="preserve">Assessment has been carried out, documenting these expected positive impacts from a social, gender and distributional perspective. This assessment, explains the potential positive outcomes of these Policy Actions on overall growth, employment and welfare of the poor and those in the bottom 40 percent of the income distribution. </w:t>
      </w:r>
    </w:p>
    <w:p w:rsidR="00CB74EC" w:rsidRPr="00D620F9" w:rsidRDefault="00CB74EC" w:rsidP="00CB74EC">
      <w:pPr>
        <w:pStyle w:val="ListParagraph"/>
        <w:ind w:left="0"/>
        <w:jc w:val="both"/>
        <w:rPr>
          <w:kern w:val="28"/>
          <w:sz w:val="22"/>
          <w:szCs w:val="22"/>
        </w:rPr>
      </w:pPr>
    </w:p>
    <w:p w:rsidR="00CB74EC" w:rsidRPr="00D620F9" w:rsidRDefault="00CB74EC" w:rsidP="00CB74EC">
      <w:pPr>
        <w:pStyle w:val="ListParagraph"/>
        <w:ind w:left="0"/>
        <w:contextualSpacing w:val="0"/>
        <w:jc w:val="both"/>
        <w:rPr>
          <w:kern w:val="28"/>
          <w:sz w:val="22"/>
          <w:szCs w:val="22"/>
        </w:rPr>
      </w:pPr>
      <w:r w:rsidRPr="00D620F9">
        <w:rPr>
          <w:b/>
          <w:sz w:val="22"/>
          <w:szCs w:val="22"/>
        </w:rPr>
        <w:t xml:space="preserve">The PSIA is structured to follow the policy areas outlined under the Proposed Operation. </w:t>
      </w:r>
      <w:r w:rsidRPr="00D620F9">
        <w:rPr>
          <w:sz w:val="22"/>
          <w:szCs w:val="22"/>
        </w:rPr>
        <w:t>Specifically, within Pillar I, policies that support infrastructure financing and increase access to credit are expected to have a positive impact, by increasing employment (and formalization), reducing consumer prices (lower costs of transport and logistics), and smoothing consumption of the poorest households. In terms of Pillar II, the recently implemented system for matching workers and vacancies is expected to increase the employability of the bottom 40 percent since they rely more on these services rather than their own networks to find a job. Moreover, strengthening the professional training system targeted to the unemployed is expected to increase the probability of employment of the poorest. Within Pillar III, tax credits for innovation will likely increase formalization and earnings in those economic sectors where the funds will be allocated and reduce entry barriers for firms. Moreover, the prior actions regarding trade facilitation will likely cut costs of logistics and increase access to market and affordable goods.</w:t>
      </w:r>
    </w:p>
    <w:p w:rsidR="00AD6002" w:rsidRDefault="00AD6002" w:rsidP="004239CB">
      <w:pPr>
        <w:rPr>
          <w:b/>
          <w:i/>
          <w:sz w:val="22"/>
          <w:szCs w:val="22"/>
        </w:rPr>
      </w:pPr>
    </w:p>
    <w:p w:rsidR="004239CB" w:rsidRPr="00502949" w:rsidRDefault="00B26A3A" w:rsidP="004239CB">
      <w:pPr>
        <w:rPr>
          <w:b/>
          <w:i/>
          <w:sz w:val="22"/>
          <w:szCs w:val="22"/>
        </w:rPr>
      </w:pPr>
      <w:r w:rsidRPr="00502949">
        <w:rPr>
          <w:b/>
          <w:i/>
          <w:sz w:val="22"/>
          <w:szCs w:val="22"/>
        </w:rPr>
        <w:t>Environment Aspects</w:t>
      </w:r>
    </w:p>
    <w:p w:rsidR="00B26A3A" w:rsidRPr="00D620F9" w:rsidRDefault="00B26A3A" w:rsidP="00B26A3A">
      <w:pPr>
        <w:pStyle w:val="ListParagraph"/>
        <w:ind w:left="0"/>
        <w:contextualSpacing w:val="0"/>
        <w:jc w:val="both"/>
        <w:rPr>
          <w:rFonts w:ascii="sans-serif" w:hAnsi="sans-serif"/>
          <w:b/>
          <w:sz w:val="22"/>
          <w:szCs w:val="22"/>
          <w:shd w:val="clear" w:color="auto" w:fill="FFFFFF"/>
        </w:rPr>
      </w:pPr>
    </w:p>
    <w:p w:rsidR="00B26A3A" w:rsidRPr="00D620F9" w:rsidRDefault="00B26A3A" w:rsidP="00B26A3A">
      <w:pPr>
        <w:pStyle w:val="ListParagraph"/>
        <w:ind w:left="0"/>
        <w:contextualSpacing w:val="0"/>
        <w:jc w:val="both"/>
        <w:rPr>
          <w:kern w:val="28"/>
          <w:sz w:val="22"/>
          <w:szCs w:val="22"/>
        </w:rPr>
      </w:pPr>
      <w:r w:rsidRPr="00D620F9">
        <w:rPr>
          <w:rFonts w:ascii="sans-serif" w:hAnsi="sans-serif"/>
          <w:b/>
          <w:sz w:val="22"/>
          <w:szCs w:val="22"/>
          <w:shd w:val="clear" w:color="auto" w:fill="FFFFFF"/>
        </w:rPr>
        <w:t>Colombia has a fairly robust environmental policy framework that is expected to be effective at mitigating possible adverse impacts of investment growth supported by the DPL.</w:t>
      </w:r>
      <w:r w:rsidRPr="00D620F9">
        <w:rPr>
          <w:rFonts w:ascii="Times" w:hAnsi="Times"/>
          <w:sz w:val="22"/>
          <w:szCs w:val="22"/>
        </w:rPr>
        <w:t xml:space="preserve"> </w:t>
      </w:r>
      <w:r w:rsidRPr="00D620F9">
        <w:rPr>
          <w:rFonts w:ascii="sans-serif" w:hAnsi="sans-serif"/>
          <w:sz w:val="22"/>
          <w:szCs w:val="22"/>
          <w:shd w:val="clear" w:color="auto" w:fill="FFFFFF"/>
        </w:rPr>
        <w:t>Colombia has a comprehensive system of environmental licensing</w:t>
      </w:r>
      <w:r w:rsidRPr="00D620F9">
        <w:rPr>
          <w:rFonts w:ascii="sans-serif" w:hAnsi="sans-serif"/>
          <w:b/>
          <w:bCs/>
          <w:sz w:val="22"/>
          <w:szCs w:val="22"/>
          <w:shd w:val="clear" w:color="auto" w:fill="FFFFFF"/>
        </w:rPr>
        <w:t xml:space="preserve"> </w:t>
      </w:r>
      <w:r w:rsidRPr="00D620F9">
        <w:rPr>
          <w:rFonts w:ascii="sans-serif" w:hAnsi="sans-serif"/>
          <w:sz w:val="22"/>
          <w:szCs w:val="22"/>
          <w:shd w:val="clear" w:color="auto" w:fill="FFFFFF"/>
        </w:rPr>
        <w:t>dating back to the 1974 Code on Renewable Natural Resources and Environmental Protection. The requirement to carry out environmental assessment for projects with possible adverse environmental impacts in its current form in Colombia is regulated by the Law 99 adopted in 1993 and series of subsequent modifications. As stipulated by the law, the Ministry of Environment and Sustainable Development (MADS), the regional environmental authorities (CARs) and municipalities, depending on the nature of the works, are responsible for issuing environmental licenses. However, the enforcement and compliance monitoring capacity varies by region and by municipality and in some cases requires strengthening.</w:t>
      </w:r>
      <w:r w:rsidRPr="00D620F9">
        <w:rPr>
          <w:rFonts w:ascii="sans-serif" w:hAnsi="sans-serif"/>
          <w:b/>
          <w:bCs/>
          <w:sz w:val="22"/>
          <w:szCs w:val="22"/>
          <w:shd w:val="clear" w:color="auto" w:fill="FFFFFF"/>
        </w:rPr>
        <w:t xml:space="preserve"> </w:t>
      </w:r>
      <w:r w:rsidRPr="00D620F9">
        <w:rPr>
          <w:rFonts w:ascii="sans-serif" w:hAnsi="sans-serif"/>
          <w:sz w:val="22"/>
          <w:szCs w:val="22"/>
          <w:shd w:val="clear" w:color="auto" w:fill="FFFFFF"/>
        </w:rPr>
        <w:t xml:space="preserve"> </w:t>
      </w:r>
    </w:p>
    <w:p w:rsidR="00B26A3A" w:rsidRPr="00D620F9" w:rsidRDefault="00B26A3A" w:rsidP="00B26A3A">
      <w:pPr>
        <w:pStyle w:val="ListParagraph"/>
        <w:ind w:left="0"/>
        <w:jc w:val="both"/>
        <w:rPr>
          <w:kern w:val="28"/>
          <w:sz w:val="22"/>
          <w:szCs w:val="22"/>
        </w:rPr>
      </w:pPr>
    </w:p>
    <w:p w:rsidR="00B26A3A" w:rsidRPr="00D620F9" w:rsidRDefault="0046017B" w:rsidP="00B26A3A">
      <w:pPr>
        <w:pStyle w:val="ListParagraph"/>
        <w:ind w:left="0"/>
        <w:contextualSpacing w:val="0"/>
        <w:jc w:val="both"/>
        <w:rPr>
          <w:kern w:val="28"/>
          <w:sz w:val="22"/>
          <w:szCs w:val="22"/>
        </w:rPr>
      </w:pPr>
      <w:r>
        <w:rPr>
          <w:rFonts w:ascii="sans-serif" w:hAnsi="sans-serif"/>
          <w:b/>
          <w:sz w:val="22"/>
          <w:szCs w:val="22"/>
          <w:shd w:val="clear" w:color="auto" w:fill="FFFFFF"/>
        </w:rPr>
        <w:t>A</w:t>
      </w:r>
      <w:r w:rsidR="00B26A3A" w:rsidRPr="00D620F9">
        <w:rPr>
          <w:rFonts w:ascii="sans-serif" w:hAnsi="sans-serif"/>
          <w:b/>
          <w:sz w:val="22"/>
          <w:szCs w:val="22"/>
          <w:shd w:val="clear" w:color="auto" w:fill="FFFFFF"/>
        </w:rPr>
        <w:t xml:space="preserve">n environmental </w:t>
      </w:r>
      <w:r w:rsidR="00B26A3A" w:rsidRPr="00D620F9">
        <w:rPr>
          <w:rFonts w:ascii="sans-serif" w:hAnsi="sans-serif" w:hint="eastAsia"/>
          <w:b/>
          <w:sz w:val="22"/>
          <w:szCs w:val="22"/>
          <w:shd w:val="clear" w:color="auto" w:fill="FFFFFF"/>
        </w:rPr>
        <w:t>assessment</w:t>
      </w:r>
      <w:r w:rsidR="00B26A3A" w:rsidRPr="00D620F9">
        <w:rPr>
          <w:rFonts w:ascii="sans-serif" w:hAnsi="sans-serif"/>
          <w:b/>
          <w:sz w:val="22"/>
          <w:szCs w:val="22"/>
          <w:shd w:val="clear" w:color="auto" w:fill="FFFFFF"/>
        </w:rPr>
        <w:t xml:space="preserve"> is being prepared to address possible </w:t>
      </w:r>
      <w:r w:rsidR="00B26A3A" w:rsidRPr="00D620F9">
        <w:rPr>
          <w:rFonts w:ascii="sans-serif" w:hAnsi="sans-serif" w:hint="eastAsia"/>
          <w:b/>
          <w:sz w:val="22"/>
          <w:szCs w:val="22"/>
          <w:shd w:val="clear" w:color="auto" w:fill="FFFFFF"/>
        </w:rPr>
        <w:t>environmental</w:t>
      </w:r>
      <w:r w:rsidR="00B26A3A" w:rsidRPr="00D620F9">
        <w:rPr>
          <w:rFonts w:ascii="sans-serif" w:hAnsi="sans-serif"/>
          <w:b/>
          <w:sz w:val="22"/>
          <w:szCs w:val="22"/>
          <w:shd w:val="clear" w:color="auto" w:fill="FFFFFF"/>
        </w:rPr>
        <w:t xml:space="preserve"> risks.</w:t>
      </w:r>
      <w:r w:rsidR="00B26A3A" w:rsidRPr="00D620F9">
        <w:rPr>
          <w:rFonts w:ascii="sans-serif" w:hAnsi="sans-serif"/>
          <w:sz w:val="22"/>
          <w:szCs w:val="22"/>
          <w:shd w:val="clear" w:color="auto" w:fill="FFFFFF"/>
        </w:rPr>
        <w:t xml:space="preserve"> The environmental assessment is being carried out to evaluate the likelihood and the types of adverse </w:t>
      </w:r>
      <w:r w:rsidR="00B26A3A" w:rsidRPr="00D620F9">
        <w:rPr>
          <w:rFonts w:ascii="sans-serif" w:hAnsi="sans-serif"/>
          <w:sz w:val="22"/>
          <w:szCs w:val="22"/>
          <w:shd w:val="clear" w:color="auto" w:fill="FFFFFF"/>
        </w:rPr>
        <w:lastRenderedPageBreak/>
        <w:t xml:space="preserve">environmental impacts that could result indirectly through the support of policy measures to improve infrastructure financing </w:t>
      </w:r>
      <w:r>
        <w:rPr>
          <w:rFonts w:ascii="sans-serif" w:hAnsi="sans-serif"/>
          <w:sz w:val="22"/>
          <w:szCs w:val="22"/>
          <w:shd w:val="clear" w:color="auto" w:fill="FFFFFF"/>
        </w:rPr>
        <w:t xml:space="preserve">for 4G </w:t>
      </w:r>
      <w:proofErr w:type="gramStart"/>
      <w:r>
        <w:rPr>
          <w:rFonts w:ascii="sans-serif" w:hAnsi="sans-serif"/>
          <w:sz w:val="22"/>
          <w:szCs w:val="22"/>
          <w:shd w:val="clear" w:color="auto" w:fill="FFFFFF"/>
        </w:rPr>
        <w:t>projects</w:t>
      </w:r>
      <w:r w:rsidR="00B26A3A" w:rsidRPr="00D620F9">
        <w:rPr>
          <w:rFonts w:ascii="sans-serif" w:hAnsi="sans-serif"/>
          <w:sz w:val="22"/>
          <w:szCs w:val="22"/>
          <w:shd w:val="clear" w:color="auto" w:fill="FFFFFF"/>
        </w:rPr>
        <w:t>(</w:t>
      </w:r>
      <w:proofErr w:type="gramEnd"/>
      <w:r w:rsidR="00B26A3A" w:rsidRPr="00D620F9">
        <w:rPr>
          <w:rFonts w:ascii="sans-serif" w:hAnsi="sans-serif"/>
          <w:sz w:val="22"/>
          <w:szCs w:val="22"/>
          <w:shd w:val="clear" w:color="auto" w:fill="FFFFFF"/>
        </w:rPr>
        <w:t xml:space="preserve">prior action 1). The </w:t>
      </w:r>
      <w:r w:rsidR="00B26A3A" w:rsidRPr="00D620F9">
        <w:rPr>
          <w:rFonts w:ascii="sans-serif" w:hAnsi="sans-serif" w:hint="eastAsia"/>
          <w:sz w:val="22"/>
          <w:szCs w:val="22"/>
          <w:shd w:val="clear" w:color="auto" w:fill="FFFFFF"/>
        </w:rPr>
        <w:t>assessment</w:t>
      </w:r>
      <w:r w:rsidR="00B26A3A" w:rsidRPr="00D620F9">
        <w:rPr>
          <w:rFonts w:ascii="sans-serif" w:hAnsi="sans-serif"/>
          <w:sz w:val="22"/>
          <w:szCs w:val="22"/>
          <w:shd w:val="clear" w:color="auto" w:fill="FFFFFF"/>
        </w:rPr>
        <w:t xml:space="preserve"> will include an analysis of the types of projects that are expected to be implemented as part of the 4G program, the possible environmental risks and mitigation measures, as well as the extent to which the existing regulatory framework (supported by the Sustainable Cities DPL) is sufficient in addressing the environmental risks. The environmental assessment will discuss the overall institutional capacity of the agencies responsible for enforcing the applicable environmental regulations and issuing licenses and ally assess the quality of monitoring and enforcement. The environmental </w:t>
      </w:r>
      <w:r w:rsidR="00B26A3A" w:rsidRPr="00D620F9">
        <w:rPr>
          <w:rFonts w:ascii="sans-serif" w:hAnsi="sans-serif" w:hint="eastAsia"/>
          <w:sz w:val="22"/>
          <w:szCs w:val="22"/>
          <w:shd w:val="clear" w:color="auto" w:fill="FFFFFF"/>
        </w:rPr>
        <w:t>assessment</w:t>
      </w:r>
      <w:r w:rsidR="00B26A3A" w:rsidRPr="00D620F9">
        <w:rPr>
          <w:rFonts w:ascii="sans-serif" w:hAnsi="sans-serif"/>
          <w:sz w:val="22"/>
          <w:szCs w:val="22"/>
          <w:shd w:val="clear" w:color="auto" w:fill="FFFFFF"/>
        </w:rPr>
        <w:t xml:space="preserve"> and licensing process is also expected to help screen out the projects with possible significant adverse impacts to a large extent and design mitigation measures in the case of possible impacts. </w:t>
      </w:r>
    </w:p>
    <w:p w:rsidR="00B26A3A" w:rsidRPr="00D620F9" w:rsidRDefault="00B26A3A" w:rsidP="00B26A3A">
      <w:pPr>
        <w:pStyle w:val="ListParagraph"/>
        <w:jc w:val="both"/>
        <w:rPr>
          <w:kern w:val="28"/>
          <w:sz w:val="22"/>
          <w:szCs w:val="22"/>
        </w:rPr>
      </w:pPr>
    </w:p>
    <w:p w:rsidR="004239CB" w:rsidRPr="00D620F9" w:rsidRDefault="004239CB" w:rsidP="004239CB">
      <w:pPr>
        <w:numPr>
          <w:ilvl w:val="0"/>
          <w:numId w:val="7"/>
        </w:numPr>
        <w:rPr>
          <w:b/>
          <w:sz w:val="22"/>
          <w:szCs w:val="22"/>
        </w:rPr>
      </w:pPr>
      <w:r w:rsidRPr="00D620F9">
        <w:rPr>
          <w:b/>
          <w:sz w:val="22"/>
          <w:szCs w:val="22"/>
        </w:rPr>
        <w:t>Contact point</w:t>
      </w:r>
    </w:p>
    <w:p w:rsidR="00B26A3A" w:rsidRPr="00D620F9" w:rsidRDefault="00B26A3A" w:rsidP="004239CB">
      <w:pPr>
        <w:pStyle w:val="ListParagraph"/>
        <w:ind w:left="0"/>
        <w:rPr>
          <w:b/>
          <w:sz w:val="22"/>
          <w:szCs w:val="22"/>
        </w:rPr>
      </w:pPr>
    </w:p>
    <w:p w:rsidR="004239CB" w:rsidRPr="00D620F9" w:rsidRDefault="004239CB" w:rsidP="004239CB">
      <w:pPr>
        <w:pStyle w:val="ListParagraph"/>
        <w:ind w:left="0"/>
        <w:rPr>
          <w:sz w:val="22"/>
          <w:szCs w:val="22"/>
        </w:rPr>
      </w:pPr>
      <w:r w:rsidRPr="00D620F9">
        <w:rPr>
          <w:b/>
          <w:sz w:val="22"/>
          <w:szCs w:val="22"/>
        </w:rPr>
        <w:t xml:space="preserve">World Bank </w:t>
      </w:r>
    </w:p>
    <w:p w:rsidR="000C24F3" w:rsidRPr="00D620F9" w:rsidRDefault="000C24F3" w:rsidP="004239CB">
      <w:pPr>
        <w:rPr>
          <w:sz w:val="22"/>
          <w:szCs w:val="22"/>
        </w:rPr>
      </w:pPr>
      <w:bookmarkStart w:id="13" w:name="ContactInfo"/>
      <w:r w:rsidRPr="00D620F9">
        <w:rPr>
          <w:sz w:val="22"/>
          <w:szCs w:val="22"/>
        </w:rPr>
        <w:t>Contact: Barbara Cunha</w:t>
      </w:r>
    </w:p>
    <w:p w:rsidR="000C24F3" w:rsidRPr="00D620F9" w:rsidRDefault="000C24F3" w:rsidP="004239CB">
      <w:pPr>
        <w:rPr>
          <w:sz w:val="22"/>
          <w:szCs w:val="22"/>
        </w:rPr>
      </w:pPr>
      <w:r w:rsidRPr="00D620F9">
        <w:rPr>
          <w:sz w:val="22"/>
          <w:szCs w:val="22"/>
        </w:rPr>
        <w:t>Title: Senior Economist</w:t>
      </w:r>
    </w:p>
    <w:p w:rsidR="000C24F3" w:rsidRPr="00D620F9" w:rsidRDefault="000C24F3" w:rsidP="004239CB">
      <w:pPr>
        <w:rPr>
          <w:sz w:val="22"/>
          <w:szCs w:val="22"/>
        </w:rPr>
      </w:pPr>
      <w:r w:rsidRPr="00D620F9">
        <w:rPr>
          <w:sz w:val="22"/>
          <w:szCs w:val="22"/>
        </w:rPr>
        <w:t>Tel: (202) 473-0572</w:t>
      </w:r>
    </w:p>
    <w:p w:rsidR="000C24F3" w:rsidRPr="00D620F9" w:rsidRDefault="000C24F3" w:rsidP="004239CB">
      <w:pPr>
        <w:rPr>
          <w:sz w:val="22"/>
          <w:szCs w:val="22"/>
        </w:rPr>
      </w:pPr>
      <w:r w:rsidRPr="00D620F9">
        <w:rPr>
          <w:sz w:val="22"/>
          <w:szCs w:val="22"/>
        </w:rPr>
        <w:t xml:space="preserve">Fax: </w:t>
      </w:r>
    </w:p>
    <w:p w:rsidR="004239CB" w:rsidRPr="00D620F9" w:rsidRDefault="000C24F3" w:rsidP="004239CB">
      <w:pPr>
        <w:rPr>
          <w:sz w:val="22"/>
          <w:szCs w:val="22"/>
        </w:rPr>
      </w:pPr>
      <w:r w:rsidRPr="00D620F9">
        <w:rPr>
          <w:sz w:val="22"/>
          <w:szCs w:val="22"/>
        </w:rPr>
        <w:t>Email: bcunha@worldbank.org</w:t>
      </w:r>
      <w:bookmarkEnd w:id="13"/>
      <w:r w:rsidR="004239CB" w:rsidRPr="00D620F9">
        <w:rPr>
          <w:sz w:val="22"/>
          <w:szCs w:val="22"/>
        </w:rPr>
        <w:tab/>
      </w:r>
    </w:p>
    <w:p w:rsidR="004239CB" w:rsidRPr="00D620F9" w:rsidRDefault="004239CB" w:rsidP="004239CB">
      <w:pPr>
        <w:rPr>
          <w:sz w:val="22"/>
          <w:szCs w:val="22"/>
        </w:rPr>
      </w:pPr>
    </w:p>
    <w:p w:rsidR="004239CB" w:rsidRPr="00D620F9" w:rsidRDefault="004239CB" w:rsidP="004239CB">
      <w:pPr>
        <w:rPr>
          <w:b/>
          <w:sz w:val="22"/>
          <w:szCs w:val="22"/>
        </w:rPr>
      </w:pPr>
      <w:r w:rsidRPr="00D620F9">
        <w:rPr>
          <w:b/>
          <w:sz w:val="22"/>
          <w:szCs w:val="22"/>
        </w:rPr>
        <w:t>Borrower</w:t>
      </w:r>
    </w:p>
    <w:p w:rsidR="004239CB" w:rsidRPr="00502949" w:rsidRDefault="00AD6002" w:rsidP="004239CB">
      <w:pPr>
        <w:rPr>
          <w:sz w:val="22"/>
          <w:szCs w:val="22"/>
          <w:lang w:val="es-BO"/>
        </w:rPr>
      </w:pPr>
      <w:proofErr w:type="spellStart"/>
      <w:r>
        <w:rPr>
          <w:sz w:val="22"/>
          <w:szCs w:val="22"/>
          <w:lang w:val="es-BO"/>
        </w:rPr>
        <w:t>Contact</w:t>
      </w:r>
      <w:proofErr w:type="spellEnd"/>
      <w:r>
        <w:rPr>
          <w:sz w:val="22"/>
          <w:szCs w:val="22"/>
          <w:lang w:val="es-BO"/>
        </w:rPr>
        <w:t xml:space="preserve">: </w:t>
      </w:r>
      <w:r w:rsidR="00CB5EF7" w:rsidRPr="00502949">
        <w:rPr>
          <w:sz w:val="22"/>
          <w:szCs w:val="22"/>
          <w:lang w:val="es-BO"/>
        </w:rPr>
        <w:t xml:space="preserve">Lina </w:t>
      </w:r>
      <w:proofErr w:type="spellStart"/>
      <w:r w:rsidR="00CB5EF7" w:rsidRPr="00502949">
        <w:rPr>
          <w:sz w:val="22"/>
          <w:szCs w:val="22"/>
          <w:lang w:val="es-BO"/>
        </w:rPr>
        <w:t>Maria</w:t>
      </w:r>
      <w:proofErr w:type="spellEnd"/>
      <w:r w:rsidR="00CB5EF7" w:rsidRPr="00502949">
        <w:rPr>
          <w:sz w:val="22"/>
          <w:szCs w:val="22"/>
          <w:lang w:val="es-BO"/>
        </w:rPr>
        <w:t xml:space="preserve"> </w:t>
      </w:r>
      <w:proofErr w:type="spellStart"/>
      <w:r w:rsidR="00CB5EF7" w:rsidRPr="00502949">
        <w:rPr>
          <w:sz w:val="22"/>
          <w:szCs w:val="22"/>
          <w:lang w:val="es-BO"/>
        </w:rPr>
        <w:t>Mondragon</w:t>
      </w:r>
      <w:proofErr w:type="spellEnd"/>
      <w:r w:rsidR="00CB5EF7" w:rsidRPr="00502949">
        <w:rPr>
          <w:sz w:val="22"/>
          <w:szCs w:val="22"/>
          <w:lang w:val="es-BO"/>
        </w:rPr>
        <w:t xml:space="preserve"> </w:t>
      </w:r>
      <w:proofErr w:type="spellStart"/>
      <w:r w:rsidR="00CB5EF7" w:rsidRPr="00502949">
        <w:rPr>
          <w:sz w:val="22"/>
          <w:szCs w:val="22"/>
          <w:lang w:val="es-BO"/>
        </w:rPr>
        <w:t>Artunduaga</w:t>
      </w:r>
      <w:proofErr w:type="spellEnd"/>
    </w:p>
    <w:p w:rsidR="004239CB" w:rsidRPr="00D620F9" w:rsidRDefault="00AD6002" w:rsidP="004239CB">
      <w:pPr>
        <w:rPr>
          <w:sz w:val="22"/>
          <w:szCs w:val="22"/>
        </w:rPr>
      </w:pPr>
      <w:r>
        <w:rPr>
          <w:sz w:val="22"/>
          <w:szCs w:val="22"/>
        </w:rPr>
        <w:t xml:space="preserve">Title: </w:t>
      </w:r>
      <w:r w:rsidR="00DA0718">
        <w:rPr>
          <w:sz w:val="22"/>
          <w:szCs w:val="22"/>
        </w:rPr>
        <w:t xml:space="preserve">Technical Sub-director </w:t>
      </w:r>
    </w:p>
    <w:p w:rsidR="004239CB" w:rsidRPr="00D620F9" w:rsidRDefault="004239CB" w:rsidP="004239CB">
      <w:pPr>
        <w:rPr>
          <w:sz w:val="22"/>
          <w:szCs w:val="22"/>
        </w:rPr>
      </w:pPr>
      <w:r w:rsidRPr="00D620F9">
        <w:rPr>
          <w:sz w:val="22"/>
          <w:szCs w:val="22"/>
        </w:rPr>
        <w:t>Tel:</w:t>
      </w:r>
      <w:r w:rsidR="00AD6002">
        <w:rPr>
          <w:sz w:val="22"/>
          <w:szCs w:val="22"/>
        </w:rPr>
        <w:t xml:space="preserve"> </w:t>
      </w:r>
      <w:hyperlink r:id="rId9" w:history="1">
        <w:r w:rsidR="00DA0718" w:rsidRPr="00502949">
          <w:rPr>
            <w:sz w:val="22"/>
            <w:szCs w:val="22"/>
          </w:rPr>
          <w:t xml:space="preserve">(57 1) 381 1700 </w:t>
        </w:r>
        <w:proofErr w:type="spellStart"/>
        <w:r w:rsidR="00DA0718" w:rsidRPr="00502949">
          <w:rPr>
            <w:sz w:val="22"/>
            <w:szCs w:val="22"/>
          </w:rPr>
          <w:t>Extensión</w:t>
        </w:r>
        <w:proofErr w:type="spellEnd"/>
        <w:r w:rsidR="00DA0718" w:rsidRPr="00502949">
          <w:rPr>
            <w:sz w:val="22"/>
            <w:szCs w:val="22"/>
          </w:rPr>
          <w:t>: 2196</w:t>
        </w:r>
      </w:hyperlink>
    </w:p>
    <w:p w:rsidR="00CB5EF7" w:rsidRPr="00502949" w:rsidRDefault="004239CB" w:rsidP="00CB5EF7">
      <w:pPr>
        <w:rPr>
          <w:sz w:val="22"/>
          <w:szCs w:val="22"/>
        </w:rPr>
      </w:pPr>
      <w:r w:rsidRPr="00D620F9">
        <w:rPr>
          <w:sz w:val="22"/>
          <w:szCs w:val="22"/>
        </w:rPr>
        <w:t>Email:</w:t>
      </w:r>
      <w:r w:rsidR="00DA0718" w:rsidRPr="00502949">
        <w:rPr>
          <w:rFonts w:ascii="Arial" w:hAnsi="Arial" w:cs="Arial"/>
          <w:color w:val="000000"/>
          <w:sz w:val="20"/>
          <w:szCs w:val="20"/>
          <w:lang w:eastAsia="es-CO"/>
        </w:rPr>
        <w:t xml:space="preserve"> </w:t>
      </w:r>
      <w:r w:rsidR="00CB5EF7" w:rsidRPr="00502949">
        <w:rPr>
          <w:sz w:val="22"/>
          <w:szCs w:val="22"/>
        </w:rPr>
        <w:t>lmondrag@minhacienda.gov.co</w:t>
      </w:r>
    </w:p>
    <w:p w:rsidR="00502949" w:rsidRPr="00502949" w:rsidRDefault="00502949" w:rsidP="004239CB">
      <w:pPr>
        <w:rPr>
          <w:sz w:val="22"/>
          <w:szCs w:val="22"/>
        </w:rPr>
      </w:pPr>
    </w:p>
    <w:p w:rsidR="004239CB" w:rsidRPr="00D620F9" w:rsidRDefault="004239CB" w:rsidP="004239CB">
      <w:pPr>
        <w:numPr>
          <w:ilvl w:val="0"/>
          <w:numId w:val="7"/>
        </w:numPr>
        <w:rPr>
          <w:b/>
          <w:sz w:val="22"/>
          <w:szCs w:val="22"/>
        </w:rPr>
      </w:pPr>
      <w:r w:rsidRPr="00D620F9">
        <w:rPr>
          <w:b/>
          <w:sz w:val="22"/>
          <w:szCs w:val="22"/>
        </w:rPr>
        <w:t>For more information contact:</w:t>
      </w:r>
    </w:p>
    <w:p w:rsidR="00AD6002" w:rsidRDefault="00AD6002" w:rsidP="004239CB">
      <w:pPr>
        <w:rPr>
          <w:sz w:val="22"/>
          <w:szCs w:val="22"/>
        </w:rPr>
      </w:pPr>
    </w:p>
    <w:p w:rsidR="004239CB" w:rsidRPr="00D620F9" w:rsidRDefault="004239CB" w:rsidP="004239CB">
      <w:pPr>
        <w:rPr>
          <w:sz w:val="22"/>
          <w:szCs w:val="22"/>
        </w:rPr>
      </w:pPr>
      <w:r w:rsidRPr="00D620F9">
        <w:rPr>
          <w:sz w:val="22"/>
          <w:szCs w:val="22"/>
        </w:rPr>
        <w:t xml:space="preserve">The </w:t>
      </w:r>
      <w:proofErr w:type="spellStart"/>
      <w:r w:rsidRPr="00D620F9">
        <w:rPr>
          <w:sz w:val="22"/>
          <w:szCs w:val="22"/>
        </w:rPr>
        <w:t>InfoShop</w:t>
      </w:r>
      <w:proofErr w:type="spellEnd"/>
    </w:p>
    <w:p w:rsidR="004239CB" w:rsidRPr="00D620F9" w:rsidRDefault="004239CB" w:rsidP="004239CB">
      <w:pPr>
        <w:rPr>
          <w:sz w:val="22"/>
          <w:szCs w:val="22"/>
        </w:rPr>
      </w:pPr>
      <w:r w:rsidRPr="00D620F9">
        <w:rPr>
          <w:sz w:val="22"/>
          <w:szCs w:val="22"/>
        </w:rPr>
        <w:t>The World Bank</w:t>
      </w:r>
    </w:p>
    <w:p w:rsidR="004239CB" w:rsidRPr="00D620F9" w:rsidRDefault="004239CB" w:rsidP="004239CB">
      <w:pPr>
        <w:rPr>
          <w:sz w:val="22"/>
          <w:szCs w:val="22"/>
        </w:rPr>
      </w:pPr>
      <w:r w:rsidRPr="00D620F9">
        <w:rPr>
          <w:sz w:val="22"/>
          <w:szCs w:val="22"/>
        </w:rPr>
        <w:t>1818 H Street, NW</w:t>
      </w:r>
    </w:p>
    <w:p w:rsidR="004239CB" w:rsidRPr="00D620F9" w:rsidRDefault="004239CB" w:rsidP="004239CB">
      <w:pPr>
        <w:rPr>
          <w:sz w:val="22"/>
          <w:szCs w:val="22"/>
        </w:rPr>
      </w:pPr>
      <w:r w:rsidRPr="00D620F9">
        <w:rPr>
          <w:sz w:val="22"/>
          <w:szCs w:val="22"/>
        </w:rPr>
        <w:t>Washington, D.C. 20433</w:t>
      </w:r>
    </w:p>
    <w:p w:rsidR="004239CB" w:rsidRPr="00D620F9" w:rsidRDefault="004239CB" w:rsidP="004239CB">
      <w:pPr>
        <w:rPr>
          <w:sz w:val="22"/>
          <w:szCs w:val="22"/>
        </w:rPr>
      </w:pPr>
      <w:r w:rsidRPr="00D620F9">
        <w:rPr>
          <w:sz w:val="22"/>
          <w:szCs w:val="22"/>
        </w:rPr>
        <w:t>Telephone:  (202) 458-4500</w:t>
      </w:r>
    </w:p>
    <w:p w:rsidR="004239CB" w:rsidRPr="00D620F9" w:rsidRDefault="004239CB" w:rsidP="004239CB">
      <w:pPr>
        <w:rPr>
          <w:sz w:val="22"/>
          <w:szCs w:val="22"/>
        </w:rPr>
      </w:pPr>
      <w:r w:rsidRPr="00D620F9">
        <w:rPr>
          <w:sz w:val="22"/>
          <w:szCs w:val="22"/>
        </w:rPr>
        <w:t>Fax:  (202) 522-1500</w:t>
      </w:r>
    </w:p>
    <w:p w:rsidR="004239CB" w:rsidRPr="00D620F9" w:rsidRDefault="004239CB" w:rsidP="004239CB">
      <w:pPr>
        <w:rPr>
          <w:sz w:val="22"/>
          <w:szCs w:val="22"/>
        </w:rPr>
      </w:pPr>
      <w:r w:rsidRPr="00D620F9">
        <w:rPr>
          <w:sz w:val="22"/>
          <w:szCs w:val="22"/>
        </w:rPr>
        <w:t>Web: http://www.worldbank.org/infoshop</w:t>
      </w:r>
    </w:p>
    <w:p w:rsidR="008627D4" w:rsidRPr="00D620F9" w:rsidRDefault="008627D4">
      <w:pPr>
        <w:rPr>
          <w:sz w:val="22"/>
          <w:szCs w:val="22"/>
        </w:rPr>
      </w:pPr>
    </w:p>
    <w:sectPr w:rsidR="008627D4" w:rsidRPr="00D620F9" w:rsidSect="00956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A6" w:rsidRDefault="008D78A6" w:rsidP="00B724CC">
      <w:r>
        <w:separator/>
      </w:r>
    </w:p>
  </w:endnote>
  <w:endnote w:type="continuationSeparator" w:id="0">
    <w:p w:rsidR="008D78A6" w:rsidRDefault="008D78A6" w:rsidP="00B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A6" w:rsidRDefault="008D78A6" w:rsidP="00B724CC">
      <w:r>
        <w:separator/>
      </w:r>
    </w:p>
  </w:footnote>
  <w:footnote w:type="continuationSeparator" w:id="0">
    <w:p w:rsidR="008D78A6" w:rsidRDefault="008D78A6" w:rsidP="00B724CC">
      <w:r>
        <w:continuationSeparator/>
      </w:r>
    </w:p>
  </w:footnote>
  <w:footnote w:id="1">
    <w:p w:rsidR="00B724CC" w:rsidRPr="007A73B7" w:rsidRDefault="00B724CC" w:rsidP="00B724CC">
      <w:pPr>
        <w:pStyle w:val="FootnoteText"/>
        <w:spacing w:after="0"/>
        <w:rPr>
          <w:rFonts w:ascii="Times New Roman" w:hAnsi="Times New Roman"/>
        </w:rPr>
      </w:pPr>
      <w:r>
        <w:rPr>
          <w:rStyle w:val="FootnoteReference"/>
        </w:rPr>
        <w:footnoteRef/>
      </w:r>
      <w:r>
        <w:t xml:space="preserve"> </w:t>
      </w:r>
      <w:proofErr w:type="gramStart"/>
      <w:r w:rsidRPr="007A73B7">
        <w:rPr>
          <w:rFonts w:ascii="Times New Roman" w:hAnsi="Times New Roman"/>
        </w:rPr>
        <w:t xml:space="preserve">Which is nearly four times the Bank’s benchmark poverty line of </w:t>
      </w:r>
      <w:r>
        <w:rPr>
          <w:rFonts w:ascii="Times New Roman" w:hAnsi="Times New Roman"/>
        </w:rPr>
        <w:t>$</w:t>
      </w:r>
      <w:r w:rsidRPr="007A73B7">
        <w:rPr>
          <w:rFonts w:ascii="Times New Roman" w:hAnsi="Times New Roman"/>
        </w:rPr>
        <w:t>1.25</w:t>
      </w:r>
      <w:r>
        <w:rPr>
          <w:rFonts w:ascii="Times New Roman" w:hAnsi="Times New Roman"/>
        </w:rPr>
        <w:t xml:space="preserve"> /</w:t>
      </w:r>
      <w:r w:rsidRPr="007A73B7">
        <w:rPr>
          <w:rFonts w:ascii="Times New Roman" w:hAnsi="Times New Roman"/>
        </w:rPr>
        <w:t>day.</w:t>
      </w:r>
      <w:proofErr w:type="gramEnd"/>
      <w:r w:rsidRPr="007A73B7">
        <w:rPr>
          <w:rFonts w:ascii="Times New Roman" w:hAnsi="Times New Roman"/>
        </w:rPr>
        <w:t xml:space="preserve"> </w:t>
      </w:r>
    </w:p>
  </w:footnote>
  <w:footnote w:id="2">
    <w:p w:rsidR="00B724CC" w:rsidRPr="00E34724" w:rsidRDefault="00B724CC" w:rsidP="00B724CC">
      <w:pPr>
        <w:pStyle w:val="FootnoteText"/>
        <w:spacing w:after="0" w:line="20" w:lineRule="atLeast"/>
        <w:rPr>
          <w:rFonts w:ascii="Times New Roman" w:hAnsi="Times New Roman"/>
        </w:rPr>
      </w:pPr>
      <w:r>
        <w:rPr>
          <w:rStyle w:val="FootnoteReference"/>
        </w:rPr>
        <w:footnoteRef/>
      </w:r>
      <w:r>
        <w:t xml:space="preserve"> </w:t>
      </w:r>
      <w:r w:rsidRPr="00E34724">
        <w:rPr>
          <w:rFonts w:ascii="Times New Roman" w:hAnsi="Times New Roman"/>
        </w:rPr>
        <w:t>OECD Colombia Economic Survey (2013)</w:t>
      </w:r>
    </w:p>
  </w:footnote>
  <w:footnote w:id="3">
    <w:p w:rsidR="00D620F9" w:rsidRDefault="00D620F9" w:rsidP="00D620F9">
      <w:pPr>
        <w:pStyle w:val="FootnoteText"/>
        <w:spacing w:after="0" w:line="240" w:lineRule="auto"/>
      </w:pPr>
      <w:r>
        <w:rPr>
          <w:rStyle w:val="FootnoteReference"/>
        </w:rPr>
        <w:footnoteRef/>
      </w:r>
      <w:r>
        <w:t xml:space="preserve"> </w:t>
      </w:r>
      <w:r w:rsidRPr="00B854C8">
        <w:rPr>
          <w:rFonts w:ascii="Times New Roman" w:hAnsi="Times New Roman"/>
        </w:rPr>
        <w:t>Colombia Growth and Structural Changes Policy Note,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A5608"/>
    <w:multiLevelType w:val="hybridMultilevel"/>
    <w:tmpl w:val="B6903936"/>
    <w:lvl w:ilvl="0" w:tplc="3B860D82">
      <w:start w:val="1"/>
      <w:numFmt w:val="decimal"/>
      <w:lvlText w:val="%1."/>
      <w:lvlJc w:val="left"/>
      <w:pPr>
        <w:ind w:left="630" w:hanging="360"/>
      </w:pPr>
      <w:rPr>
        <w:rFonts w:ascii="Times New Roman" w:hAnsi="Times New Roman" w:cs="Times New Roman" w:hint="default"/>
        <w:b w:val="0"/>
        <w:i w:val="0"/>
        <w:color w:val="000000" w:themeColor="text1"/>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10F9A"/>
    <w:multiLevelType w:val="hybridMultilevel"/>
    <w:tmpl w:val="1C184C9C"/>
    <w:lvl w:ilvl="0" w:tplc="4BF45A3C">
      <w:start w:val="1"/>
      <w:numFmt w:val="decimal"/>
      <w:pStyle w:val="Body"/>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1"/>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005CE2"/>
    <w:rsid w:val="000B2F2F"/>
    <w:rsid w:val="000C24F3"/>
    <w:rsid w:val="000F3579"/>
    <w:rsid w:val="00141BB9"/>
    <w:rsid w:val="00267826"/>
    <w:rsid w:val="00290928"/>
    <w:rsid w:val="002C4BBC"/>
    <w:rsid w:val="003442FB"/>
    <w:rsid w:val="003704F7"/>
    <w:rsid w:val="003B737B"/>
    <w:rsid w:val="003E6370"/>
    <w:rsid w:val="004239CB"/>
    <w:rsid w:val="0046017B"/>
    <w:rsid w:val="00502949"/>
    <w:rsid w:val="00547929"/>
    <w:rsid w:val="005C0868"/>
    <w:rsid w:val="006248EE"/>
    <w:rsid w:val="006252BC"/>
    <w:rsid w:val="006A2304"/>
    <w:rsid w:val="00734742"/>
    <w:rsid w:val="00746194"/>
    <w:rsid w:val="00810C8D"/>
    <w:rsid w:val="00856C3A"/>
    <w:rsid w:val="008627D4"/>
    <w:rsid w:val="00876A71"/>
    <w:rsid w:val="008D78A6"/>
    <w:rsid w:val="0093123A"/>
    <w:rsid w:val="00956013"/>
    <w:rsid w:val="0098715A"/>
    <w:rsid w:val="00A12340"/>
    <w:rsid w:val="00A44B08"/>
    <w:rsid w:val="00AD6002"/>
    <w:rsid w:val="00AE052E"/>
    <w:rsid w:val="00B26A3A"/>
    <w:rsid w:val="00B724CC"/>
    <w:rsid w:val="00CB5EF7"/>
    <w:rsid w:val="00CB74EC"/>
    <w:rsid w:val="00D13D57"/>
    <w:rsid w:val="00D620F9"/>
    <w:rsid w:val="00D8424E"/>
    <w:rsid w:val="00D93211"/>
    <w:rsid w:val="00DA0718"/>
    <w:rsid w:val="00E33DA0"/>
    <w:rsid w:val="00E40F0E"/>
    <w:rsid w:val="00F03DB2"/>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304"/>
    <w:rPr>
      <w:sz w:val="24"/>
      <w:szCs w:val="24"/>
    </w:rPr>
  </w:style>
  <w:style w:type="paragraph" w:styleId="Heading1">
    <w:name w:val="heading 1"/>
    <w:basedOn w:val="Normal"/>
    <w:next w:val="Normal"/>
    <w:qFormat/>
    <w:rsid w:val="006A2304"/>
    <w:pPr>
      <w:keepNext/>
      <w:outlineLvl w:val="0"/>
    </w:pPr>
    <w:rPr>
      <w:b/>
      <w:bCs/>
    </w:rPr>
  </w:style>
  <w:style w:type="paragraph" w:styleId="Heading2">
    <w:name w:val="heading 2"/>
    <w:basedOn w:val="Normal"/>
    <w:next w:val="Normal"/>
    <w:qFormat/>
    <w:rsid w:val="006A230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2304"/>
    <w:pPr>
      <w:ind w:left="-108"/>
      <w:jc w:val="both"/>
    </w:pPr>
  </w:style>
  <w:style w:type="paragraph" w:styleId="CommentText">
    <w:name w:val="annotation text"/>
    <w:basedOn w:val="Normal"/>
    <w:link w:val="CommentTextChar"/>
    <w:uiPriority w:val="99"/>
    <w:rsid w:val="006A2304"/>
    <w:rPr>
      <w:sz w:val="20"/>
      <w:szCs w:val="20"/>
    </w:rPr>
  </w:style>
  <w:style w:type="character" w:styleId="CommentReference">
    <w:name w:val="annotation reference"/>
    <w:basedOn w:val="DefaultParagraphFont"/>
    <w:uiPriority w:val="99"/>
    <w:rsid w:val="006A2304"/>
    <w:rPr>
      <w:sz w:val="16"/>
      <w:szCs w:val="16"/>
    </w:rPr>
  </w:style>
  <w:style w:type="paragraph" w:styleId="HTMLPreformatted">
    <w:name w:val="HTML Preformatted"/>
    <w:basedOn w:val="Normal"/>
    <w:rsid w:val="006A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6A2304"/>
    <w:pPr>
      <w:spacing w:after="240"/>
    </w:pPr>
    <w:rPr>
      <w:szCs w:val="20"/>
    </w:rPr>
  </w:style>
  <w:style w:type="character" w:styleId="Hyperlink">
    <w:name w:val="Hyperlink"/>
    <w:basedOn w:val="DefaultParagraphFont"/>
    <w:rsid w:val="006A2304"/>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List Paragraph (numbered (a)),Use Case 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styleId="CommentSubject">
    <w:name w:val="annotation subject"/>
    <w:basedOn w:val="CommentText"/>
    <w:next w:val="CommentText"/>
    <w:link w:val="CommentSubjectChar"/>
    <w:rsid w:val="00B724CC"/>
    <w:rPr>
      <w:b/>
      <w:bCs/>
    </w:rPr>
  </w:style>
  <w:style w:type="character" w:customStyle="1" w:styleId="CommentTextChar">
    <w:name w:val="Comment Text Char"/>
    <w:basedOn w:val="DefaultParagraphFont"/>
    <w:link w:val="CommentText"/>
    <w:uiPriority w:val="99"/>
    <w:rsid w:val="00B724CC"/>
  </w:style>
  <w:style w:type="character" w:customStyle="1" w:styleId="CommentSubjectChar">
    <w:name w:val="Comment Subject Char"/>
    <w:basedOn w:val="CommentTextChar"/>
    <w:link w:val="CommentSubject"/>
    <w:rsid w:val="00B724CC"/>
    <w:rPr>
      <w:b/>
      <w:bCs/>
    </w:rPr>
  </w:style>
  <w:style w:type="paragraph" w:styleId="FootnoteText">
    <w:name w:val="footnote text"/>
    <w:aliases w:val="Geneva 9,Font: Geneva 9,Boston 10,f,single space,fn,Footnote Text Char Char Car,Footnote,text,Footnote Text Char1,Footnote Text Char1 Char Char,Footnote Text Char Char Char Char,ft,Car,FOOTNOTES,Footnote Text1 Char,Char,Footnote text,ADB"/>
    <w:basedOn w:val="Normal"/>
    <w:link w:val="FootnoteTextChar"/>
    <w:uiPriority w:val="99"/>
    <w:unhideWhenUsed/>
    <w:qFormat/>
    <w:rsid w:val="00B724CC"/>
    <w:pPr>
      <w:spacing w:after="200" w:line="276" w:lineRule="auto"/>
    </w:pPr>
    <w:rPr>
      <w:rFonts w:ascii="Calibri" w:hAnsi="Calibri"/>
      <w:sz w:val="20"/>
      <w:szCs w:val="20"/>
    </w:rPr>
  </w:style>
  <w:style w:type="character" w:customStyle="1" w:styleId="FootnoteTextChar">
    <w:name w:val="Footnote Text Char"/>
    <w:aliases w:val="Geneva 9 Char,Font: Geneva 9 Char,Boston 10 Char,f Char,single space Char,fn Char,Footnote Text Char Char Car Char,Footnote Char,text Char,Footnote Text Char1 Char,Footnote Text Char1 Char Char Char,ft Char,Car Char,FOOTNOTES Char"/>
    <w:basedOn w:val="DefaultParagraphFont"/>
    <w:link w:val="FootnoteText"/>
    <w:uiPriority w:val="99"/>
    <w:rsid w:val="00B724CC"/>
    <w:rPr>
      <w:rFonts w:ascii="Calibri" w:hAnsi="Calibri"/>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FC"/>
    <w:uiPriority w:val="99"/>
    <w:unhideWhenUsed/>
    <w:qFormat/>
    <w:rsid w:val="00B724CC"/>
    <w:rPr>
      <w:vertAlign w:val="superscript"/>
    </w:rPr>
  </w:style>
  <w:style w:type="character" w:customStyle="1" w:styleId="ListParagraphChar">
    <w:name w:val="List Paragraph Char"/>
    <w:aliases w:val="List Paragraph (numbered (a)) Char,Use Case List Paragraph Char"/>
    <w:link w:val="ListParagraph"/>
    <w:uiPriority w:val="34"/>
    <w:locked/>
    <w:rsid w:val="00B724CC"/>
    <w:rPr>
      <w:sz w:val="24"/>
      <w:szCs w:val="24"/>
    </w:rPr>
  </w:style>
  <w:style w:type="paragraph" w:customStyle="1" w:styleId="Body">
    <w:name w:val="Body"/>
    <w:basedOn w:val="Normal"/>
    <w:link w:val="BodyChar"/>
    <w:qFormat/>
    <w:rsid w:val="00B724CC"/>
    <w:pPr>
      <w:numPr>
        <w:numId w:val="9"/>
      </w:numPr>
      <w:overflowPunct w:val="0"/>
      <w:autoSpaceDE w:val="0"/>
      <w:autoSpaceDN w:val="0"/>
      <w:adjustRightInd w:val="0"/>
      <w:spacing w:line="240" w:lineRule="atLeast"/>
      <w:jc w:val="both"/>
      <w:textAlignment w:val="baseline"/>
    </w:pPr>
  </w:style>
  <w:style w:type="character" w:customStyle="1" w:styleId="BodyChar">
    <w:name w:val="Body Char"/>
    <w:basedOn w:val="DefaultParagraphFont"/>
    <w:link w:val="Body"/>
    <w:rsid w:val="00B724CC"/>
    <w:rPr>
      <w:sz w:val="24"/>
      <w:szCs w:val="24"/>
    </w:rPr>
  </w:style>
  <w:style w:type="paragraph" w:styleId="NoSpacing">
    <w:name w:val="No Spacing"/>
    <w:link w:val="NoSpacingChar"/>
    <w:uiPriority w:val="1"/>
    <w:qFormat/>
    <w:rsid w:val="00B724CC"/>
    <w:rPr>
      <w:rFonts w:ascii="Calibri" w:eastAsia="Calibri" w:hAnsi="Calibri"/>
      <w:sz w:val="22"/>
      <w:szCs w:val="22"/>
    </w:rPr>
  </w:style>
  <w:style w:type="character" w:customStyle="1" w:styleId="NoSpacingChar">
    <w:name w:val="No Spacing Char"/>
    <w:basedOn w:val="DefaultParagraphFont"/>
    <w:link w:val="NoSpacing"/>
    <w:uiPriority w:val="1"/>
    <w:locked/>
    <w:rsid w:val="00B724C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304"/>
    <w:rPr>
      <w:sz w:val="24"/>
      <w:szCs w:val="24"/>
    </w:rPr>
  </w:style>
  <w:style w:type="paragraph" w:styleId="Heading1">
    <w:name w:val="heading 1"/>
    <w:basedOn w:val="Normal"/>
    <w:next w:val="Normal"/>
    <w:qFormat/>
    <w:rsid w:val="006A2304"/>
    <w:pPr>
      <w:keepNext/>
      <w:outlineLvl w:val="0"/>
    </w:pPr>
    <w:rPr>
      <w:b/>
      <w:bCs/>
    </w:rPr>
  </w:style>
  <w:style w:type="paragraph" w:styleId="Heading2">
    <w:name w:val="heading 2"/>
    <w:basedOn w:val="Normal"/>
    <w:next w:val="Normal"/>
    <w:qFormat/>
    <w:rsid w:val="006A230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A2304"/>
    <w:pPr>
      <w:ind w:left="-108"/>
      <w:jc w:val="both"/>
    </w:pPr>
  </w:style>
  <w:style w:type="paragraph" w:styleId="CommentText">
    <w:name w:val="annotation text"/>
    <w:basedOn w:val="Normal"/>
    <w:link w:val="CommentTextChar"/>
    <w:uiPriority w:val="99"/>
    <w:rsid w:val="006A2304"/>
    <w:rPr>
      <w:sz w:val="20"/>
      <w:szCs w:val="20"/>
    </w:rPr>
  </w:style>
  <w:style w:type="character" w:styleId="CommentReference">
    <w:name w:val="annotation reference"/>
    <w:basedOn w:val="DefaultParagraphFont"/>
    <w:uiPriority w:val="99"/>
    <w:rsid w:val="006A2304"/>
    <w:rPr>
      <w:sz w:val="16"/>
      <w:szCs w:val="16"/>
    </w:rPr>
  </w:style>
  <w:style w:type="paragraph" w:styleId="HTMLPreformatted">
    <w:name w:val="HTML Preformatted"/>
    <w:basedOn w:val="Normal"/>
    <w:rsid w:val="006A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rsid w:val="006A2304"/>
    <w:pPr>
      <w:spacing w:after="240"/>
    </w:pPr>
    <w:rPr>
      <w:szCs w:val="20"/>
    </w:rPr>
  </w:style>
  <w:style w:type="character" w:styleId="Hyperlink">
    <w:name w:val="Hyperlink"/>
    <w:basedOn w:val="DefaultParagraphFont"/>
    <w:rsid w:val="006A2304"/>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aliases w:val="List Paragraph (numbered (a)),Use Case List Paragraph"/>
    <w:basedOn w:val="Normal"/>
    <w:link w:val="ListParagraphChar"/>
    <w:uiPriority w:val="34"/>
    <w:qFormat/>
    <w:rsid w:val="004239CB"/>
    <w:pPr>
      <w:ind w:left="720"/>
      <w:contextualSpacing/>
    </w:pPr>
  </w:style>
  <w:style w:type="paragraph" w:customStyle="1" w:styleId="CM1">
    <w:name w:val="CM1"/>
    <w:basedOn w:val="Normal"/>
    <w:next w:val="Normal"/>
    <w:uiPriority w:val="99"/>
    <w:rsid w:val="004239CB"/>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4239CB"/>
    <w:pPr>
      <w:widowControl w:val="0"/>
      <w:autoSpaceDE w:val="0"/>
      <w:autoSpaceDN w:val="0"/>
      <w:adjustRightInd w:val="0"/>
    </w:pPr>
    <w:rPr>
      <w:rFonts w:eastAsiaTheme="minorEastAsia"/>
    </w:rPr>
  </w:style>
  <w:style w:type="paragraph" w:styleId="CommentSubject">
    <w:name w:val="annotation subject"/>
    <w:basedOn w:val="CommentText"/>
    <w:next w:val="CommentText"/>
    <w:link w:val="CommentSubjectChar"/>
    <w:rsid w:val="00B724CC"/>
    <w:rPr>
      <w:b/>
      <w:bCs/>
    </w:rPr>
  </w:style>
  <w:style w:type="character" w:customStyle="1" w:styleId="CommentTextChar">
    <w:name w:val="Comment Text Char"/>
    <w:basedOn w:val="DefaultParagraphFont"/>
    <w:link w:val="CommentText"/>
    <w:uiPriority w:val="99"/>
    <w:rsid w:val="00B724CC"/>
  </w:style>
  <w:style w:type="character" w:customStyle="1" w:styleId="CommentSubjectChar">
    <w:name w:val="Comment Subject Char"/>
    <w:basedOn w:val="CommentTextChar"/>
    <w:link w:val="CommentSubject"/>
    <w:rsid w:val="00B724CC"/>
    <w:rPr>
      <w:b/>
      <w:bCs/>
    </w:rPr>
  </w:style>
  <w:style w:type="paragraph" w:styleId="FootnoteText">
    <w:name w:val="footnote text"/>
    <w:aliases w:val="Geneva 9,Font: Geneva 9,Boston 10,f,single space,fn,Footnote Text Char Char Car,Footnote,text,Footnote Text Char1,Footnote Text Char1 Char Char,Footnote Text Char Char Char Char,ft,Car,FOOTNOTES,Footnote Text1 Char,Char,Footnote text,ADB"/>
    <w:basedOn w:val="Normal"/>
    <w:link w:val="FootnoteTextChar"/>
    <w:uiPriority w:val="99"/>
    <w:unhideWhenUsed/>
    <w:qFormat/>
    <w:rsid w:val="00B724CC"/>
    <w:pPr>
      <w:spacing w:after="200" w:line="276" w:lineRule="auto"/>
    </w:pPr>
    <w:rPr>
      <w:rFonts w:ascii="Calibri" w:hAnsi="Calibri"/>
      <w:sz w:val="20"/>
      <w:szCs w:val="20"/>
    </w:rPr>
  </w:style>
  <w:style w:type="character" w:customStyle="1" w:styleId="FootnoteTextChar">
    <w:name w:val="Footnote Text Char"/>
    <w:aliases w:val="Geneva 9 Char,Font: Geneva 9 Char,Boston 10 Char,f Char,single space Char,fn Char,Footnote Text Char Char Car Char,Footnote Char,text Char,Footnote Text Char1 Char,Footnote Text Char1 Char Char Char,ft Char,Car Char,FOOTNOTES Char"/>
    <w:basedOn w:val="DefaultParagraphFont"/>
    <w:link w:val="FootnoteText"/>
    <w:uiPriority w:val="99"/>
    <w:rsid w:val="00B724CC"/>
    <w:rPr>
      <w:rFonts w:ascii="Calibri" w:hAnsi="Calibri"/>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FC"/>
    <w:uiPriority w:val="99"/>
    <w:unhideWhenUsed/>
    <w:qFormat/>
    <w:rsid w:val="00B724CC"/>
    <w:rPr>
      <w:vertAlign w:val="superscript"/>
    </w:rPr>
  </w:style>
  <w:style w:type="character" w:customStyle="1" w:styleId="ListParagraphChar">
    <w:name w:val="List Paragraph Char"/>
    <w:aliases w:val="List Paragraph (numbered (a)) Char,Use Case List Paragraph Char"/>
    <w:link w:val="ListParagraph"/>
    <w:uiPriority w:val="34"/>
    <w:locked/>
    <w:rsid w:val="00B724CC"/>
    <w:rPr>
      <w:sz w:val="24"/>
      <w:szCs w:val="24"/>
    </w:rPr>
  </w:style>
  <w:style w:type="paragraph" w:customStyle="1" w:styleId="Body">
    <w:name w:val="Body"/>
    <w:basedOn w:val="Normal"/>
    <w:link w:val="BodyChar"/>
    <w:qFormat/>
    <w:rsid w:val="00B724CC"/>
    <w:pPr>
      <w:numPr>
        <w:numId w:val="9"/>
      </w:numPr>
      <w:overflowPunct w:val="0"/>
      <w:autoSpaceDE w:val="0"/>
      <w:autoSpaceDN w:val="0"/>
      <w:adjustRightInd w:val="0"/>
      <w:spacing w:line="240" w:lineRule="atLeast"/>
      <w:jc w:val="both"/>
      <w:textAlignment w:val="baseline"/>
    </w:pPr>
  </w:style>
  <w:style w:type="character" w:customStyle="1" w:styleId="BodyChar">
    <w:name w:val="Body Char"/>
    <w:basedOn w:val="DefaultParagraphFont"/>
    <w:link w:val="Body"/>
    <w:rsid w:val="00B724CC"/>
    <w:rPr>
      <w:sz w:val="24"/>
      <w:szCs w:val="24"/>
    </w:rPr>
  </w:style>
  <w:style w:type="paragraph" w:styleId="NoSpacing">
    <w:name w:val="No Spacing"/>
    <w:link w:val="NoSpacingChar"/>
    <w:uiPriority w:val="1"/>
    <w:qFormat/>
    <w:rsid w:val="00B724CC"/>
    <w:rPr>
      <w:rFonts w:ascii="Calibri" w:eastAsia="Calibri" w:hAnsi="Calibri"/>
      <w:sz w:val="22"/>
      <w:szCs w:val="22"/>
    </w:rPr>
  </w:style>
  <w:style w:type="character" w:customStyle="1" w:styleId="NoSpacingChar">
    <w:name w:val="No Spacing Char"/>
    <w:basedOn w:val="DefaultParagraphFont"/>
    <w:link w:val="NoSpacing"/>
    <w:uiPriority w:val="1"/>
    <w:locked/>
    <w:rsid w:val="00B724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2857%201%29%20381%201700%20Extensi%C3%B3n%3A%202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5684-4AFF-4020-9568-C1D85273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Diana Mercedes Lachy Castillo</cp:lastModifiedBy>
  <cp:revision>2</cp:revision>
  <cp:lastPrinted>2003-05-02T15:42:00Z</cp:lastPrinted>
  <dcterms:created xsi:type="dcterms:W3CDTF">2014-09-10T19:07:00Z</dcterms:created>
  <dcterms:modified xsi:type="dcterms:W3CDTF">2014-09-10T19:07:00Z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AB7625</vt:lpwstr>
  </property>
  <property fmtid="{D5CDD505-2E9C-101B-9397-08002B2CF9AE}" pid="3" name="TEAMLEADER">
    <vt:lpwstr>Ms Barbara Cunha</vt:lpwstr>
  </property>
</Properties>
</file>