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customXml/itemProps8.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8A5" w:rsidRPr="00AF2F90" w:rsidRDefault="00E528A5" w:rsidP="00E528A5">
      <w:pPr>
        <w:jc w:val="center"/>
        <w:rPr>
          <w:rFonts w:ascii="Times New Roman" w:hAnsi="Times New Roman"/>
          <w:b/>
        </w:rPr>
      </w:pPr>
      <w:bookmarkStart w:id="0" w:name="_Toc140316716"/>
      <w:bookmarkStart w:id="1" w:name="_Toc140031877"/>
      <w:r>
        <w:rPr>
          <w:rFonts w:ascii="Times New Roman" w:hAnsi="Times New Roman"/>
          <w:b/>
        </w:rPr>
        <w:t xml:space="preserve">Document de </w:t>
      </w:r>
    </w:p>
    <w:p w:rsidR="00E528A5" w:rsidRPr="00AF2F90" w:rsidRDefault="00E528A5" w:rsidP="00E528A5">
      <w:pPr>
        <w:jc w:val="center"/>
        <w:rPr>
          <w:rFonts w:ascii="Times New Roman" w:hAnsi="Times New Roman"/>
          <w:b/>
        </w:rPr>
      </w:pPr>
      <w:r>
        <w:rPr>
          <w:rFonts w:ascii="Times New Roman" w:hAnsi="Times New Roman"/>
          <w:b/>
        </w:rPr>
        <w:t>La Banque mondiale</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RÉSERVÉ À L'USAGE OFFICIEL</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5D2B7F">
      <w:pPr>
        <w:jc w:val="right"/>
        <w:rPr>
          <w:rFonts w:ascii="Times New Roman" w:hAnsi="Times New Roman"/>
          <w:b/>
        </w:rPr>
      </w:pPr>
      <w:r>
        <w:rPr>
          <w:rFonts w:ascii="Times New Roman" w:hAnsi="Times New Roman"/>
          <w:b/>
        </w:rPr>
        <w:t>Rapport n° 67692-TN</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BANQUE INTERNATIONALE POUR LA RECONSTRUCTION ET LE DEVELOPPEMENT</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ET</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SOCIÉTÉ FINANCIÈRE INTERNATIONALE</w:t>
      </w:r>
    </w:p>
    <w:p w:rsidR="00E528A5" w:rsidRPr="00AF2F90" w:rsidRDefault="00E528A5" w:rsidP="00E528A5">
      <w:pPr>
        <w:jc w:val="center"/>
        <w:rPr>
          <w:rFonts w:ascii="Times New Roman" w:hAnsi="Times New Roman"/>
          <w:b/>
        </w:rPr>
      </w:pPr>
    </w:p>
    <w:p w:rsidR="00E528A5" w:rsidRPr="00AF2F90" w:rsidRDefault="00E528A5" w:rsidP="00E528A5">
      <w:pP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NOTE DE STRATÉGIE INTÉRIMAIRE</w:t>
      </w:r>
    </w:p>
    <w:p w:rsidR="00E528A5" w:rsidRPr="00AF2F90"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POUR</w:t>
      </w:r>
    </w:p>
    <w:p w:rsidR="00E528A5" w:rsidRPr="00AF2F90" w:rsidRDefault="00E528A5" w:rsidP="00E528A5">
      <w:pPr>
        <w:jc w:val="center"/>
        <w:rPr>
          <w:rFonts w:ascii="Times New Roman" w:hAnsi="Times New Roman"/>
          <w:b/>
        </w:rPr>
      </w:pPr>
    </w:p>
    <w:p w:rsidR="00E528A5" w:rsidRDefault="00E528A5" w:rsidP="00E528A5">
      <w:pPr>
        <w:jc w:val="center"/>
        <w:rPr>
          <w:rFonts w:ascii="Times New Roman" w:hAnsi="Times New Roman"/>
          <w:b/>
        </w:rPr>
      </w:pPr>
      <w:r>
        <w:rPr>
          <w:rFonts w:ascii="Times New Roman" w:hAnsi="Times New Roman"/>
          <w:b/>
        </w:rPr>
        <w:t xml:space="preserve">LA RÉPUBLIQUE TUNISIENNE </w:t>
      </w:r>
    </w:p>
    <w:p w:rsidR="00E528A5" w:rsidRDefault="00E528A5" w:rsidP="00E528A5">
      <w:pPr>
        <w:jc w:val="center"/>
        <w:rPr>
          <w:rFonts w:ascii="Times New Roman" w:hAnsi="Times New Roman"/>
          <w:b/>
        </w:rPr>
      </w:pPr>
    </w:p>
    <w:p w:rsidR="00E528A5" w:rsidRPr="00AF2F90" w:rsidRDefault="00E528A5" w:rsidP="00E528A5">
      <w:pPr>
        <w:jc w:val="center"/>
        <w:rPr>
          <w:rFonts w:ascii="Times New Roman" w:hAnsi="Times New Roman"/>
          <w:b/>
        </w:rPr>
      </w:pPr>
      <w:r>
        <w:rPr>
          <w:rFonts w:ascii="Times New Roman" w:hAnsi="Times New Roman"/>
          <w:b/>
        </w:rPr>
        <w:t xml:space="preserve">POUR LA PÉRIODE </w:t>
      </w:r>
      <w:r w:rsidR="006D6057">
        <w:rPr>
          <w:rFonts w:ascii="Times New Roman" w:hAnsi="Times New Roman"/>
          <w:b/>
        </w:rPr>
        <w:t>DES EXERCICES 2013-2014</w:t>
      </w:r>
    </w:p>
    <w:p w:rsidR="00E528A5" w:rsidRDefault="00E528A5" w:rsidP="00D07816">
      <w:pPr>
        <w:jc w:val="center"/>
        <w:rPr>
          <w:rFonts w:ascii="Times New Roman" w:hAnsi="Times New Roman"/>
          <w:b/>
        </w:rPr>
      </w:pPr>
    </w:p>
    <w:p w:rsidR="00D07816" w:rsidRDefault="00D07816" w:rsidP="00D07816">
      <w:pPr>
        <w:jc w:val="center"/>
        <w:rPr>
          <w:rFonts w:ascii="Times New Roman" w:hAnsi="Times New Roman"/>
          <w:b/>
        </w:rPr>
      </w:pPr>
    </w:p>
    <w:p w:rsidR="00D07816" w:rsidRDefault="00D07816" w:rsidP="00D07816">
      <w:pPr>
        <w:jc w:val="center"/>
        <w:rPr>
          <w:rFonts w:ascii="Times New Roman" w:hAnsi="Times New Roman"/>
          <w:b/>
        </w:rPr>
      </w:pPr>
    </w:p>
    <w:p w:rsidR="00D07816" w:rsidRPr="00AF2F90" w:rsidRDefault="00206AC9" w:rsidP="00D0248B">
      <w:pPr>
        <w:jc w:val="center"/>
        <w:rPr>
          <w:rFonts w:ascii="Times New Roman" w:hAnsi="Times New Roman"/>
          <w:b/>
        </w:rPr>
      </w:pPr>
      <w:r>
        <w:rPr>
          <w:rFonts w:ascii="Times New Roman" w:hAnsi="Times New Roman"/>
          <w:b/>
        </w:rPr>
        <w:t>17 mai 2012</w:t>
      </w:r>
    </w:p>
    <w:p w:rsidR="00E528A5" w:rsidRPr="00AF2F90" w:rsidRDefault="00E528A5" w:rsidP="00E528A5">
      <w:pPr>
        <w:rPr>
          <w:rFonts w:ascii="Times New Roman" w:hAnsi="Times New Roman"/>
          <w:b/>
        </w:rPr>
      </w:pPr>
    </w:p>
    <w:p w:rsidR="00E528A5" w:rsidRPr="00AF2F90" w:rsidRDefault="00E528A5" w:rsidP="00E528A5">
      <w:pPr>
        <w:rPr>
          <w:rFonts w:ascii="Times New Roman" w:hAnsi="Times New Roman"/>
          <w:b/>
        </w:rPr>
      </w:pPr>
    </w:p>
    <w:p w:rsidR="00E528A5" w:rsidRPr="00AF2F90" w:rsidRDefault="00E528A5" w:rsidP="00E528A5">
      <w:pPr>
        <w:rPr>
          <w:rFonts w:ascii="Times New Roman" w:hAnsi="Times New Roman"/>
          <w:b/>
        </w:rPr>
      </w:pPr>
    </w:p>
    <w:p w:rsidR="00E528A5" w:rsidRPr="00AF2F90" w:rsidRDefault="00E528A5" w:rsidP="00E528A5">
      <w:pPr>
        <w:rPr>
          <w:rFonts w:ascii="Times New Roman" w:hAnsi="Times New Roman"/>
          <w:b/>
        </w:rPr>
      </w:pPr>
    </w:p>
    <w:p w:rsidR="00E528A5" w:rsidRPr="00627F69" w:rsidRDefault="00E528A5" w:rsidP="00E528A5">
      <w:pPr>
        <w:rPr>
          <w:rFonts w:ascii="Times New Roman" w:hAnsi="Times New Roman"/>
          <w:b/>
          <w:sz w:val="18"/>
          <w:szCs w:val="18"/>
        </w:rPr>
      </w:pPr>
      <w:r>
        <w:rPr>
          <w:rFonts w:ascii="Times New Roman" w:hAnsi="Times New Roman"/>
          <w:b/>
          <w:sz w:val="18"/>
        </w:rPr>
        <w:t>Département du Maghreb</w:t>
      </w:r>
    </w:p>
    <w:p w:rsidR="00E528A5" w:rsidRPr="00627F69" w:rsidRDefault="00E528A5" w:rsidP="00E528A5">
      <w:pPr>
        <w:rPr>
          <w:rFonts w:ascii="Times New Roman" w:hAnsi="Times New Roman"/>
          <w:b/>
          <w:sz w:val="18"/>
          <w:szCs w:val="18"/>
        </w:rPr>
      </w:pPr>
      <w:r>
        <w:rPr>
          <w:rFonts w:ascii="Times New Roman" w:hAnsi="Times New Roman"/>
          <w:b/>
          <w:sz w:val="18"/>
        </w:rPr>
        <w:t>Région Moyen-Orient et Afrique du Nord</w:t>
      </w:r>
    </w:p>
    <w:p w:rsidR="00E528A5" w:rsidRPr="00627F69" w:rsidRDefault="00E528A5" w:rsidP="00E528A5">
      <w:pPr>
        <w:rPr>
          <w:rFonts w:ascii="Times New Roman" w:hAnsi="Times New Roman"/>
          <w:b/>
          <w:sz w:val="18"/>
          <w:szCs w:val="18"/>
        </w:rPr>
      </w:pPr>
    </w:p>
    <w:p w:rsidR="00E528A5" w:rsidRPr="00627F69" w:rsidRDefault="00E528A5" w:rsidP="00E528A5">
      <w:pPr>
        <w:rPr>
          <w:rFonts w:ascii="Times New Roman" w:hAnsi="Times New Roman"/>
          <w:b/>
          <w:sz w:val="18"/>
          <w:szCs w:val="18"/>
        </w:rPr>
      </w:pPr>
      <w:r>
        <w:rPr>
          <w:rFonts w:ascii="Times New Roman" w:hAnsi="Times New Roman"/>
          <w:b/>
          <w:sz w:val="18"/>
        </w:rPr>
        <w:t>Société financière internationale</w:t>
      </w:r>
    </w:p>
    <w:p w:rsidR="00E528A5" w:rsidRPr="00627F69" w:rsidRDefault="00E528A5" w:rsidP="00E528A5">
      <w:pPr>
        <w:rPr>
          <w:rFonts w:ascii="Times New Roman" w:hAnsi="Times New Roman"/>
          <w:b/>
          <w:sz w:val="18"/>
          <w:szCs w:val="18"/>
        </w:rPr>
      </w:pPr>
      <w:r>
        <w:rPr>
          <w:rFonts w:ascii="Times New Roman" w:hAnsi="Times New Roman"/>
          <w:b/>
          <w:sz w:val="18"/>
        </w:rPr>
        <w:t>Région Moyen-Orient et Afrique du Nord</w:t>
      </w:r>
    </w:p>
    <w:p w:rsidR="00E528A5" w:rsidRPr="00842E2A" w:rsidRDefault="00E528A5" w:rsidP="00E528A5">
      <w:pPr>
        <w:rPr>
          <w:b/>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E528A5" w:rsidRPr="003256E8" w:rsidTr="00171CC3">
        <w:tc>
          <w:tcPr>
            <w:tcW w:w="9288" w:type="dxa"/>
          </w:tcPr>
          <w:p w:rsidR="00E528A5" w:rsidRPr="003256E8" w:rsidRDefault="00E528A5" w:rsidP="00AA005D">
            <w:pPr>
              <w:spacing w:before="120" w:after="120"/>
              <w:jc w:val="both"/>
              <w:rPr>
                <w:rFonts w:ascii="Times New Roman" w:hAnsi="Times New Roman"/>
                <w:bCs/>
                <w:sz w:val="20"/>
                <w:szCs w:val="20"/>
              </w:rPr>
            </w:pPr>
            <w:r>
              <w:rPr>
                <w:rFonts w:ascii="Times New Roman" w:hAnsi="Times New Roman"/>
                <w:sz w:val="20"/>
              </w:rPr>
              <w:t xml:space="preserve">Le présent document fait l’objet d’une distribution restreinte et ne peut être utilisé par ses destinataires que dans l'exercice </w:t>
            </w:r>
            <w:r w:rsidR="00AA005D">
              <w:rPr>
                <w:rFonts w:ascii="Times New Roman" w:hAnsi="Times New Roman"/>
                <w:sz w:val="20"/>
              </w:rPr>
              <w:t xml:space="preserve">de leurs activités officielles. </w:t>
            </w:r>
            <w:r>
              <w:rPr>
                <w:rFonts w:ascii="Times New Roman" w:hAnsi="Times New Roman"/>
                <w:sz w:val="20"/>
              </w:rPr>
              <w:t>La divulgation de son contenu est interdite sans l'autorisation de la Banque</w:t>
            </w:r>
            <w:r w:rsidR="00AA005D">
              <w:rPr>
                <w:rFonts w:ascii="Times New Roman" w:hAnsi="Times New Roman"/>
                <w:sz w:val="20"/>
              </w:rPr>
              <w:t xml:space="preserve"> </w:t>
            </w:r>
            <w:r>
              <w:rPr>
                <w:rFonts w:ascii="Times New Roman" w:hAnsi="Times New Roman"/>
                <w:sz w:val="20"/>
              </w:rPr>
              <w:t>mondiale.</w:t>
            </w:r>
            <w:r w:rsidR="00AA005D">
              <w:rPr>
                <w:rFonts w:ascii="Times New Roman" w:hAnsi="Times New Roman"/>
                <w:sz w:val="20"/>
              </w:rPr>
              <w:t xml:space="preserve"> </w:t>
            </w:r>
            <w:r>
              <w:rPr>
                <w:rFonts w:ascii="Times New Roman" w:hAnsi="Times New Roman"/>
                <w:sz w:val="20"/>
              </w:rPr>
              <w:t>En cas de divergence entre le texte original en anglais et cette traduction, c'est le texte original en anglais qui prévaudra.</w:t>
            </w:r>
          </w:p>
        </w:tc>
      </w:tr>
    </w:tbl>
    <w:p w:rsidR="00E528A5" w:rsidRPr="00842E2A" w:rsidRDefault="00E528A5" w:rsidP="00E528A5">
      <w:pPr>
        <w:rPr>
          <w:b/>
        </w:rPr>
        <w:sectPr w:rsidR="00E528A5" w:rsidRPr="00842E2A" w:rsidSect="00167688">
          <w:footerReference w:type="even" r:id="rId15"/>
          <w:footerReference w:type="default" r:id="rId16"/>
          <w:pgSz w:w="12240" w:h="15840"/>
          <w:pgMar w:top="1440" w:right="1800" w:bottom="1440" w:left="1800" w:header="720" w:footer="720" w:gutter="0"/>
          <w:pgNumType w:fmt="lowerRoman" w:start="1"/>
          <w:cols w:space="720"/>
          <w:docGrid w:linePitch="360"/>
        </w:sectPr>
      </w:pPr>
    </w:p>
    <w:p w:rsidR="00317F65" w:rsidRDefault="00317F65" w:rsidP="00E528A5">
      <w:pPr>
        <w:jc w:val="center"/>
        <w:rPr>
          <w:rFonts w:ascii="Times New Roman" w:hAnsi="Times New Roman"/>
          <w:b/>
          <w:bCs/>
          <w:sz w:val="20"/>
          <w:szCs w:val="20"/>
        </w:rPr>
      </w:pPr>
      <w:r>
        <w:rPr>
          <w:rFonts w:ascii="Times New Roman" w:hAnsi="Times New Roman"/>
          <w:b/>
          <w:sz w:val="20"/>
        </w:rPr>
        <w:lastRenderedPageBreak/>
        <w:t>Le dernier Cadre de partenariat stratégique date du 23 novembre 2009.</w:t>
      </w:r>
    </w:p>
    <w:p w:rsidR="00317F65" w:rsidRDefault="00317F65" w:rsidP="00E528A5">
      <w:pPr>
        <w:jc w:val="center"/>
        <w:rPr>
          <w:rFonts w:ascii="Times New Roman" w:hAnsi="Times New Roman"/>
          <w:b/>
          <w:bCs/>
          <w:sz w:val="20"/>
          <w:szCs w:val="20"/>
        </w:rPr>
      </w:pPr>
    </w:p>
    <w:p w:rsidR="00E528A5" w:rsidRPr="00D203FE" w:rsidRDefault="00E528A5" w:rsidP="00E528A5">
      <w:pPr>
        <w:jc w:val="center"/>
        <w:rPr>
          <w:rFonts w:ascii="Times New Roman" w:hAnsi="Times New Roman"/>
          <w:b/>
          <w:bCs/>
          <w:sz w:val="20"/>
          <w:szCs w:val="20"/>
        </w:rPr>
      </w:pPr>
      <w:r>
        <w:rPr>
          <w:rFonts w:ascii="Times New Roman" w:hAnsi="Times New Roman"/>
          <w:b/>
          <w:sz w:val="20"/>
        </w:rPr>
        <w:t>Taux de change</w:t>
      </w:r>
    </w:p>
    <w:p w:rsidR="00E528A5" w:rsidRPr="00D203FE" w:rsidRDefault="00E528A5" w:rsidP="00E528A5">
      <w:pPr>
        <w:jc w:val="center"/>
        <w:rPr>
          <w:rFonts w:ascii="Times New Roman" w:hAnsi="Times New Roman"/>
          <w:sz w:val="20"/>
          <w:szCs w:val="20"/>
        </w:rPr>
      </w:pPr>
      <w:r>
        <w:rPr>
          <w:rFonts w:ascii="Times New Roman" w:hAnsi="Times New Roman"/>
          <w:sz w:val="20"/>
        </w:rPr>
        <w:t>Unité monétaire = Dinar tunisien</w:t>
      </w:r>
    </w:p>
    <w:p w:rsidR="00E528A5" w:rsidRPr="00D203FE" w:rsidRDefault="00E528A5" w:rsidP="00E528A5">
      <w:pPr>
        <w:jc w:val="center"/>
        <w:rPr>
          <w:rFonts w:ascii="Times New Roman" w:hAnsi="Times New Roman"/>
          <w:sz w:val="20"/>
          <w:szCs w:val="20"/>
        </w:rPr>
      </w:pPr>
      <w:r>
        <w:rPr>
          <w:rFonts w:ascii="Times New Roman" w:hAnsi="Times New Roman"/>
          <w:sz w:val="20"/>
        </w:rPr>
        <w:t>1 USD = 1,4716 TND</w:t>
      </w:r>
    </w:p>
    <w:p w:rsidR="00E528A5" w:rsidRPr="00D203FE" w:rsidRDefault="00E528A5" w:rsidP="00E528A5">
      <w:pPr>
        <w:jc w:val="center"/>
        <w:rPr>
          <w:rFonts w:ascii="Times New Roman" w:hAnsi="Times New Roman"/>
          <w:b/>
          <w:bCs/>
          <w:sz w:val="20"/>
          <w:szCs w:val="20"/>
        </w:rPr>
      </w:pPr>
    </w:p>
    <w:p w:rsidR="00E528A5" w:rsidRPr="00D203FE" w:rsidRDefault="00E528A5" w:rsidP="00E528A5">
      <w:pPr>
        <w:jc w:val="center"/>
        <w:rPr>
          <w:rFonts w:ascii="Times New Roman" w:hAnsi="Times New Roman"/>
          <w:b/>
          <w:bCs/>
          <w:sz w:val="20"/>
          <w:szCs w:val="20"/>
        </w:rPr>
      </w:pPr>
      <w:r>
        <w:rPr>
          <w:rFonts w:ascii="Times New Roman" w:hAnsi="Times New Roman"/>
          <w:b/>
          <w:sz w:val="20"/>
        </w:rPr>
        <w:t xml:space="preserve">Exercice budgétaire </w:t>
      </w:r>
    </w:p>
    <w:p w:rsidR="00E528A5" w:rsidRPr="00D203FE" w:rsidRDefault="00E528A5" w:rsidP="00E528A5">
      <w:pPr>
        <w:jc w:val="center"/>
        <w:rPr>
          <w:rFonts w:ascii="Times New Roman" w:hAnsi="Times New Roman"/>
          <w:sz w:val="20"/>
          <w:szCs w:val="20"/>
        </w:rPr>
      </w:pPr>
      <w:r>
        <w:rPr>
          <w:rFonts w:ascii="Times New Roman" w:hAnsi="Times New Roman"/>
          <w:sz w:val="20"/>
        </w:rPr>
        <w:t>1er janvier – 31 décembre</w:t>
      </w:r>
    </w:p>
    <w:p w:rsidR="00E528A5" w:rsidRPr="00F877AD" w:rsidRDefault="00E528A5" w:rsidP="00E528A5">
      <w:pPr>
        <w:rPr>
          <w:rFonts w:ascii="Times New Roman" w:hAnsi="Times New Roman"/>
          <w:sz w:val="22"/>
          <w:szCs w:val="22"/>
        </w:rPr>
      </w:pPr>
    </w:p>
    <w:p w:rsidR="00E528A5" w:rsidRDefault="00E528A5" w:rsidP="00070844">
      <w:pPr>
        <w:jc w:val="center"/>
        <w:rPr>
          <w:rFonts w:ascii="Times New Roman" w:hAnsi="Times New Roman"/>
          <w:b/>
          <w:sz w:val="20"/>
        </w:rPr>
      </w:pPr>
      <w:r>
        <w:rPr>
          <w:rFonts w:ascii="Times New Roman" w:hAnsi="Times New Roman"/>
          <w:b/>
          <w:sz w:val="20"/>
        </w:rPr>
        <w:t>ABRÉVIATIONS ET ACRONYMES</w:t>
      </w:r>
    </w:p>
    <w:p w:rsidR="00121A94" w:rsidRDefault="00121A94" w:rsidP="00121A94">
      <w:pPr>
        <w:tabs>
          <w:tab w:val="left" w:pos="1242"/>
        </w:tabs>
        <w:rPr>
          <w:rFonts w:ascii="Times New Roman" w:hAnsi="Times New Roman"/>
        </w:rPr>
        <w:sectPr w:rsidR="00121A94" w:rsidSect="00D90CAD">
          <w:pgSz w:w="12240" w:h="15840"/>
          <w:pgMar w:top="1440" w:right="1440" w:bottom="1440" w:left="1440" w:header="720" w:footer="720" w:gutter="0"/>
          <w:pgNumType w:fmt="lowerRoman" w:start="1"/>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3218"/>
      </w:tblGrid>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lastRenderedPageBreak/>
              <w:t>AAA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Activités d'analyse et conseil</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AFD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Agence française de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AFFI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Facilité de financement des infrastructures des États arabes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ANETI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Agence nationale de l’emploi et du travail indépendant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ANSA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Réseau pour la responsabilité sociale dans le monde arabe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AT</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Assistance technique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AT</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Assistance technique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 xml:space="preserve">AWI </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Initiative en faveur du monde arabe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BAD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Banque africaine de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BERD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Banque européenne pour la reconstruction et le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BID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Banque islamique de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BIRD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Banque internationale pour la reconstruction et le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BM</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Banque mondiale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CAD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Comité d'aide au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CDD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Développement à l'initiative des communautés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CMI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Centre de Marseille pour l'intégration en Méditerranée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CPPR</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Rapport sur les performances du portefeuille-pays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CPR</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Congrès pour la République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CPS</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Cadre de partenariat stratégique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CSP</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Énergie solaire concentrée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DPR</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Revue de la politique de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e4e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Éducation pour l'emploi</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EP</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Entreprises publiques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ESW</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Étude économique et sectorielle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Ex.</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Exercice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Ex.</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Exercice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FEM</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 xml:space="preserve">Fonds pour l’environnement </w:t>
            </w:r>
            <w:r w:rsidRPr="00121A94">
              <w:rPr>
                <w:rFonts w:ascii="Times New Roman" w:eastAsia="Calibri" w:hAnsi="Times New Roman"/>
                <w:sz w:val="22"/>
                <w:szCs w:val="22"/>
                <w:lang w:eastAsia="en-US" w:bidi="ar-SA"/>
              </w:rPr>
              <w:lastRenderedPageBreak/>
              <w:t>mondial</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FMI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Fonds monétaire international</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GdT</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Gouvernement tunisien</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ICA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Évaluation du climat des investissements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ICL</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Prêt à l'appui de l'intégration et de la compétitivité</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IDE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Investissement direct étranger</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IFI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Institution financière internationale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IPL</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Indice de performance logistique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JICA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Agence de coopération internationale du Japon</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JSDF</w:t>
            </w:r>
          </w:p>
        </w:tc>
        <w:tc>
          <w:tcPr>
            <w:tcW w:w="3218" w:type="dxa"/>
          </w:tcPr>
          <w:p w:rsidR="00121A94" w:rsidRPr="006D6057" w:rsidRDefault="00121A94" w:rsidP="006D6057">
            <w:pPr>
              <w:rPr>
                <w:rFonts w:ascii="Times New Roman" w:hAnsi="Times New Roman"/>
                <w:i/>
              </w:rPr>
            </w:pPr>
            <w:r w:rsidRPr="00121A94">
              <w:rPr>
                <w:rFonts w:ascii="Times New Roman" w:eastAsia="Calibri" w:hAnsi="Times New Roman"/>
                <w:i/>
                <w:sz w:val="22"/>
                <w:szCs w:val="22"/>
                <w:lang w:eastAsia="en-US" w:bidi="ar-SA"/>
              </w:rPr>
              <w:t>Japan Social Development Fund</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MENA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Région Moyen-Orient et Afrique du Nord</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MICI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Ministère de l'Investissement et de la coopération internationale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MIGA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Agence multilatérale de garantie des investissements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MPME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Micro, petites et moyennes entreprises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NPL</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Prêts non productifs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NSI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Note de stratégie intérimaire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OCDE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Organisation de coopération et de développement économiques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ODM</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Objectifs de développement pour le Millénaire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ONG</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Organisation non gouvernementale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OSC</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Organisation de la société civile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Protocole d'accord</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PAE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Politique active d'emploi</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PBG</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Garantie sur base de politique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PEFA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Examen des dépenses publiques et de la responsabilité financière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PESF</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Programme d'évaluation du secteur financier</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PIB</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Produit intérieur brut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PME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Petites et moyennes entreprises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PNUD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Programme des Nations-Unies pour le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lastRenderedPageBreak/>
              <w:t>PPD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Prêt à l’appui des politiques de développement</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PPD GO</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Prêt à l’appui de la politique de développement pour la gouvernance et les opportunités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RCD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Rassemblement constitutionnel démocratique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RDP</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Revue des dépenses publiques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S&amp;E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Suivi et évaluation</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SAP</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Stratégie d’aide-pays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SFI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Société financière internationale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SIL</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Prêt d’investissement simple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SPF</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Fonds pour le renforcement de l'État et de la paix</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StAR</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Initiative pour le recouvrement des avoirs volés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STB</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Société Tunisienne de Banque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TAV</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Monastir Aéroport International de Tunisie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lastRenderedPageBreak/>
              <w:t>TAV</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Monastir Aéroport International de Tunisie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TIC</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Technologies de l'information et de la communication</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TMI</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Taux de mortalité infantile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TND</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Dinar tunisien</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UE</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Union européenne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UNHCR</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Haut commissariat des Nations Unies pour les réfugiés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UNICEF</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Fonds des Nations Unies pour l’enfance</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USA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États-Unis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VIH/SIDA</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Virus de l'immunodéficience humaine/syndrome immunodéficitaire acquis</w:t>
            </w:r>
          </w:p>
        </w:tc>
      </w:tr>
      <w:tr w:rsidR="00121A94" w:rsidRPr="00121A94" w:rsidTr="00121A94">
        <w:tc>
          <w:tcPr>
            <w:tcW w:w="1242" w:type="dxa"/>
          </w:tcPr>
          <w:p w:rsidR="00121A94" w:rsidRPr="00121A94" w:rsidRDefault="00121A94" w:rsidP="006D6057">
            <w:pPr>
              <w:rPr>
                <w:rFonts w:ascii="Times New Roman" w:eastAsia="Calibri" w:hAnsi="Times New Roman"/>
                <w:sz w:val="22"/>
                <w:szCs w:val="22"/>
                <w:lang w:eastAsia="en-US" w:bidi="ar-SA"/>
              </w:rPr>
            </w:pPr>
            <w:r w:rsidRPr="00121A94">
              <w:rPr>
                <w:rFonts w:ascii="Times New Roman" w:eastAsia="Calibri" w:hAnsi="Times New Roman"/>
                <w:sz w:val="22"/>
                <w:szCs w:val="22"/>
                <w:lang w:eastAsia="en-US" w:bidi="ar-SA"/>
              </w:rPr>
              <w:t>WEF</w:t>
            </w:r>
          </w:p>
        </w:tc>
        <w:tc>
          <w:tcPr>
            <w:tcW w:w="3218" w:type="dxa"/>
          </w:tcPr>
          <w:p w:rsidR="00121A94" w:rsidRPr="00121A94" w:rsidRDefault="00121A94" w:rsidP="006D6057">
            <w:pPr>
              <w:rPr>
                <w:rFonts w:ascii="Times New Roman" w:hAnsi="Times New Roman"/>
              </w:rPr>
            </w:pPr>
            <w:r w:rsidRPr="00121A94">
              <w:rPr>
                <w:rFonts w:ascii="Times New Roman" w:eastAsia="Calibri" w:hAnsi="Times New Roman"/>
                <w:sz w:val="22"/>
                <w:szCs w:val="22"/>
                <w:lang w:eastAsia="en-US" w:bidi="ar-SA"/>
              </w:rPr>
              <w:t>Forum économique mondial</w:t>
            </w:r>
          </w:p>
        </w:tc>
      </w:tr>
    </w:tbl>
    <w:p w:rsidR="00121A94" w:rsidRDefault="00121A94" w:rsidP="00070844">
      <w:pPr>
        <w:jc w:val="center"/>
        <w:rPr>
          <w:rFonts w:ascii="Times New Roman" w:hAnsi="Times New Roman"/>
          <w:b/>
          <w:sz w:val="20"/>
        </w:rPr>
        <w:sectPr w:rsidR="00121A94" w:rsidSect="00121A94">
          <w:type w:val="continuous"/>
          <w:pgSz w:w="12240" w:h="15840"/>
          <w:pgMar w:top="1440" w:right="1440" w:bottom="1440" w:left="1440" w:header="720" w:footer="720" w:gutter="0"/>
          <w:pgNumType w:fmt="lowerRoman" w:start="1"/>
          <w:cols w:num="2" w:space="720"/>
          <w:docGrid w:linePitch="360"/>
        </w:sectPr>
      </w:pPr>
    </w:p>
    <w:p w:rsidR="00121A94" w:rsidRDefault="00121A94" w:rsidP="00070844">
      <w:pPr>
        <w:jc w:val="center"/>
        <w:rPr>
          <w:rFonts w:ascii="Times New Roman" w:hAnsi="Times New Roman"/>
          <w:b/>
          <w:sz w:val="20"/>
        </w:rPr>
      </w:pPr>
    </w:p>
    <w:p w:rsidR="00121A94" w:rsidRDefault="00121A94" w:rsidP="00070844">
      <w:pPr>
        <w:jc w:val="center"/>
        <w:rPr>
          <w:rFonts w:ascii="Times New Roman" w:hAnsi="Times New Roman"/>
          <w:b/>
          <w:sz w:val="20"/>
          <w:szCs w:val="20"/>
        </w:rPr>
      </w:pPr>
    </w:p>
    <w:p w:rsidR="00070844" w:rsidRPr="007D394A" w:rsidRDefault="00070844" w:rsidP="00070844">
      <w:pPr>
        <w:jc w:val="center"/>
        <w:rPr>
          <w:rFonts w:ascii="Times New Roman" w:hAnsi="Times New Roman"/>
          <w:b/>
          <w:sz w:val="16"/>
          <w:szCs w:val="16"/>
        </w:rPr>
      </w:pPr>
    </w:p>
    <w:tbl>
      <w:tblPr>
        <w:tblStyle w:val="TableGrid"/>
        <w:tblW w:w="10980" w:type="dxa"/>
        <w:tblInd w:w="-342" w:type="dxa"/>
        <w:tblLayout w:type="fixed"/>
        <w:tblLook w:val="04A0"/>
      </w:tblPr>
      <w:tblGrid>
        <w:gridCol w:w="3600"/>
        <w:gridCol w:w="3150"/>
        <w:gridCol w:w="4230"/>
      </w:tblGrid>
      <w:tr w:rsidR="00E528A5" w:rsidRPr="00F877AD" w:rsidTr="00853363">
        <w:tc>
          <w:tcPr>
            <w:tcW w:w="3600" w:type="dxa"/>
          </w:tcPr>
          <w:p w:rsidR="00E528A5" w:rsidRPr="00EC14D7" w:rsidRDefault="00E528A5" w:rsidP="00171CC3">
            <w:pPr>
              <w:rPr>
                <w:rFonts w:ascii="Times New Roman" w:hAnsi="Times New Roman"/>
                <w:bCs/>
                <w:sz w:val="18"/>
                <w:szCs w:val="18"/>
              </w:rPr>
            </w:pPr>
          </w:p>
        </w:tc>
        <w:tc>
          <w:tcPr>
            <w:tcW w:w="3150" w:type="dxa"/>
          </w:tcPr>
          <w:p w:rsidR="00E528A5" w:rsidRPr="00EC14D7" w:rsidRDefault="00E528A5" w:rsidP="00171CC3">
            <w:pPr>
              <w:rPr>
                <w:rFonts w:ascii="Times New Roman" w:hAnsi="Times New Roman"/>
                <w:b/>
                <w:sz w:val="18"/>
                <w:szCs w:val="18"/>
              </w:rPr>
            </w:pPr>
            <w:r>
              <w:rPr>
                <w:rFonts w:ascii="Times New Roman" w:hAnsi="Times New Roman"/>
                <w:b/>
                <w:sz w:val="18"/>
              </w:rPr>
              <w:t>BIRD</w:t>
            </w:r>
          </w:p>
        </w:tc>
        <w:tc>
          <w:tcPr>
            <w:tcW w:w="4230" w:type="dxa"/>
          </w:tcPr>
          <w:p w:rsidR="00E528A5" w:rsidRPr="00EC14D7" w:rsidRDefault="00E528A5" w:rsidP="00171CC3">
            <w:pPr>
              <w:rPr>
                <w:rFonts w:ascii="Times New Roman" w:hAnsi="Times New Roman"/>
                <w:b/>
                <w:sz w:val="18"/>
                <w:szCs w:val="18"/>
              </w:rPr>
            </w:pPr>
            <w:r>
              <w:rPr>
                <w:rFonts w:ascii="Times New Roman" w:hAnsi="Times New Roman"/>
                <w:b/>
                <w:sz w:val="18"/>
              </w:rPr>
              <w:t>SFI</w:t>
            </w:r>
          </w:p>
        </w:tc>
      </w:tr>
      <w:tr w:rsidR="00E528A5" w:rsidRPr="00F877AD" w:rsidTr="00853363">
        <w:tc>
          <w:tcPr>
            <w:tcW w:w="3600" w:type="dxa"/>
          </w:tcPr>
          <w:p w:rsidR="00E528A5" w:rsidRPr="00EC14D7" w:rsidRDefault="00E528A5" w:rsidP="00171CC3">
            <w:pPr>
              <w:rPr>
                <w:rFonts w:ascii="Times New Roman" w:hAnsi="Times New Roman"/>
                <w:bCs/>
                <w:sz w:val="18"/>
                <w:szCs w:val="18"/>
              </w:rPr>
            </w:pPr>
            <w:r>
              <w:rPr>
                <w:rFonts w:ascii="Times New Roman" w:hAnsi="Times New Roman"/>
                <w:sz w:val="18"/>
              </w:rPr>
              <w:t>Vice-président</w:t>
            </w:r>
          </w:p>
        </w:tc>
        <w:tc>
          <w:tcPr>
            <w:tcW w:w="3150" w:type="dxa"/>
          </w:tcPr>
          <w:p w:rsidR="00E528A5" w:rsidRPr="00EC14D7" w:rsidRDefault="00E528A5" w:rsidP="00171CC3">
            <w:pPr>
              <w:rPr>
                <w:rFonts w:ascii="Times New Roman" w:hAnsi="Times New Roman"/>
                <w:bCs/>
                <w:sz w:val="18"/>
                <w:szCs w:val="18"/>
              </w:rPr>
            </w:pPr>
            <w:r>
              <w:rPr>
                <w:rFonts w:ascii="Times New Roman" w:hAnsi="Times New Roman"/>
                <w:sz w:val="18"/>
              </w:rPr>
              <w:t>Inger Andersen</w:t>
            </w:r>
          </w:p>
        </w:tc>
        <w:tc>
          <w:tcPr>
            <w:tcW w:w="4230" w:type="dxa"/>
          </w:tcPr>
          <w:p w:rsidR="00E528A5" w:rsidRPr="00EC14D7" w:rsidRDefault="00E528A5" w:rsidP="00171CC3">
            <w:pPr>
              <w:rPr>
                <w:rFonts w:ascii="Times New Roman" w:hAnsi="Times New Roman"/>
                <w:bCs/>
                <w:sz w:val="18"/>
                <w:szCs w:val="18"/>
              </w:rPr>
            </w:pPr>
            <w:r>
              <w:rPr>
                <w:rFonts w:ascii="Times New Roman" w:hAnsi="Times New Roman"/>
                <w:sz w:val="18"/>
              </w:rPr>
              <w:t>Dimitris Tsitsiragos</w:t>
            </w:r>
          </w:p>
        </w:tc>
      </w:tr>
      <w:tr w:rsidR="00E528A5" w:rsidRPr="00F877AD" w:rsidTr="00853363">
        <w:tc>
          <w:tcPr>
            <w:tcW w:w="3600" w:type="dxa"/>
          </w:tcPr>
          <w:p w:rsidR="00E528A5" w:rsidRPr="00EC14D7" w:rsidRDefault="00E528A5" w:rsidP="00171CC3">
            <w:pPr>
              <w:rPr>
                <w:rFonts w:ascii="Times New Roman" w:hAnsi="Times New Roman"/>
                <w:bCs/>
                <w:sz w:val="18"/>
                <w:szCs w:val="18"/>
              </w:rPr>
            </w:pPr>
            <w:r>
              <w:rPr>
                <w:rFonts w:ascii="Times New Roman" w:hAnsi="Times New Roman"/>
                <w:sz w:val="18"/>
              </w:rPr>
              <w:t>Directeur</w:t>
            </w:r>
          </w:p>
        </w:tc>
        <w:tc>
          <w:tcPr>
            <w:tcW w:w="3150" w:type="dxa"/>
          </w:tcPr>
          <w:p w:rsidR="00E528A5" w:rsidRPr="00EC14D7" w:rsidRDefault="00E528A5" w:rsidP="00171CC3">
            <w:pPr>
              <w:rPr>
                <w:rFonts w:ascii="Times New Roman" w:hAnsi="Times New Roman"/>
                <w:bCs/>
                <w:sz w:val="18"/>
                <w:szCs w:val="18"/>
              </w:rPr>
            </w:pPr>
            <w:r>
              <w:rPr>
                <w:rFonts w:ascii="Times New Roman" w:hAnsi="Times New Roman"/>
                <w:sz w:val="18"/>
              </w:rPr>
              <w:t>Simon Gray</w:t>
            </w:r>
          </w:p>
        </w:tc>
        <w:tc>
          <w:tcPr>
            <w:tcW w:w="4230" w:type="dxa"/>
          </w:tcPr>
          <w:p w:rsidR="00E528A5" w:rsidRPr="00EC14D7" w:rsidRDefault="00E528A5" w:rsidP="00171CC3">
            <w:pPr>
              <w:rPr>
                <w:rFonts w:ascii="Times New Roman" w:hAnsi="Times New Roman"/>
                <w:bCs/>
                <w:sz w:val="18"/>
                <w:szCs w:val="18"/>
              </w:rPr>
            </w:pPr>
            <w:r>
              <w:rPr>
                <w:rFonts w:ascii="Times New Roman" w:hAnsi="Times New Roman"/>
                <w:sz w:val="18"/>
              </w:rPr>
              <w:t>Mouayed Makhlouf</w:t>
            </w:r>
          </w:p>
        </w:tc>
      </w:tr>
      <w:tr w:rsidR="00E528A5" w:rsidRPr="00F877AD" w:rsidTr="00853363">
        <w:tc>
          <w:tcPr>
            <w:tcW w:w="3600" w:type="dxa"/>
          </w:tcPr>
          <w:p w:rsidR="00E528A5" w:rsidRPr="00EC14D7" w:rsidRDefault="00E528A5" w:rsidP="00171CC3">
            <w:pPr>
              <w:rPr>
                <w:rFonts w:ascii="Times New Roman" w:hAnsi="Times New Roman"/>
                <w:bCs/>
                <w:sz w:val="18"/>
                <w:szCs w:val="18"/>
              </w:rPr>
            </w:pPr>
            <w:r>
              <w:rPr>
                <w:rFonts w:ascii="Times New Roman" w:hAnsi="Times New Roman"/>
                <w:sz w:val="18"/>
              </w:rPr>
              <w:t>Co-Chef d'équipe de projet</w:t>
            </w:r>
          </w:p>
        </w:tc>
        <w:tc>
          <w:tcPr>
            <w:tcW w:w="3150" w:type="dxa"/>
          </w:tcPr>
          <w:p w:rsidR="00E528A5" w:rsidRPr="00EC14D7" w:rsidRDefault="00E528A5" w:rsidP="00171CC3">
            <w:pPr>
              <w:rPr>
                <w:rFonts w:ascii="Times New Roman" w:hAnsi="Times New Roman"/>
                <w:bCs/>
                <w:sz w:val="18"/>
                <w:szCs w:val="18"/>
              </w:rPr>
            </w:pPr>
            <w:r>
              <w:rPr>
                <w:rFonts w:ascii="Times New Roman" w:hAnsi="Times New Roman"/>
                <w:sz w:val="18"/>
              </w:rPr>
              <w:t>Eileen Murray</w:t>
            </w:r>
          </w:p>
        </w:tc>
        <w:tc>
          <w:tcPr>
            <w:tcW w:w="4230" w:type="dxa"/>
          </w:tcPr>
          <w:p w:rsidR="00E528A5" w:rsidRPr="00EC14D7" w:rsidRDefault="00E528A5" w:rsidP="00171CC3">
            <w:pPr>
              <w:rPr>
                <w:rFonts w:ascii="Times New Roman" w:hAnsi="Times New Roman"/>
                <w:bCs/>
                <w:sz w:val="18"/>
                <w:szCs w:val="18"/>
              </w:rPr>
            </w:pPr>
            <w:r>
              <w:rPr>
                <w:rFonts w:ascii="Times New Roman" w:hAnsi="Times New Roman"/>
                <w:sz w:val="18"/>
              </w:rPr>
              <w:t>Joumana Cobein</w:t>
            </w:r>
          </w:p>
        </w:tc>
      </w:tr>
      <w:tr w:rsidR="00E528A5" w:rsidRPr="00F877AD" w:rsidTr="00853363">
        <w:tc>
          <w:tcPr>
            <w:tcW w:w="3600" w:type="dxa"/>
          </w:tcPr>
          <w:p w:rsidR="00E528A5" w:rsidRPr="00EC14D7" w:rsidRDefault="00E528A5" w:rsidP="00171CC3">
            <w:pPr>
              <w:rPr>
                <w:rFonts w:ascii="Times New Roman" w:hAnsi="Times New Roman"/>
                <w:bCs/>
                <w:sz w:val="18"/>
                <w:szCs w:val="18"/>
              </w:rPr>
            </w:pPr>
            <w:r>
              <w:rPr>
                <w:rFonts w:ascii="Times New Roman" w:hAnsi="Times New Roman"/>
                <w:sz w:val="18"/>
              </w:rPr>
              <w:t>Co-Chef d'équipe de projet</w:t>
            </w:r>
          </w:p>
        </w:tc>
        <w:tc>
          <w:tcPr>
            <w:tcW w:w="3150" w:type="dxa"/>
          </w:tcPr>
          <w:p w:rsidR="00E528A5" w:rsidRPr="00EC14D7" w:rsidRDefault="00E528A5" w:rsidP="00171CC3">
            <w:pPr>
              <w:rPr>
                <w:rFonts w:ascii="Times New Roman" w:hAnsi="Times New Roman"/>
                <w:bCs/>
                <w:sz w:val="18"/>
                <w:szCs w:val="18"/>
              </w:rPr>
            </w:pPr>
            <w:r>
              <w:rPr>
                <w:rFonts w:ascii="Times New Roman" w:hAnsi="Times New Roman"/>
                <w:sz w:val="18"/>
              </w:rPr>
              <w:t>Paola Ridolfi</w:t>
            </w:r>
          </w:p>
        </w:tc>
        <w:tc>
          <w:tcPr>
            <w:tcW w:w="4230" w:type="dxa"/>
          </w:tcPr>
          <w:p w:rsidR="00E528A5" w:rsidRPr="00EC14D7" w:rsidRDefault="00C747B5" w:rsidP="00171CC3">
            <w:pPr>
              <w:rPr>
                <w:rFonts w:ascii="Times New Roman" w:hAnsi="Times New Roman"/>
                <w:bCs/>
                <w:sz w:val="18"/>
                <w:szCs w:val="18"/>
              </w:rPr>
            </w:pPr>
            <w:r>
              <w:rPr>
                <w:rFonts w:ascii="Times New Roman" w:hAnsi="Times New Roman"/>
                <w:sz w:val="18"/>
              </w:rPr>
              <w:t>Kaikham Onedamdy</w:t>
            </w:r>
          </w:p>
        </w:tc>
      </w:tr>
    </w:tbl>
    <w:p w:rsidR="00E528A5" w:rsidRDefault="00E528A5" w:rsidP="00E528A5">
      <w:pPr>
        <w:spacing w:after="200" w:line="276" w:lineRule="auto"/>
      </w:pPr>
    </w:p>
    <w:p w:rsidR="00E528A5" w:rsidRPr="00765402" w:rsidRDefault="00E528A5" w:rsidP="00E528A5">
      <w:pPr>
        <w:jc w:val="right"/>
        <w:rPr>
          <w:rFonts w:ascii="Times New Roman" w:hAnsi="Times New Roman"/>
          <w:b/>
          <w:sz w:val="22"/>
          <w:szCs w:val="22"/>
        </w:rPr>
      </w:pPr>
      <w:r>
        <w:rPr>
          <w:rFonts w:ascii="Times New Roman" w:hAnsi="Times New Roman"/>
          <w:b/>
          <w:sz w:val="22"/>
        </w:rPr>
        <w:t>RÉSERVÉ À L'USAGE OFFICIEL</w:t>
      </w:r>
    </w:p>
    <w:p w:rsidR="00E528A5" w:rsidRDefault="00E528A5" w:rsidP="00E528A5">
      <w:pPr>
        <w:jc w:val="right"/>
        <w:rPr>
          <w:rFonts w:ascii="Times New Roman" w:hAnsi="Times New Roman"/>
          <w:b/>
        </w:rPr>
      </w:pPr>
    </w:p>
    <w:p w:rsidR="00E528A5" w:rsidRDefault="00E528A5" w:rsidP="00E528A5">
      <w:pPr>
        <w:jc w:val="right"/>
        <w:rPr>
          <w:rFonts w:ascii="Times New Roman" w:hAnsi="Times New Roman"/>
          <w:b/>
        </w:rPr>
      </w:pPr>
    </w:p>
    <w:p w:rsidR="00E528A5" w:rsidRDefault="00E528A5" w:rsidP="00E528A5">
      <w:pPr>
        <w:jc w:val="center"/>
        <w:rPr>
          <w:rFonts w:ascii="Times New Roman" w:hAnsi="Times New Roman"/>
          <w:b/>
        </w:rPr>
      </w:pPr>
    </w:p>
    <w:p w:rsidR="00E528A5" w:rsidRDefault="00E528A5" w:rsidP="00E528A5">
      <w:pPr>
        <w:jc w:val="center"/>
        <w:rPr>
          <w:rFonts w:ascii="Times New Roman" w:hAnsi="Times New Roman"/>
          <w:b/>
        </w:rPr>
      </w:pPr>
      <w:r>
        <w:rPr>
          <w:rFonts w:ascii="Times New Roman" w:hAnsi="Times New Roman"/>
          <w:b/>
        </w:rPr>
        <w:t>REMERCIEMENTS</w:t>
      </w:r>
    </w:p>
    <w:p w:rsidR="00E528A5" w:rsidRPr="00862648" w:rsidRDefault="00E528A5" w:rsidP="00E528A5">
      <w:pPr>
        <w:rPr>
          <w:rFonts w:ascii="Times New Roman" w:hAnsi="Times New Roman"/>
          <w:bCs/>
        </w:rPr>
      </w:pPr>
    </w:p>
    <w:p w:rsidR="00E528A5" w:rsidRPr="00862648" w:rsidRDefault="00E528A5" w:rsidP="00E528A5">
      <w:pPr>
        <w:rPr>
          <w:rFonts w:ascii="Times New Roman" w:hAnsi="Times New Roman"/>
          <w:bCs/>
        </w:rPr>
      </w:pPr>
    </w:p>
    <w:p w:rsidR="00F13A5C" w:rsidRPr="003256E8" w:rsidRDefault="00F13A5C" w:rsidP="00B7369B">
      <w:pPr>
        <w:ind w:firstLine="720"/>
        <w:jc w:val="both"/>
        <w:rPr>
          <w:rFonts w:ascii="Times New Roman" w:hAnsi="Times New Roman"/>
          <w:color w:val="000000"/>
          <w:sz w:val="22"/>
          <w:szCs w:val="22"/>
        </w:rPr>
      </w:pPr>
      <w:r>
        <w:rPr>
          <w:rFonts w:ascii="Times New Roman" w:hAnsi="Times New Roman"/>
          <w:color w:val="000000"/>
          <w:sz w:val="22"/>
        </w:rPr>
        <w:t>Cette Note de stratégie intérimaire (NSI) a été préparée par une équipe dirigée par Eileen Murray et Paola Ridolfi sous la direction de Simon Gray, Directeur des opérations. Les membres de l'équipe comprennent Joelle Businger, Antonio Nucifora, Yasmine Rouai, Micheline Faucompre, Daniela Marotta, Bachir Abdaym, Diego Angel Urdinola, Anas Abou El Mikias, Garry Charlier, Xavier Chauvot de Beauchene, Jean-Charles de Daruvar, Antonio Davila-Bonazzi, Walid Dhioubi, Marouane El Abassi, Heba El Gazzar, Jaafar Friaa, Saida Doumbia Gall, Laurent Gonnet, Michael Hamaide, Isabelle Huynh, Djibrilla Issa, Adriana Jaramillo, Donia Jemail, Narjes Jerbi, Soukeyna Kane, Gloria La Cava, Olivier Le Ber, Jean Michel Marchat, Philippe Marin, Patricia Mc Kenzie, Silvia Pariente-David, Besma Refai, Chantal Reliquet, Philippe Roos, Carlo Maria Rossotto, Fabian Seiderer, Rene Solano, Kathleen So Ting Fong, William Sutton, Yolanda Tayler, Vincent Vesin et Jeffrey Waite.</w:t>
      </w:r>
    </w:p>
    <w:p w:rsidR="00F13A5C" w:rsidRPr="003256E8" w:rsidRDefault="00F13A5C" w:rsidP="00F13A5C">
      <w:pPr>
        <w:jc w:val="both"/>
        <w:rPr>
          <w:rFonts w:ascii="Times New Roman" w:hAnsi="Times New Roman"/>
          <w:color w:val="000000"/>
          <w:sz w:val="22"/>
          <w:szCs w:val="22"/>
        </w:rPr>
      </w:pPr>
    </w:p>
    <w:p w:rsidR="00F13A5C" w:rsidRPr="003256E8" w:rsidRDefault="00F13A5C" w:rsidP="00F13A5C">
      <w:pPr>
        <w:jc w:val="both"/>
        <w:rPr>
          <w:rFonts w:ascii="Times New Roman" w:hAnsi="Times New Roman"/>
          <w:color w:val="000000"/>
          <w:sz w:val="22"/>
          <w:szCs w:val="22"/>
        </w:rPr>
      </w:pPr>
      <w:r>
        <w:tab/>
      </w:r>
      <w:r>
        <w:rPr>
          <w:rFonts w:ascii="Times New Roman" w:hAnsi="Times New Roman"/>
          <w:color w:val="000000"/>
          <w:sz w:val="22"/>
        </w:rPr>
        <w:t xml:space="preserve">Pour la </w:t>
      </w:r>
      <w:r>
        <w:rPr>
          <w:rFonts w:ascii="Times New Roman" w:hAnsi="Times New Roman"/>
          <w:b/>
          <w:color w:val="000000"/>
          <w:sz w:val="22"/>
        </w:rPr>
        <w:t>SFI</w:t>
      </w:r>
      <w:r>
        <w:rPr>
          <w:rFonts w:ascii="Times New Roman" w:hAnsi="Times New Roman"/>
          <w:color w:val="000000"/>
          <w:sz w:val="22"/>
        </w:rPr>
        <w:t xml:space="preserve">, l'équipe inclut Joumana Cobein, Kaikham Onedamdy et Antoine Courcelle-Labrousse. Les contributions de la </w:t>
      </w:r>
      <w:r>
        <w:rPr>
          <w:rFonts w:ascii="Times New Roman" w:hAnsi="Times New Roman"/>
          <w:b/>
          <w:color w:val="000000"/>
          <w:sz w:val="22"/>
        </w:rPr>
        <w:t>MIGA</w:t>
      </w:r>
      <w:r>
        <w:rPr>
          <w:rFonts w:ascii="Times New Roman" w:hAnsi="Times New Roman"/>
          <w:color w:val="000000"/>
          <w:sz w:val="22"/>
        </w:rPr>
        <w:t xml:space="preserve"> ont été assurées par Paul Barbour.</w:t>
      </w:r>
    </w:p>
    <w:p w:rsidR="00F13A5C" w:rsidRPr="003256E8" w:rsidRDefault="00F13A5C" w:rsidP="00F13A5C">
      <w:pPr>
        <w:jc w:val="both"/>
        <w:rPr>
          <w:rFonts w:ascii="Times New Roman" w:hAnsi="Times New Roman"/>
          <w:color w:val="000000"/>
          <w:sz w:val="22"/>
          <w:szCs w:val="22"/>
        </w:rPr>
      </w:pPr>
    </w:p>
    <w:p w:rsidR="00F55569" w:rsidRPr="003256E8" w:rsidRDefault="00F13A5C" w:rsidP="00F13A5C">
      <w:pPr>
        <w:autoSpaceDE w:val="0"/>
        <w:autoSpaceDN w:val="0"/>
        <w:adjustRightInd w:val="0"/>
        <w:jc w:val="both"/>
        <w:rPr>
          <w:rFonts w:ascii="Times New Roman" w:hAnsi="Times New Roman"/>
          <w:sz w:val="22"/>
          <w:szCs w:val="22"/>
        </w:rPr>
      </w:pPr>
      <w:r>
        <w:lastRenderedPageBreak/>
        <w:tab/>
      </w:r>
      <w:r>
        <w:rPr>
          <w:rFonts w:ascii="Times New Roman" w:hAnsi="Times New Roman"/>
          <w:sz w:val="22"/>
        </w:rPr>
        <w:t>Ce document a bénéficié de discussions approfondies et réfléchies avec les autorités de la Tunisie, la société civile, des représentants du secteur privé et des partenaires du développement. Le Groupe de la Banque mondiale leur est très reconnaissant de leur collaboration et de leur appui à la préparation de la NSI. La Banque tient à remercier tout particulièrement le Ministre Riad Bettaieb, Ministre de l'Investissement et de la coopération internationale (MICI), M. Alaya Bettaieb, Secrétaire d'État, MICI, pour leur excellente collaboration, et, pour ses conseils attentifs au cours de ce processus, M. Abdallah Zekri, Directeur général, MICI.</w:t>
      </w:r>
    </w:p>
    <w:p w:rsidR="00E528A5" w:rsidRPr="003256E8" w:rsidRDefault="00E528A5" w:rsidP="00E528A5">
      <w:pPr>
        <w:jc w:val="center"/>
        <w:rPr>
          <w:rFonts w:ascii="Times New Roman" w:hAnsi="Times New Roman"/>
          <w:bCs/>
          <w:sz w:val="22"/>
          <w:szCs w:val="22"/>
        </w:rPr>
      </w:pPr>
    </w:p>
    <w:p w:rsidR="00E528A5" w:rsidRPr="003256E8" w:rsidRDefault="00E528A5" w:rsidP="00E528A5">
      <w:pPr>
        <w:rPr>
          <w:rFonts w:ascii="Times New Roman" w:hAnsi="Times New Roman"/>
          <w:bCs/>
          <w:sz w:val="22"/>
          <w:szCs w:val="22"/>
        </w:rPr>
      </w:pPr>
      <w:r>
        <w:br w:type="page"/>
      </w:r>
    </w:p>
    <w:p w:rsidR="00E528A5" w:rsidRDefault="00E528A5" w:rsidP="00756929">
      <w:pPr>
        <w:jc w:val="center"/>
        <w:rPr>
          <w:rFonts w:ascii="Times New Roman" w:hAnsi="Times New Roman"/>
          <w:b/>
        </w:rPr>
      </w:pPr>
      <w:r>
        <w:rPr>
          <w:rFonts w:ascii="Times New Roman" w:hAnsi="Times New Roman"/>
          <w:b/>
        </w:rPr>
        <w:lastRenderedPageBreak/>
        <w:t>TUNISIE</w:t>
      </w:r>
    </w:p>
    <w:p w:rsidR="00E528A5" w:rsidRPr="00A9531F" w:rsidRDefault="00E528A5" w:rsidP="00756929">
      <w:pPr>
        <w:jc w:val="center"/>
        <w:rPr>
          <w:rFonts w:ascii="Times New Roman" w:hAnsi="Times New Roman"/>
          <w:b/>
        </w:rPr>
      </w:pPr>
      <w:r>
        <w:rPr>
          <w:rFonts w:ascii="Times New Roman" w:hAnsi="Times New Roman"/>
          <w:b/>
        </w:rPr>
        <w:t>NOTE DE STRATÉGIE INTÉRIMAIRE</w:t>
      </w:r>
    </w:p>
    <w:p w:rsidR="008A6007" w:rsidRPr="00756929" w:rsidRDefault="008A6007" w:rsidP="00E528A5">
      <w:pPr>
        <w:jc w:val="center"/>
        <w:rPr>
          <w:b/>
          <w:caps/>
          <w:sz w:val="16"/>
          <w:szCs w:val="16"/>
        </w:rPr>
      </w:pPr>
    </w:p>
    <w:p w:rsidR="00E528A5" w:rsidRDefault="00E528A5" w:rsidP="00E528A5">
      <w:pPr>
        <w:jc w:val="center"/>
        <w:rPr>
          <w:rFonts w:ascii="Times New Roman" w:hAnsi="Times New Roman"/>
          <w:b/>
          <w:caps/>
        </w:rPr>
      </w:pPr>
      <w:r>
        <w:rPr>
          <w:rFonts w:ascii="Times New Roman" w:hAnsi="Times New Roman"/>
          <w:b/>
          <w:caps/>
        </w:rPr>
        <w:t>Table des matières</w:t>
      </w:r>
    </w:p>
    <w:p w:rsidR="00DA66F1" w:rsidRDefault="00DA66F1" w:rsidP="00E528A5">
      <w:pPr>
        <w:jc w:val="center"/>
        <w:rPr>
          <w:rFonts w:ascii="Times New Roman" w:hAnsi="Times New Roman"/>
          <w:b/>
          <w:caps/>
        </w:rPr>
      </w:pPr>
    </w:p>
    <w:sdt>
      <w:sdtPr>
        <w:rPr>
          <w:b/>
          <w:bCs/>
          <w:noProof/>
        </w:rPr>
        <w:id w:val="18977335"/>
        <w:docPartObj>
          <w:docPartGallery w:val="Table of Contents"/>
          <w:docPartUnique/>
        </w:docPartObj>
      </w:sdtPr>
      <w:sdtEndPr>
        <w:rPr>
          <w:rFonts w:ascii="Times New Roman" w:hAnsi="Times New Roman"/>
          <w:b w:val="0"/>
          <w:bCs w:val="0"/>
          <w:sz w:val="22"/>
          <w:szCs w:val="22"/>
        </w:rPr>
      </w:sdtEndPr>
      <w:sdtContent>
        <w:p w:rsidR="00D703FD" w:rsidRPr="008A5EF3" w:rsidRDefault="000F2FFA" w:rsidP="00DA66F1">
          <w:pPr>
            <w:tabs>
              <w:tab w:val="left" w:pos="540"/>
              <w:tab w:val="left" w:pos="9350"/>
            </w:tabs>
            <w:autoSpaceDE w:val="0"/>
            <w:autoSpaceDN w:val="0"/>
            <w:adjustRightInd w:val="0"/>
            <w:spacing w:after="60"/>
            <w:ind w:left="446" w:hanging="446"/>
            <w:rPr>
              <w:rFonts w:ascii="Times New Roman" w:hAnsi="Times New Roman"/>
              <w:b/>
              <w:sz w:val="22"/>
              <w:szCs w:val="22"/>
            </w:rPr>
          </w:pPr>
          <w:r>
            <w:rPr>
              <w:rFonts w:ascii="Times New Roman" w:hAnsi="Times New Roman"/>
              <w:color w:val="000000"/>
              <w:sz w:val="22"/>
            </w:rPr>
            <w:t>RÉSUMÉ ANALYTIQUE</w:t>
          </w:r>
        </w:p>
        <w:p w:rsidR="004F369E" w:rsidRDefault="00BE3333">
          <w:pPr>
            <w:pStyle w:val="TOC1"/>
            <w:rPr>
              <w:rFonts w:cstheme="minorBidi"/>
              <w:b w:val="0"/>
              <w:sz w:val="22"/>
              <w:szCs w:val="22"/>
              <w:lang w:val="en-US" w:eastAsia="en-US" w:bidi="ar-SA"/>
            </w:rPr>
          </w:pPr>
          <w:r w:rsidRPr="00BE3333">
            <w:rPr>
              <w:rFonts w:ascii="Times New Roman" w:hAnsi="Times New Roman"/>
              <w:b w:val="0"/>
              <w:bCs/>
              <w:sz w:val="22"/>
              <w:szCs w:val="22"/>
            </w:rPr>
            <w:fldChar w:fldCharType="begin"/>
          </w:r>
          <w:r w:rsidR="00D703FD" w:rsidRPr="008A5EF3">
            <w:rPr>
              <w:rFonts w:ascii="Times New Roman" w:hAnsi="Times New Roman"/>
              <w:b w:val="0"/>
              <w:bCs/>
              <w:sz w:val="22"/>
              <w:szCs w:val="22"/>
            </w:rPr>
            <w:instrText xml:space="preserve"> TOC \o "1-3" \h \z \u </w:instrText>
          </w:r>
          <w:r w:rsidRPr="00BE3333">
            <w:rPr>
              <w:rFonts w:ascii="Times New Roman" w:hAnsi="Times New Roman"/>
              <w:b w:val="0"/>
              <w:bCs/>
              <w:sz w:val="22"/>
              <w:szCs w:val="22"/>
            </w:rPr>
            <w:fldChar w:fldCharType="separate"/>
          </w:r>
          <w:hyperlink w:anchor="_Toc327979085" w:history="1">
            <w:r w:rsidR="004F369E" w:rsidRPr="000D5AB5">
              <w:rPr>
                <w:rStyle w:val="Hyperlink"/>
                <w:rFonts w:ascii="Times New Roman" w:hAnsi="Times New Roman"/>
              </w:rPr>
              <w:t>I.</w:t>
            </w:r>
            <w:r w:rsidR="004F369E">
              <w:rPr>
                <w:rFonts w:cstheme="minorBidi"/>
                <w:b w:val="0"/>
                <w:sz w:val="22"/>
                <w:szCs w:val="22"/>
                <w:lang w:val="en-US" w:eastAsia="en-US" w:bidi="ar-SA"/>
              </w:rPr>
              <w:tab/>
            </w:r>
            <w:r w:rsidR="004F369E" w:rsidRPr="000D5AB5">
              <w:rPr>
                <w:rStyle w:val="Hyperlink"/>
                <w:rFonts w:ascii="Times New Roman" w:hAnsi="Times New Roman"/>
              </w:rPr>
              <w:t>INTRODUCTION</w:t>
            </w:r>
            <w:r w:rsidR="004F369E">
              <w:rPr>
                <w:webHidden/>
              </w:rPr>
              <w:tab/>
            </w:r>
            <w:r>
              <w:rPr>
                <w:webHidden/>
              </w:rPr>
              <w:fldChar w:fldCharType="begin"/>
            </w:r>
            <w:r w:rsidR="004F369E">
              <w:rPr>
                <w:webHidden/>
              </w:rPr>
              <w:instrText xml:space="preserve"> PAGEREF _Toc327979085 \h </w:instrText>
            </w:r>
            <w:r>
              <w:rPr>
                <w:webHidden/>
              </w:rPr>
            </w:r>
            <w:r>
              <w:rPr>
                <w:webHidden/>
              </w:rPr>
              <w:fldChar w:fldCharType="separate"/>
            </w:r>
            <w:r w:rsidR="004F369E">
              <w:rPr>
                <w:webHidden/>
              </w:rPr>
              <w:t>1</w:t>
            </w:r>
            <w:r>
              <w:rPr>
                <w:webHidden/>
              </w:rPr>
              <w:fldChar w:fldCharType="end"/>
            </w:r>
          </w:hyperlink>
        </w:p>
        <w:p w:rsidR="004F369E" w:rsidRDefault="00BE3333">
          <w:pPr>
            <w:pStyle w:val="TOC1"/>
            <w:rPr>
              <w:rFonts w:cstheme="minorBidi"/>
              <w:b w:val="0"/>
              <w:sz w:val="22"/>
              <w:szCs w:val="22"/>
              <w:lang w:val="en-US" w:eastAsia="en-US" w:bidi="ar-SA"/>
            </w:rPr>
          </w:pPr>
          <w:hyperlink w:anchor="_Toc327979086" w:history="1">
            <w:r w:rsidR="004F369E" w:rsidRPr="000D5AB5">
              <w:rPr>
                <w:rStyle w:val="Hyperlink"/>
                <w:rFonts w:ascii="Times New Roman" w:eastAsia="Times New Roman" w:hAnsi="Times New Roman"/>
              </w:rPr>
              <w:t>II.</w:t>
            </w:r>
            <w:r w:rsidR="004F369E">
              <w:rPr>
                <w:rFonts w:cstheme="minorBidi"/>
                <w:b w:val="0"/>
                <w:sz w:val="22"/>
                <w:szCs w:val="22"/>
                <w:lang w:val="en-US" w:eastAsia="en-US" w:bidi="ar-SA"/>
              </w:rPr>
              <w:tab/>
            </w:r>
            <w:r w:rsidR="004F369E" w:rsidRPr="000D5AB5">
              <w:rPr>
                <w:rStyle w:val="Hyperlink"/>
                <w:rFonts w:ascii="Times New Roman" w:hAnsi="Times New Roman"/>
              </w:rPr>
              <w:t>CONTEXTE NATIONAL</w:t>
            </w:r>
            <w:r w:rsidR="004F369E">
              <w:rPr>
                <w:webHidden/>
              </w:rPr>
              <w:tab/>
            </w:r>
            <w:r>
              <w:rPr>
                <w:webHidden/>
              </w:rPr>
              <w:fldChar w:fldCharType="begin"/>
            </w:r>
            <w:r w:rsidR="004F369E">
              <w:rPr>
                <w:webHidden/>
              </w:rPr>
              <w:instrText xml:space="preserve"> PAGEREF _Toc327979086 \h </w:instrText>
            </w:r>
            <w:r>
              <w:rPr>
                <w:webHidden/>
              </w:rPr>
            </w:r>
            <w:r>
              <w:rPr>
                <w:webHidden/>
              </w:rPr>
              <w:fldChar w:fldCharType="separate"/>
            </w:r>
            <w:r w:rsidR="004F369E">
              <w:rPr>
                <w:webHidden/>
              </w:rPr>
              <w:t>2</w:t>
            </w:r>
            <w:r>
              <w:rPr>
                <w:webHidden/>
              </w:rPr>
              <w:fldChar w:fldCharType="end"/>
            </w:r>
          </w:hyperlink>
        </w:p>
        <w:p w:rsidR="004F369E" w:rsidRDefault="00BE3333">
          <w:pPr>
            <w:pStyle w:val="TOC2"/>
            <w:rPr>
              <w:rFonts w:cstheme="minorBidi"/>
              <w:noProof/>
              <w:sz w:val="22"/>
              <w:szCs w:val="22"/>
              <w:lang w:val="en-US" w:eastAsia="en-US" w:bidi="ar-SA"/>
            </w:rPr>
          </w:pPr>
          <w:hyperlink w:anchor="_Toc327979087" w:history="1">
            <w:r w:rsidR="004F369E" w:rsidRPr="000D5AB5">
              <w:rPr>
                <w:rStyle w:val="Hyperlink"/>
                <w:rFonts w:ascii="Times New Roman" w:hAnsi="Times New Roman"/>
                <w:noProof/>
              </w:rPr>
              <w:t>A.</w:t>
            </w:r>
            <w:r w:rsidR="004F369E">
              <w:rPr>
                <w:rFonts w:cstheme="minorBidi"/>
                <w:noProof/>
                <w:sz w:val="22"/>
                <w:szCs w:val="22"/>
                <w:lang w:val="en-US" w:eastAsia="en-US" w:bidi="ar-SA"/>
              </w:rPr>
              <w:tab/>
            </w:r>
            <w:r w:rsidR="004F369E" w:rsidRPr="000D5AB5">
              <w:rPr>
                <w:rStyle w:val="Hyperlink"/>
                <w:rFonts w:ascii="Times New Roman" w:hAnsi="Times New Roman"/>
                <w:noProof/>
              </w:rPr>
              <w:t>Contexte économique et politique général</w:t>
            </w:r>
            <w:r w:rsidR="004F369E">
              <w:rPr>
                <w:noProof/>
                <w:webHidden/>
              </w:rPr>
              <w:tab/>
            </w:r>
            <w:r>
              <w:rPr>
                <w:noProof/>
                <w:webHidden/>
              </w:rPr>
              <w:fldChar w:fldCharType="begin"/>
            </w:r>
            <w:r w:rsidR="004F369E">
              <w:rPr>
                <w:noProof/>
                <w:webHidden/>
              </w:rPr>
              <w:instrText xml:space="preserve"> PAGEREF _Toc327979087 \h </w:instrText>
            </w:r>
            <w:r>
              <w:rPr>
                <w:noProof/>
                <w:webHidden/>
              </w:rPr>
            </w:r>
            <w:r>
              <w:rPr>
                <w:noProof/>
                <w:webHidden/>
              </w:rPr>
              <w:fldChar w:fldCharType="separate"/>
            </w:r>
            <w:r w:rsidR="004F369E">
              <w:rPr>
                <w:noProof/>
                <w:webHidden/>
              </w:rPr>
              <w:t>2</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88" w:history="1">
            <w:r w:rsidR="004F369E" w:rsidRPr="000D5AB5">
              <w:rPr>
                <w:rStyle w:val="Hyperlink"/>
                <w:rFonts w:ascii="Times New Roman" w:eastAsia="Times New Roman" w:hAnsi="Times New Roman"/>
                <w:b/>
                <w:bCs/>
                <w:noProof/>
              </w:rPr>
              <w:t>B.</w:t>
            </w:r>
            <w:r w:rsidR="004F369E">
              <w:rPr>
                <w:rFonts w:cstheme="minorBidi"/>
                <w:noProof/>
                <w:sz w:val="22"/>
                <w:szCs w:val="22"/>
                <w:lang w:val="en-US" w:eastAsia="en-US" w:bidi="ar-SA"/>
              </w:rPr>
              <w:tab/>
            </w:r>
            <w:r w:rsidR="004F369E" w:rsidRPr="000D5AB5">
              <w:rPr>
                <w:rStyle w:val="Hyperlink"/>
                <w:rFonts w:ascii="Times New Roman" w:hAnsi="Times New Roman"/>
                <w:b/>
                <w:noProof/>
              </w:rPr>
              <w:t>Évolution récente de la situation politique</w:t>
            </w:r>
            <w:r w:rsidR="004F369E">
              <w:rPr>
                <w:noProof/>
                <w:webHidden/>
              </w:rPr>
              <w:tab/>
            </w:r>
            <w:r>
              <w:rPr>
                <w:noProof/>
                <w:webHidden/>
              </w:rPr>
              <w:fldChar w:fldCharType="begin"/>
            </w:r>
            <w:r w:rsidR="004F369E">
              <w:rPr>
                <w:noProof/>
                <w:webHidden/>
              </w:rPr>
              <w:instrText xml:space="preserve"> PAGEREF _Toc327979088 \h </w:instrText>
            </w:r>
            <w:r>
              <w:rPr>
                <w:noProof/>
                <w:webHidden/>
              </w:rPr>
            </w:r>
            <w:r>
              <w:rPr>
                <w:noProof/>
                <w:webHidden/>
              </w:rPr>
              <w:fldChar w:fldCharType="separate"/>
            </w:r>
            <w:r w:rsidR="004F369E">
              <w:rPr>
                <w:noProof/>
                <w:webHidden/>
              </w:rPr>
              <w:t>3</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89" w:history="1">
            <w:r w:rsidR="004F369E" w:rsidRPr="000D5AB5">
              <w:rPr>
                <w:rStyle w:val="Hyperlink"/>
                <w:rFonts w:ascii="Times New Roman" w:hAnsi="Times New Roman"/>
                <w:noProof/>
              </w:rPr>
              <w:t>C.</w:t>
            </w:r>
            <w:r w:rsidR="004F369E">
              <w:rPr>
                <w:rFonts w:cstheme="minorBidi"/>
                <w:noProof/>
                <w:sz w:val="22"/>
                <w:szCs w:val="22"/>
                <w:lang w:val="en-US" w:eastAsia="en-US" w:bidi="ar-SA"/>
              </w:rPr>
              <w:tab/>
            </w:r>
            <w:r w:rsidR="004F369E" w:rsidRPr="000D5AB5">
              <w:rPr>
                <w:rStyle w:val="Hyperlink"/>
                <w:rFonts w:ascii="Times New Roman" w:hAnsi="Times New Roman"/>
                <w:noProof/>
              </w:rPr>
              <w:t>Évolution récente de la situation économique et perspectives économiques</w:t>
            </w:r>
            <w:r w:rsidR="004F369E">
              <w:rPr>
                <w:noProof/>
                <w:webHidden/>
              </w:rPr>
              <w:tab/>
            </w:r>
            <w:r>
              <w:rPr>
                <w:noProof/>
                <w:webHidden/>
              </w:rPr>
              <w:fldChar w:fldCharType="begin"/>
            </w:r>
            <w:r w:rsidR="004F369E">
              <w:rPr>
                <w:noProof/>
                <w:webHidden/>
              </w:rPr>
              <w:instrText xml:space="preserve"> PAGEREF _Toc327979089 \h </w:instrText>
            </w:r>
            <w:r>
              <w:rPr>
                <w:noProof/>
                <w:webHidden/>
              </w:rPr>
            </w:r>
            <w:r>
              <w:rPr>
                <w:noProof/>
                <w:webHidden/>
              </w:rPr>
              <w:fldChar w:fldCharType="separate"/>
            </w:r>
            <w:r w:rsidR="004F369E">
              <w:rPr>
                <w:noProof/>
                <w:webHidden/>
              </w:rPr>
              <w:t>4</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0" w:history="1">
            <w:r w:rsidR="004F369E" w:rsidRPr="000D5AB5">
              <w:rPr>
                <w:rStyle w:val="Hyperlink"/>
                <w:rFonts w:ascii="Times New Roman" w:hAnsi="Times New Roman"/>
                <w:b/>
                <w:noProof/>
              </w:rPr>
              <w:t>D.</w:t>
            </w:r>
            <w:r w:rsidR="004F369E">
              <w:rPr>
                <w:rFonts w:cstheme="minorBidi"/>
                <w:noProof/>
                <w:sz w:val="22"/>
                <w:szCs w:val="22"/>
                <w:lang w:val="en-US" w:eastAsia="en-US" w:bidi="ar-SA"/>
              </w:rPr>
              <w:tab/>
            </w:r>
            <w:r w:rsidR="004F369E" w:rsidRPr="000D5AB5">
              <w:rPr>
                <w:rStyle w:val="Hyperlink"/>
                <w:rFonts w:ascii="Times New Roman" w:hAnsi="Times New Roman"/>
                <w:b/>
                <w:noProof/>
              </w:rPr>
              <w:t>Viabilité de la dette</w:t>
            </w:r>
            <w:r w:rsidR="004F369E">
              <w:rPr>
                <w:noProof/>
                <w:webHidden/>
              </w:rPr>
              <w:tab/>
            </w:r>
            <w:r>
              <w:rPr>
                <w:noProof/>
                <w:webHidden/>
              </w:rPr>
              <w:fldChar w:fldCharType="begin"/>
            </w:r>
            <w:r w:rsidR="004F369E">
              <w:rPr>
                <w:noProof/>
                <w:webHidden/>
              </w:rPr>
              <w:instrText xml:space="preserve"> PAGEREF _Toc327979090 \h </w:instrText>
            </w:r>
            <w:r>
              <w:rPr>
                <w:noProof/>
                <w:webHidden/>
              </w:rPr>
            </w:r>
            <w:r>
              <w:rPr>
                <w:noProof/>
                <w:webHidden/>
              </w:rPr>
              <w:fldChar w:fldCharType="separate"/>
            </w:r>
            <w:r w:rsidR="004F369E">
              <w:rPr>
                <w:noProof/>
                <w:webHidden/>
              </w:rPr>
              <w:t>7</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1" w:history="1">
            <w:r w:rsidR="004F369E" w:rsidRPr="000D5AB5">
              <w:rPr>
                <w:rStyle w:val="Hyperlink"/>
                <w:rFonts w:ascii="Times New Roman" w:hAnsi="Times New Roman"/>
                <w:b/>
                <w:noProof/>
              </w:rPr>
              <w:t>E.</w:t>
            </w:r>
            <w:r w:rsidR="004F369E">
              <w:rPr>
                <w:rFonts w:cstheme="minorBidi"/>
                <w:noProof/>
                <w:sz w:val="22"/>
                <w:szCs w:val="22"/>
                <w:lang w:val="en-US" w:eastAsia="en-US" w:bidi="ar-SA"/>
              </w:rPr>
              <w:tab/>
            </w:r>
            <w:r w:rsidR="004F369E" w:rsidRPr="000D5AB5">
              <w:rPr>
                <w:rStyle w:val="Hyperlink"/>
                <w:rFonts w:ascii="Times New Roman" w:hAnsi="Times New Roman"/>
                <w:b/>
                <w:noProof/>
              </w:rPr>
              <w:t>Contexte social</w:t>
            </w:r>
            <w:r w:rsidR="004F369E">
              <w:rPr>
                <w:noProof/>
                <w:webHidden/>
              </w:rPr>
              <w:tab/>
            </w:r>
            <w:r>
              <w:rPr>
                <w:noProof/>
                <w:webHidden/>
              </w:rPr>
              <w:fldChar w:fldCharType="begin"/>
            </w:r>
            <w:r w:rsidR="004F369E">
              <w:rPr>
                <w:noProof/>
                <w:webHidden/>
              </w:rPr>
              <w:instrText xml:space="preserve"> PAGEREF _Toc327979091 \h </w:instrText>
            </w:r>
            <w:r>
              <w:rPr>
                <w:noProof/>
                <w:webHidden/>
              </w:rPr>
            </w:r>
            <w:r>
              <w:rPr>
                <w:noProof/>
                <w:webHidden/>
              </w:rPr>
              <w:fldChar w:fldCharType="separate"/>
            </w:r>
            <w:r w:rsidR="004F369E">
              <w:rPr>
                <w:noProof/>
                <w:webHidden/>
              </w:rPr>
              <w:t>7</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2" w:history="1">
            <w:r w:rsidR="004F369E" w:rsidRPr="000D5AB5">
              <w:rPr>
                <w:rStyle w:val="Hyperlink"/>
                <w:rFonts w:ascii="Times New Roman" w:hAnsi="Times New Roman"/>
                <w:noProof/>
              </w:rPr>
              <w:t>F.</w:t>
            </w:r>
            <w:r w:rsidR="004F369E">
              <w:rPr>
                <w:rFonts w:cstheme="minorBidi"/>
                <w:noProof/>
                <w:sz w:val="22"/>
                <w:szCs w:val="22"/>
                <w:lang w:val="en-US" w:eastAsia="en-US" w:bidi="ar-SA"/>
              </w:rPr>
              <w:tab/>
            </w:r>
            <w:r w:rsidR="004F369E" w:rsidRPr="000D5AB5">
              <w:rPr>
                <w:rStyle w:val="Hyperlink"/>
                <w:rFonts w:ascii="Times New Roman" w:hAnsi="Times New Roman"/>
                <w:noProof/>
              </w:rPr>
              <w:t>Contexte régional</w:t>
            </w:r>
            <w:r w:rsidR="004F369E">
              <w:rPr>
                <w:noProof/>
                <w:webHidden/>
              </w:rPr>
              <w:tab/>
            </w:r>
            <w:r>
              <w:rPr>
                <w:noProof/>
                <w:webHidden/>
              </w:rPr>
              <w:fldChar w:fldCharType="begin"/>
            </w:r>
            <w:r w:rsidR="004F369E">
              <w:rPr>
                <w:noProof/>
                <w:webHidden/>
              </w:rPr>
              <w:instrText xml:space="preserve"> PAGEREF _Toc327979092 \h </w:instrText>
            </w:r>
            <w:r>
              <w:rPr>
                <w:noProof/>
                <w:webHidden/>
              </w:rPr>
            </w:r>
            <w:r>
              <w:rPr>
                <w:noProof/>
                <w:webHidden/>
              </w:rPr>
              <w:fldChar w:fldCharType="separate"/>
            </w:r>
            <w:r w:rsidR="004F369E">
              <w:rPr>
                <w:noProof/>
                <w:webHidden/>
              </w:rPr>
              <w:t>10</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3" w:history="1">
            <w:r w:rsidR="004F369E" w:rsidRPr="000D5AB5">
              <w:rPr>
                <w:rStyle w:val="Hyperlink"/>
                <w:rFonts w:ascii="Times New Roman" w:hAnsi="Times New Roman"/>
                <w:noProof/>
              </w:rPr>
              <w:t>G.</w:t>
            </w:r>
            <w:r w:rsidR="004F369E">
              <w:rPr>
                <w:rFonts w:cstheme="minorBidi"/>
                <w:noProof/>
                <w:sz w:val="22"/>
                <w:szCs w:val="22"/>
                <w:lang w:val="en-US" w:eastAsia="en-US" w:bidi="ar-SA"/>
              </w:rPr>
              <w:tab/>
            </w:r>
            <w:r w:rsidR="004F369E" w:rsidRPr="000D5AB5">
              <w:rPr>
                <w:rStyle w:val="Hyperlink"/>
                <w:rFonts w:ascii="Times New Roman" w:hAnsi="Times New Roman"/>
                <w:noProof/>
              </w:rPr>
              <w:t>Contexte de gouvernance</w:t>
            </w:r>
            <w:r w:rsidR="004F369E">
              <w:rPr>
                <w:noProof/>
                <w:webHidden/>
              </w:rPr>
              <w:tab/>
            </w:r>
            <w:r>
              <w:rPr>
                <w:noProof/>
                <w:webHidden/>
              </w:rPr>
              <w:fldChar w:fldCharType="begin"/>
            </w:r>
            <w:r w:rsidR="004F369E">
              <w:rPr>
                <w:noProof/>
                <w:webHidden/>
              </w:rPr>
              <w:instrText xml:space="preserve"> PAGEREF _Toc327979093 \h </w:instrText>
            </w:r>
            <w:r>
              <w:rPr>
                <w:noProof/>
                <w:webHidden/>
              </w:rPr>
            </w:r>
            <w:r>
              <w:rPr>
                <w:noProof/>
                <w:webHidden/>
              </w:rPr>
              <w:fldChar w:fldCharType="separate"/>
            </w:r>
            <w:r w:rsidR="004F369E">
              <w:rPr>
                <w:noProof/>
                <w:webHidden/>
              </w:rPr>
              <w:t>10</w:t>
            </w:r>
            <w:r>
              <w:rPr>
                <w:noProof/>
                <w:webHidden/>
              </w:rPr>
              <w:fldChar w:fldCharType="end"/>
            </w:r>
          </w:hyperlink>
        </w:p>
        <w:p w:rsidR="004F369E" w:rsidRDefault="00BE3333">
          <w:pPr>
            <w:pStyle w:val="TOC1"/>
            <w:rPr>
              <w:rFonts w:cstheme="minorBidi"/>
              <w:b w:val="0"/>
              <w:sz w:val="22"/>
              <w:szCs w:val="22"/>
              <w:lang w:val="en-US" w:eastAsia="en-US" w:bidi="ar-SA"/>
            </w:rPr>
          </w:pPr>
          <w:hyperlink w:anchor="_Toc327979094" w:history="1">
            <w:r w:rsidR="004F369E" w:rsidRPr="000D5AB5">
              <w:rPr>
                <w:rStyle w:val="Hyperlink"/>
                <w:rFonts w:ascii="Times New Roman" w:hAnsi="Times New Roman"/>
              </w:rPr>
              <w:t>III.</w:t>
            </w:r>
            <w:r w:rsidR="004F369E">
              <w:rPr>
                <w:rFonts w:cstheme="minorBidi"/>
                <w:b w:val="0"/>
                <w:sz w:val="22"/>
                <w:szCs w:val="22"/>
                <w:lang w:val="en-US" w:eastAsia="en-US" w:bidi="ar-SA"/>
              </w:rPr>
              <w:tab/>
            </w:r>
            <w:r w:rsidR="004F369E" w:rsidRPr="000D5AB5">
              <w:rPr>
                <w:rStyle w:val="Hyperlink"/>
                <w:rFonts w:ascii="Times New Roman" w:hAnsi="Times New Roman"/>
              </w:rPr>
              <w:t>LE PROGRAMME DU GOUVERNEMENT</w:t>
            </w:r>
            <w:r w:rsidR="004F369E">
              <w:rPr>
                <w:webHidden/>
              </w:rPr>
              <w:tab/>
            </w:r>
            <w:r>
              <w:rPr>
                <w:webHidden/>
              </w:rPr>
              <w:fldChar w:fldCharType="begin"/>
            </w:r>
            <w:r w:rsidR="004F369E">
              <w:rPr>
                <w:webHidden/>
              </w:rPr>
              <w:instrText xml:space="preserve"> PAGEREF _Toc327979094 \h </w:instrText>
            </w:r>
            <w:r>
              <w:rPr>
                <w:webHidden/>
              </w:rPr>
            </w:r>
            <w:r>
              <w:rPr>
                <w:webHidden/>
              </w:rPr>
              <w:fldChar w:fldCharType="separate"/>
            </w:r>
            <w:r w:rsidR="004F369E">
              <w:rPr>
                <w:webHidden/>
              </w:rPr>
              <w:t>13</w:t>
            </w:r>
            <w:r>
              <w:rPr>
                <w:webHidden/>
              </w:rPr>
              <w:fldChar w:fldCharType="end"/>
            </w:r>
          </w:hyperlink>
        </w:p>
        <w:p w:rsidR="004F369E" w:rsidRDefault="00BE3333">
          <w:pPr>
            <w:pStyle w:val="TOC1"/>
            <w:rPr>
              <w:rFonts w:cstheme="minorBidi"/>
              <w:b w:val="0"/>
              <w:sz w:val="22"/>
              <w:szCs w:val="22"/>
              <w:lang w:val="en-US" w:eastAsia="en-US" w:bidi="ar-SA"/>
            </w:rPr>
          </w:pPr>
          <w:hyperlink w:anchor="_Toc327979095" w:history="1">
            <w:r w:rsidR="004F369E" w:rsidRPr="000D5AB5">
              <w:rPr>
                <w:rStyle w:val="Hyperlink"/>
                <w:rFonts w:ascii="Times New Roman" w:hAnsi="Times New Roman"/>
              </w:rPr>
              <w:t>IV.</w:t>
            </w:r>
            <w:r w:rsidR="004F369E">
              <w:rPr>
                <w:rFonts w:cstheme="minorBidi"/>
                <w:b w:val="0"/>
                <w:sz w:val="22"/>
                <w:szCs w:val="22"/>
                <w:lang w:val="en-US" w:eastAsia="en-US" w:bidi="ar-SA"/>
              </w:rPr>
              <w:tab/>
            </w:r>
            <w:r w:rsidR="004F369E" w:rsidRPr="000D5AB5">
              <w:rPr>
                <w:rStyle w:val="Hyperlink"/>
                <w:rFonts w:ascii="Times New Roman" w:hAnsi="Times New Roman"/>
              </w:rPr>
              <w:t>STRATÉGIE INTÉRIMAIRE DU GROUPE DE LA BANQUE MONDIALE</w:t>
            </w:r>
            <w:r w:rsidR="004F369E">
              <w:rPr>
                <w:webHidden/>
              </w:rPr>
              <w:tab/>
            </w:r>
            <w:r>
              <w:rPr>
                <w:webHidden/>
              </w:rPr>
              <w:fldChar w:fldCharType="begin"/>
            </w:r>
            <w:r w:rsidR="004F369E">
              <w:rPr>
                <w:webHidden/>
              </w:rPr>
              <w:instrText xml:space="preserve"> PAGEREF _Toc327979095 \h </w:instrText>
            </w:r>
            <w:r>
              <w:rPr>
                <w:webHidden/>
              </w:rPr>
            </w:r>
            <w:r>
              <w:rPr>
                <w:webHidden/>
              </w:rPr>
              <w:fldChar w:fldCharType="separate"/>
            </w:r>
            <w:r w:rsidR="004F369E">
              <w:rPr>
                <w:webHidden/>
              </w:rPr>
              <w:t>13</w:t>
            </w:r>
            <w:r>
              <w:rPr>
                <w:webHidden/>
              </w:rPr>
              <w:fldChar w:fldCharType="end"/>
            </w:r>
          </w:hyperlink>
        </w:p>
        <w:p w:rsidR="004F369E" w:rsidRDefault="00BE3333">
          <w:pPr>
            <w:pStyle w:val="TOC2"/>
            <w:rPr>
              <w:rFonts w:cstheme="minorBidi"/>
              <w:noProof/>
              <w:sz w:val="22"/>
              <w:szCs w:val="22"/>
              <w:lang w:val="en-US" w:eastAsia="en-US" w:bidi="ar-SA"/>
            </w:rPr>
          </w:pPr>
          <w:hyperlink w:anchor="_Toc327979096" w:history="1">
            <w:r w:rsidR="004F369E" w:rsidRPr="000D5AB5">
              <w:rPr>
                <w:rStyle w:val="Hyperlink"/>
                <w:rFonts w:ascii="Times New Roman" w:hAnsi="Times New Roman"/>
                <w:noProof/>
              </w:rPr>
              <w:t>A.</w:t>
            </w:r>
            <w:r w:rsidR="004F369E">
              <w:rPr>
                <w:rFonts w:cstheme="minorBidi"/>
                <w:noProof/>
                <w:sz w:val="22"/>
                <w:szCs w:val="22"/>
                <w:lang w:val="en-US" w:eastAsia="en-US" w:bidi="ar-SA"/>
              </w:rPr>
              <w:tab/>
            </w:r>
            <w:r w:rsidR="004F369E" w:rsidRPr="000D5AB5">
              <w:rPr>
                <w:rStyle w:val="Hyperlink"/>
                <w:rFonts w:ascii="Times New Roman" w:hAnsi="Times New Roman"/>
                <w:noProof/>
              </w:rPr>
              <w:t>Engagements récents du Groupe de la Banque mondiale en Tunisie</w:t>
            </w:r>
            <w:r w:rsidR="004F369E">
              <w:rPr>
                <w:noProof/>
                <w:webHidden/>
              </w:rPr>
              <w:tab/>
            </w:r>
            <w:r>
              <w:rPr>
                <w:noProof/>
                <w:webHidden/>
              </w:rPr>
              <w:fldChar w:fldCharType="begin"/>
            </w:r>
            <w:r w:rsidR="004F369E">
              <w:rPr>
                <w:noProof/>
                <w:webHidden/>
              </w:rPr>
              <w:instrText xml:space="preserve"> PAGEREF _Toc327979096 \h </w:instrText>
            </w:r>
            <w:r>
              <w:rPr>
                <w:noProof/>
                <w:webHidden/>
              </w:rPr>
            </w:r>
            <w:r>
              <w:rPr>
                <w:noProof/>
                <w:webHidden/>
              </w:rPr>
              <w:fldChar w:fldCharType="separate"/>
            </w:r>
            <w:r w:rsidR="004F369E">
              <w:rPr>
                <w:noProof/>
                <w:webHidden/>
              </w:rPr>
              <w:t>13</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7" w:history="1">
            <w:r w:rsidR="004F369E" w:rsidRPr="000D5AB5">
              <w:rPr>
                <w:rStyle w:val="Hyperlink"/>
                <w:rFonts w:ascii="Times New Roman" w:hAnsi="Times New Roman"/>
                <w:noProof/>
              </w:rPr>
              <w:t>B.</w:t>
            </w:r>
            <w:r w:rsidR="004F369E">
              <w:rPr>
                <w:rFonts w:cstheme="minorBidi"/>
                <w:noProof/>
                <w:sz w:val="22"/>
                <w:szCs w:val="22"/>
                <w:lang w:val="en-US" w:eastAsia="en-US" w:bidi="ar-SA"/>
              </w:rPr>
              <w:tab/>
            </w:r>
            <w:r w:rsidR="004F369E" w:rsidRPr="000D5AB5">
              <w:rPr>
                <w:rStyle w:val="Hyperlink"/>
                <w:rFonts w:ascii="Times New Roman" w:hAnsi="Times New Roman"/>
                <w:noProof/>
              </w:rPr>
              <w:t>Justification de la NSI et principes d'engagement</w:t>
            </w:r>
            <w:r w:rsidR="004F369E">
              <w:rPr>
                <w:noProof/>
                <w:webHidden/>
              </w:rPr>
              <w:tab/>
            </w:r>
            <w:r>
              <w:rPr>
                <w:noProof/>
                <w:webHidden/>
              </w:rPr>
              <w:fldChar w:fldCharType="begin"/>
            </w:r>
            <w:r w:rsidR="004F369E">
              <w:rPr>
                <w:noProof/>
                <w:webHidden/>
              </w:rPr>
              <w:instrText xml:space="preserve"> PAGEREF _Toc327979097 \h </w:instrText>
            </w:r>
            <w:r>
              <w:rPr>
                <w:noProof/>
                <w:webHidden/>
              </w:rPr>
            </w:r>
            <w:r>
              <w:rPr>
                <w:noProof/>
                <w:webHidden/>
              </w:rPr>
              <w:fldChar w:fldCharType="separate"/>
            </w:r>
            <w:r w:rsidR="004F369E">
              <w:rPr>
                <w:noProof/>
                <w:webHidden/>
              </w:rPr>
              <w:t>16</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098" w:history="1">
            <w:r w:rsidR="004F369E" w:rsidRPr="000D5AB5">
              <w:rPr>
                <w:rStyle w:val="Hyperlink"/>
                <w:rFonts w:ascii="Times New Roman" w:hAnsi="Times New Roman"/>
                <w:noProof/>
              </w:rPr>
              <w:t>C.</w:t>
            </w:r>
            <w:r w:rsidR="004F369E">
              <w:rPr>
                <w:rFonts w:cstheme="minorBidi"/>
                <w:noProof/>
                <w:sz w:val="22"/>
                <w:szCs w:val="22"/>
                <w:lang w:val="en-US" w:eastAsia="en-US" w:bidi="ar-SA"/>
              </w:rPr>
              <w:tab/>
            </w:r>
            <w:r w:rsidR="004F369E" w:rsidRPr="000D5AB5">
              <w:rPr>
                <w:rStyle w:val="Hyperlink"/>
                <w:rFonts w:ascii="Times New Roman" w:hAnsi="Times New Roman"/>
                <w:noProof/>
              </w:rPr>
              <w:t>Domaines d'engagement et objectifs d'action de la NSI</w:t>
            </w:r>
            <w:r w:rsidR="004F369E">
              <w:rPr>
                <w:noProof/>
                <w:webHidden/>
              </w:rPr>
              <w:tab/>
            </w:r>
            <w:r>
              <w:rPr>
                <w:noProof/>
                <w:webHidden/>
              </w:rPr>
              <w:fldChar w:fldCharType="begin"/>
            </w:r>
            <w:r w:rsidR="004F369E">
              <w:rPr>
                <w:noProof/>
                <w:webHidden/>
              </w:rPr>
              <w:instrText xml:space="preserve"> PAGEREF _Toc327979098 \h </w:instrText>
            </w:r>
            <w:r>
              <w:rPr>
                <w:noProof/>
                <w:webHidden/>
              </w:rPr>
            </w:r>
            <w:r>
              <w:rPr>
                <w:noProof/>
                <w:webHidden/>
              </w:rPr>
              <w:fldChar w:fldCharType="separate"/>
            </w:r>
            <w:r w:rsidR="004F369E">
              <w:rPr>
                <w:noProof/>
                <w:webHidden/>
              </w:rPr>
              <w:t>17</w:t>
            </w:r>
            <w:r>
              <w:rPr>
                <w:noProof/>
                <w:webHidden/>
              </w:rPr>
              <w:fldChar w:fldCharType="end"/>
            </w:r>
          </w:hyperlink>
        </w:p>
        <w:p w:rsidR="004F369E" w:rsidRDefault="00BE3333">
          <w:pPr>
            <w:pStyle w:val="TOC3"/>
            <w:tabs>
              <w:tab w:val="right" w:leader="dot" w:pos="9350"/>
            </w:tabs>
            <w:rPr>
              <w:rFonts w:cstheme="minorBidi"/>
              <w:noProof/>
              <w:sz w:val="22"/>
              <w:szCs w:val="22"/>
              <w:lang w:val="en-US" w:eastAsia="en-US" w:bidi="ar-SA"/>
            </w:rPr>
          </w:pPr>
          <w:hyperlink w:anchor="_Toc327979099" w:history="1">
            <w:r w:rsidR="004F369E" w:rsidRPr="000D5AB5">
              <w:rPr>
                <w:rStyle w:val="Hyperlink"/>
                <w:rFonts w:ascii="Times New Roman" w:hAnsi="Times New Roman"/>
                <w:smallCaps/>
                <w:noProof/>
              </w:rPr>
              <w:t>Domaine 1 : Jeter les bases d'une croissance durable et création d'emplois</w:t>
            </w:r>
            <w:r w:rsidR="004F369E">
              <w:rPr>
                <w:noProof/>
                <w:webHidden/>
              </w:rPr>
              <w:tab/>
            </w:r>
            <w:r>
              <w:rPr>
                <w:noProof/>
                <w:webHidden/>
              </w:rPr>
              <w:fldChar w:fldCharType="begin"/>
            </w:r>
            <w:r w:rsidR="004F369E">
              <w:rPr>
                <w:noProof/>
                <w:webHidden/>
              </w:rPr>
              <w:instrText xml:space="preserve"> PAGEREF _Toc327979099 \h </w:instrText>
            </w:r>
            <w:r>
              <w:rPr>
                <w:noProof/>
                <w:webHidden/>
              </w:rPr>
            </w:r>
            <w:r>
              <w:rPr>
                <w:noProof/>
                <w:webHidden/>
              </w:rPr>
              <w:fldChar w:fldCharType="separate"/>
            </w:r>
            <w:r w:rsidR="004F369E">
              <w:rPr>
                <w:noProof/>
                <w:webHidden/>
              </w:rPr>
              <w:t>18</w:t>
            </w:r>
            <w:r>
              <w:rPr>
                <w:noProof/>
                <w:webHidden/>
              </w:rPr>
              <w:fldChar w:fldCharType="end"/>
            </w:r>
          </w:hyperlink>
        </w:p>
        <w:p w:rsidR="004F369E" w:rsidRDefault="00BE3333">
          <w:pPr>
            <w:pStyle w:val="TOC3"/>
            <w:tabs>
              <w:tab w:val="right" w:leader="dot" w:pos="9350"/>
            </w:tabs>
            <w:rPr>
              <w:rFonts w:cstheme="minorBidi"/>
              <w:noProof/>
              <w:sz w:val="22"/>
              <w:szCs w:val="22"/>
              <w:lang w:val="en-US" w:eastAsia="en-US" w:bidi="ar-SA"/>
            </w:rPr>
          </w:pPr>
          <w:hyperlink w:anchor="_Toc327979100" w:history="1">
            <w:r w:rsidR="004F369E" w:rsidRPr="000D5AB5">
              <w:rPr>
                <w:rStyle w:val="Hyperlink"/>
                <w:rFonts w:ascii="Times New Roman" w:hAnsi="Times New Roman"/>
                <w:smallCaps/>
                <w:noProof/>
              </w:rPr>
              <w:t>Domaine 2 : Promotion de l'inclusion sociale et économique</w:t>
            </w:r>
            <w:r w:rsidR="004F369E">
              <w:rPr>
                <w:noProof/>
                <w:webHidden/>
              </w:rPr>
              <w:tab/>
            </w:r>
            <w:r>
              <w:rPr>
                <w:noProof/>
                <w:webHidden/>
              </w:rPr>
              <w:fldChar w:fldCharType="begin"/>
            </w:r>
            <w:r w:rsidR="004F369E">
              <w:rPr>
                <w:noProof/>
                <w:webHidden/>
              </w:rPr>
              <w:instrText xml:space="preserve"> PAGEREF _Toc327979100 \h </w:instrText>
            </w:r>
            <w:r>
              <w:rPr>
                <w:noProof/>
                <w:webHidden/>
              </w:rPr>
            </w:r>
            <w:r>
              <w:rPr>
                <w:noProof/>
                <w:webHidden/>
              </w:rPr>
              <w:fldChar w:fldCharType="separate"/>
            </w:r>
            <w:r w:rsidR="004F369E">
              <w:rPr>
                <w:noProof/>
                <w:webHidden/>
              </w:rPr>
              <w:t>23</w:t>
            </w:r>
            <w:r>
              <w:rPr>
                <w:noProof/>
                <w:webHidden/>
              </w:rPr>
              <w:fldChar w:fldCharType="end"/>
            </w:r>
          </w:hyperlink>
        </w:p>
        <w:p w:rsidR="004F369E" w:rsidRDefault="00BE3333">
          <w:pPr>
            <w:pStyle w:val="TOC3"/>
            <w:tabs>
              <w:tab w:val="right" w:leader="dot" w:pos="9350"/>
            </w:tabs>
            <w:rPr>
              <w:rFonts w:cstheme="minorBidi"/>
              <w:noProof/>
              <w:sz w:val="22"/>
              <w:szCs w:val="22"/>
              <w:lang w:val="en-US" w:eastAsia="en-US" w:bidi="ar-SA"/>
            </w:rPr>
          </w:pPr>
          <w:hyperlink w:anchor="_Toc327979101" w:history="1">
            <w:r w:rsidR="004F369E" w:rsidRPr="000D5AB5">
              <w:rPr>
                <w:rStyle w:val="Hyperlink"/>
                <w:rFonts w:ascii="Times New Roman" w:hAnsi="Times New Roman"/>
                <w:smallCaps/>
                <w:noProof/>
              </w:rPr>
              <w:t>Domaine 3 : Renforcement de la gouvernance : Participation citoyenne, transparence et responsabilité</w:t>
            </w:r>
            <w:r w:rsidR="004F369E">
              <w:rPr>
                <w:noProof/>
                <w:webHidden/>
              </w:rPr>
              <w:tab/>
            </w:r>
            <w:r>
              <w:rPr>
                <w:noProof/>
                <w:webHidden/>
              </w:rPr>
              <w:fldChar w:fldCharType="begin"/>
            </w:r>
            <w:r w:rsidR="004F369E">
              <w:rPr>
                <w:noProof/>
                <w:webHidden/>
              </w:rPr>
              <w:instrText xml:space="preserve"> PAGEREF _Toc327979101 \h </w:instrText>
            </w:r>
            <w:r>
              <w:rPr>
                <w:noProof/>
                <w:webHidden/>
              </w:rPr>
            </w:r>
            <w:r>
              <w:rPr>
                <w:noProof/>
                <w:webHidden/>
              </w:rPr>
              <w:fldChar w:fldCharType="separate"/>
            </w:r>
            <w:r w:rsidR="004F369E">
              <w:rPr>
                <w:noProof/>
                <w:webHidden/>
              </w:rPr>
              <w:t>27</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102" w:history="1">
            <w:r w:rsidR="004F369E" w:rsidRPr="000D5AB5">
              <w:rPr>
                <w:rStyle w:val="Hyperlink"/>
                <w:rFonts w:ascii="Times New Roman" w:hAnsi="Times New Roman"/>
                <w:noProof/>
              </w:rPr>
              <w:t>D.</w:t>
            </w:r>
            <w:r w:rsidR="004F369E">
              <w:rPr>
                <w:rFonts w:cstheme="minorBidi"/>
                <w:noProof/>
                <w:sz w:val="22"/>
                <w:szCs w:val="22"/>
                <w:lang w:val="en-US" w:eastAsia="en-US" w:bidi="ar-SA"/>
              </w:rPr>
              <w:tab/>
            </w:r>
            <w:r w:rsidR="004F369E" w:rsidRPr="000D5AB5">
              <w:rPr>
                <w:rStyle w:val="Hyperlink"/>
                <w:rFonts w:ascii="Times New Roman" w:hAnsi="Times New Roman"/>
                <w:noProof/>
              </w:rPr>
              <w:t>Ressources et instruments de mise en œuvre de la NSI</w:t>
            </w:r>
            <w:r w:rsidR="004F369E">
              <w:rPr>
                <w:noProof/>
                <w:webHidden/>
              </w:rPr>
              <w:tab/>
            </w:r>
            <w:r>
              <w:rPr>
                <w:noProof/>
                <w:webHidden/>
              </w:rPr>
              <w:fldChar w:fldCharType="begin"/>
            </w:r>
            <w:r w:rsidR="004F369E">
              <w:rPr>
                <w:noProof/>
                <w:webHidden/>
              </w:rPr>
              <w:instrText xml:space="preserve"> PAGEREF _Toc327979102 \h </w:instrText>
            </w:r>
            <w:r>
              <w:rPr>
                <w:noProof/>
                <w:webHidden/>
              </w:rPr>
            </w:r>
            <w:r>
              <w:rPr>
                <w:noProof/>
                <w:webHidden/>
              </w:rPr>
              <w:fldChar w:fldCharType="separate"/>
            </w:r>
            <w:r w:rsidR="004F369E">
              <w:rPr>
                <w:noProof/>
                <w:webHidden/>
              </w:rPr>
              <w:t>29</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103" w:history="1">
            <w:r w:rsidR="004F369E" w:rsidRPr="000D5AB5">
              <w:rPr>
                <w:rStyle w:val="Hyperlink"/>
                <w:rFonts w:ascii="Times New Roman" w:hAnsi="Times New Roman"/>
                <w:noProof/>
              </w:rPr>
              <w:t>E.</w:t>
            </w:r>
            <w:r w:rsidR="004F369E">
              <w:rPr>
                <w:rFonts w:cstheme="minorBidi"/>
                <w:noProof/>
                <w:sz w:val="22"/>
                <w:szCs w:val="22"/>
                <w:lang w:val="en-US" w:eastAsia="en-US" w:bidi="ar-SA"/>
              </w:rPr>
              <w:tab/>
            </w:r>
            <w:r w:rsidR="004F369E" w:rsidRPr="000D5AB5">
              <w:rPr>
                <w:rStyle w:val="Hyperlink"/>
                <w:rFonts w:ascii="Times New Roman" w:hAnsi="Times New Roman"/>
                <w:noProof/>
              </w:rPr>
              <w:t>Coordination et partenariats</w:t>
            </w:r>
            <w:r w:rsidR="004F369E">
              <w:rPr>
                <w:noProof/>
                <w:webHidden/>
              </w:rPr>
              <w:tab/>
            </w:r>
            <w:r>
              <w:rPr>
                <w:noProof/>
                <w:webHidden/>
              </w:rPr>
              <w:fldChar w:fldCharType="begin"/>
            </w:r>
            <w:r w:rsidR="004F369E">
              <w:rPr>
                <w:noProof/>
                <w:webHidden/>
              </w:rPr>
              <w:instrText xml:space="preserve"> PAGEREF _Toc327979103 \h </w:instrText>
            </w:r>
            <w:r>
              <w:rPr>
                <w:noProof/>
                <w:webHidden/>
              </w:rPr>
            </w:r>
            <w:r>
              <w:rPr>
                <w:noProof/>
                <w:webHidden/>
              </w:rPr>
              <w:fldChar w:fldCharType="separate"/>
            </w:r>
            <w:r w:rsidR="004F369E">
              <w:rPr>
                <w:noProof/>
                <w:webHidden/>
              </w:rPr>
              <w:t>31</w:t>
            </w:r>
            <w:r>
              <w:rPr>
                <w:noProof/>
                <w:webHidden/>
              </w:rPr>
              <w:fldChar w:fldCharType="end"/>
            </w:r>
          </w:hyperlink>
        </w:p>
        <w:p w:rsidR="004F369E" w:rsidRDefault="00BE3333">
          <w:pPr>
            <w:pStyle w:val="TOC2"/>
            <w:rPr>
              <w:rFonts w:cstheme="minorBidi"/>
              <w:noProof/>
              <w:sz w:val="22"/>
              <w:szCs w:val="22"/>
              <w:lang w:val="en-US" w:eastAsia="en-US" w:bidi="ar-SA"/>
            </w:rPr>
          </w:pPr>
          <w:hyperlink w:anchor="_Toc327979104" w:history="1">
            <w:r w:rsidR="004F369E" w:rsidRPr="000D5AB5">
              <w:rPr>
                <w:rStyle w:val="Hyperlink"/>
                <w:rFonts w:ascii="Times New Roman" w:hAnsi="Times New Roman"/>
                <w:b/>
                <w:noProof/>
              </w:rPr>
              <w:t>F.</w:t>
            </w:r>
            <w:r w:rsidR="004F369E">
              <w:rPr>
                <w:rFonts w:cstheme="minorBidi"/>
                <w:noProof/>
                <w:sz w:val="22"/>
                <w:szCs w:val="22"/>
                <w:lang w:val="en-US" w:eastAsia="en-US" w:bidi="ar-SA"/>
              </w:rPr>
              <w:tab/>
            </w:r>
            <w:r w:rsidR="004F369E" w:rsidRPr="000D5AB5">
              <w:rPr>
                <w:rStyle w:val="Hyperlink"/>
                <w:rFonts w:ascii="Times New Roman" w:eastAsiaTheme="majorEastAsia" w:hAnsi="Times New Roman"/>
                <w:b/>
                <w:bCs/>
                <w:iCs/>
                <w:noProof/>
              </w:rPr>
              <w:t>Suivi</w:t>
            </w:r>
            <w:r w:rsidR="004F369E" w:rsidRPr="000D5AB5">
              <w:rPr>
                <w:rStyle w:val="Hyperlink"/>
                <w:rFonts w:ascii="Times New Roman" w:hAnsi="Times New Roman"/>
                <w:b/>
                <w:noProof/>
              </w:rPr>
              <w:t xml:space="preserve"> et évaluation de l'appui de la Banque</w:t>
            </w:r>
            <w:r w:rsidR="004F369E">
              <w:rPr>
                <w:noProof/>
                <w:webHidden/>
              </w:rPr>
              <w:tab/>
            </w:r>
            <w:r>
              <w:rPr>
                <w:noProof/>
                <w:webHidden/>
              </w:rPr>
              <w:fldChar w:fldCharType="begin"/>
            </w:r>
            <w:r w:rsidR="004F369E">
              <w:rPr>
                <w:noProof/>
                <w:webHidden/>
              </w:rPr>
              <w:instrText xml:space="preserve"> PAGEREF _Toc327979104 \h </w:instrText>
            </w:r>
            <w:r>
              <w:rPr>
                <w:noProof/>
                <w:webHidden/>
              </w:rPr>
            </w:r>
            <w:r>
              <w:rPr>
                <w:noProof/>
                <w:webHidden/>
              </w:rPr>
              <w:fldChar w:fldCharType="separate"/>
            </w:r>
            <w:r w:rsidR="004F369E">
              <w:rPr>
                <w:noProof/>
                <w:webHidden/>
              </w:rPr>
              <w:t>34</w:t>
            </w:r>
            <w:r>
              <w:rPr>
                <w:noProof/>
                <w:webHidden/>
              </w:rPr>
              <w:fldChar w:fldCharType="end"/>
            </w:r>
          </w:hyperlink>
        </w:p>
        <w:p w:rsidR="004F369E" w:rsidRDefault="00BE3333">
          <w:pPr>
            <w:pStyle w:val="TOC1"/>
            <w:rPr>
              <w:rFonts w:cstheme="minorBidi"/>
              <w:b w:val="0"/>
              <w:sz w:val="22"/>
              <w:szCs w:val="22"/>
              <w:lang w:val="en-US" w:eastAsia="en-US" w:bidi="ar-SA"/>
            </w:rPr>
          </w:pPr>
          <w:hyperlink w:anchor="_Toc327979105" w:history="1">
            <w:r w:rsidR="004F369E" w:rsidRPr="000D5AB5">
              <w:rPr>
                <w:rStyle w:val="Hyperlink"/>
                <w:rFonts w:ascii="Times New Roman" w:hAnsi="Times New Roman"/>
              </w:rPr>
              <w:t>V.</w:t>
            </w:r>
            <w:r w:rsidR="004F369E">
              <w:rPr>
                <w:rFonts w:cstheme="minorBidi"/>
                <w:b w:val="0"/>
                <w:sz w:val="22"/>
                <w:szCs w:val="22"/>
                <w:lang w:val="en-US" w:eastAsia="en-US" w:bidi="ar-SA"/>
              </w:rPr>
              <w:tab/>
            </w:r>
            <w:r w:rsidR="004F369E" w:rsidRPr="000D5AB5">
              <w:rPr>
                <w:rStyle w:val="Hyperlink"/>
                <w:rFonts w:ascii="Times New Roman" w:hAnsi="Times New Roman"/>
              </w:rPr>
              <w:t>RISQUES ET MESURES D'ATTÉNUATION DES RISQUES</w:t>
            </w:r>
            <w:r w:rsidR="004F369E">
              <w:rPr>
                <w:webHidden/>
              </w:rPr>
              <w:tab/>
            </w:r>
            <w:r>
              <w:rPr>
                <w:webHidden/>
              </w:rPr>
              <w:fldChar w:fldCharType="begin"/>
            </w:r>
            <w:r w:rsidR="004F369E">
              <w:rPr>
                <w:webHidden/>
              </w:rPr>
              <w:instrText xml:space="preserve"> PAGEREF _Toc327979105 \h </w:instrText>
            </w:r>
            <w:r>
              <w:rPr>
                <w:webHidden/>
              </w:rPr>
            </w:r>
            <w:r>
              <w:rPr>
                <w:webHidden/>
              </w:rPr>
              <w:fldChar w:fldCharType="separate"/>
            </w:r>
            <w:r w:rsidR="004F369E">
              <w:rPr>
                <w:webHidden/>
              </w:rPr>
              <w:t>34</w:t>
            </w:r>
            <w:r>
              <w:rPr>
                <w:webHidden/>
              </w:rPr>
              <w:fldChar w:fldCharType="end"/>
            </w:r>
          </w:hyperlink>
        </w:p>
        <w:p w:rsidR="00CB07A5" w:rsidRPr="008A5EF3" w:rsidRDefault="00BE3333">
          <w:pPr>
            <w:pStyle w:val="TOC1"/>
            <w:rPr>
              <w:rFonts w:ascii="Times New Roman" w:hAnsi="Times New Roman"/>
              <w:b w:val="0"/>
              <w:sz w:val="22"/>
              <w:szCs w:val="22"/>
            </w:rPr>
          </w:pPr>
          <w:r w:rsidRPr="008A5EF3">
            <w:rPr>
              <w:rFonts w:ascii="Times New Roman" w:hAnsi="Times New Roman"/>
              <w:bCs/>
              <w:sz w:val="22"/>
              <w:szCs w:val="22"/>
            </w:rPr>
            <w:fldChar w:fldCharType="end"/>
          </w:r>
        </w:p>
      </w:sdtContent>
    </w:sdt>
    <w:p w:rsidR="005B0D3C" w:rsidRPr="00DA66F1" w:rsidRDefault="005B0D3C" w:rsidP="005B0D3C">
      <w:pPr>
        <w:tabs>
          <w:tab w:val="left" w:pos="540"/>
          <w:tab w:val="left" w:pos="9350"/>
        </w:tabs>
        <w:autoSpaceDE w:val="0"/>
        <w:autoSpaceDN w:val="0"/>
        <w:adjustRightInd w:val="0"/>
        <w:spacing w:before="120" w:after="120"/>
        <w:ind w:left="446" w:hanging="446"/>
        <w:rPr>
          <w:rFonts w:ascii="Times New Roman" w:hAnsi="Times New Roman"/>
          <w:b/>
          <w:bCs/>
          <w:color w:val="000000"/>
          <w:sz w:val="22"/>
          <w:szCs w:val="22"/>
        </w:rPr>
      </w:pPr>
      <w:r>
        <w:rPr>
          <w:rFonts w:ascii="Times New Roman" w:hAnsi="Times New Roman"/>
          <w:b/>
          <w:color w:val="000000"/>
          <w:sz w:val="22"/>
        </w:rPr>
        <w:t>Tableaux</w:t>
      </w:r>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r w:rsidRPr="004F369E">
        <w:rPr>
          <w:rFonts w:ascii="Times New Roman" w:hAnsi="Times New Roman"/>
          <w:b/>
          <w:bCs/>
          <w:color w:val="000000"/>
          <w:sz w:val="22"/>
          <w:szCs w:val="22"/>
        </w:rPr>
        <w:fldChar w:fldCharType="begin"/>
      </w:r>
      <w:r w:rsidR="005B0D3C" w:rsidRPr="004F369E">
        <w:rPr>
          <w:rFonts w:ascii="Times New Roman" w:hAnsi="Times New Roman"/>
          <w:b/>
          <w:bCs/>
          <w:color w:val="000000"/>
          <w:sz w:val="22"/>
          <w:szCs w:val="22"/>
        </w:rPr>
        <w:instrText xml:space="preserve"> TOC \h \z \c "Table" </w:instrText>
      </w:r>
      <w:r w:rsidRPr="004F369E">
        <w:rPr>
          <w:rFonts w:ascii="Times New Roman" w:hAnsi="Times New Roman"/>
          <w:b/>
          <w:bCs/>
          <w:color w:val="000000"/>
          <w:sz w:val="22"/>
          <w:szCs w:val="22"/>
        </w:rPr>
        <w:fldChar w:fldCharType="separate"/>
      </w:r>
      <w:hyperlink w:anchor="_Toc327978945" w:history="1">
        <w:r w:rsidR="004F369E" w:rsidRPr="004F369E">
          <w:rPr>
            <w:rStyle w:val="Hyperlink"/>
            <w:rFonts w:ascii="Times New Roman" w:hAnsi="Times New Roman"/>
            <w:noProof/>
            <w:sz w:val="22"/>
            <w:szCs w:val="22"/>
          </w:rPr>
          <w:t>Tableau 1. Tunisie : Sélection d'indicateurs macroéconomiques, 2010-2014</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_Toc327978945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6</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8946" w:history="1">
        <w:r w:rsidR="004F369E" w:rsidRPr="004F369E">
          <w:rPr>
            <w:rStyle w:val="Hyperlink"/>
            <w:rFonts w:ascii="Times New Roman" w:hAnsi="Times New Roman"/>
            <w:noProof/>
            <w:sz w:val="22"/>
            <w:szCs w:val="22"/>
          </w:rPr>
          <w:t>Tableau 2. Indicateurs sociaux clés</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_Toc327978946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7</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8947" w:history="1">
        <w:r w:rsidR="004F369E" w:rsidRPr="004F369E">
          <w:rPr>
            <w:rStyle w:val="Hyperlink"/>
            <w:rFonts w:ascii="Times New Roman" w:hAnsi="Times New Roman"/>
            <w:noProof/>
            <w:sz w:val="22"/>
            <w:szCs w:val="22"/>
          </w:rPr>
          <w:t>Tableau 3. Proposition de nouvelles activités financées par la BIRD, Ex. 13-14</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_Toc327978947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29</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8948" w:history="1">
        <w:r w:rsidR="004F369E" w:rsidRPr="004F369E">
          <w:rPr>
            <w:rStyle w:val="Hyperlink"/>
            <w:rFonts w:ascii="Times New Roman" w:hAnsi="Times New Roman"/>
            <w:noProof/>
            <w:sz w:val="22"/>
            <w:szCs w:val="22"/>
          </w:rPr>
          <w:t>Tableau 4. Fonds fiduciaires gérés ou financés par la Banque mondiale</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_Toc327978948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30</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8949" w:history="1">
        <w:r w:rsidR="004F369E" w:rsidRPr="004F369E">
          <w:rPr>
            <w:rStyle w:val="Hyperlink"/>
            <w:rFonts w:ascii="Times New Roman" w:hAnsi="Times New Roman"/>
            <w:noProof/>
            <w:sz w:val="22"/>
            <w:szCs w:val="22"/>
          </w:rPr>
          <w:t>Tableau 5. Proposition d'activités d'études analytiques et de conseil Ex. 13/14</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_Toc327978949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31</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b/>
          <w:bCs/>
          <w:color w:val="000000"/>
          <w:sz w:val="22"/>
          <w:szCs w:val="22"/>
        </w:rPr>
      </w:pPr>
      <w:r w:rsidRPr="004F369E">
        <w:rPr>
          <w:rFonts w:ascii="Times New Roman" w:hAnsi="Times New Roman"/>
          <w:b/>
          <w:bCs/>
          <w:color w:val="000000"/>
          <w:sz w:val="22"/>
          <w:szCs w:val="22"/>
        </w:rPr>
        <w:fldChar w:fldCharType="end"/>
      </w:r>
    </w:p>
    <w:p w:rsidR="004F369E" w:rsidRPr="004F369E" w:rsidRDefault="00493D2B" w:rsidP="004F369E">
      <w:pPr>
        <w:pStyle w:val="TableofFigures"/>
        <w:tabs>
          <w:tab w:val="right" w:leader="dot" w:pos="9350"/>
        </w:tabs>
        <w:rPr>
          <w:rFonts w:ascii="Times New Roman" w:hAnsi="Times New Roman"/>
          <w:b/>
          <w:color w:val="000000"/>
          <w:sz w:val="22"/>
          <w:szCs w:val="22"/>
        </w:rPr>
      </w:pPr>
      <w:r>
        <w:rPr>
          <w:rFonts w:ascii="Times New Roman" w:hAnsi="Times New Roman"/>
          <w:b/>
          <w:color w:val="000000"/>
          <w:sz w:val="22"/>
        </w:rPr>
        <w:lastRenderedPageBreak/>
        <w:t>Encadrés</w:t>
      </w:r>
    </w:p>
    <w:p w:rsidR="004F369E" w:rsidRPr="004F369E" w:rsidRDefault="00BE3333">
      <w:pPr>
        <w:pStyle w:val="TableofFigures"/>
        <w:tabs>
          <w:tab w:val="right" w:leader="dot" w:pos="9350"/>
        </w:tabs>
        <w:rPr>
          <w:rFonts w:cstheme="minorBidi"/>
          <w:noProof/>
          <w:sz w:val="22"/>
          <w:szCs w:val="22"/>
          <w:lang w:val="en-US" w:eastAsia="en-US" w:bidi="ar-SA"/>
        </w:rPr>
      </w:pPr>
      <w:r w:rsidRPr="004F369E">
        <w:rPr>
          <w:rFonts w:ascii="Times New Roman" w:hAnsi="Times New Roman"/>
          <w:b/>
          <w:bCs/>
          <w:color w:val="000000"/>
          <w:sz w:val="22"/>
          <w:szCs w:val="22"/>
        </w:rPr>
        <w:fldChar w:fldCharType="begin"/>
      </w:r>
      <w:r w:rsidR="007C17AA" w:rsidRPr="004F369E">
        <w:rPr>
          <w:rFonts w:ascii="Times New Roman" w:hAnsi="Times New Roman"/>
          <w:b/>
          <w:bCs/>
          <w:color w:val="000000"/>
          <w:sz w:val="22"/>
          <w:szCs w:val="22"/>
        </w:rPr>
        <w:instrText xml:space="preserve"> TOC \h \z \c "Box" </w:instrText>
      </w:r>
      <w:r w:rsidRPr="004F369E">
        <w:rPr>
          <w:rFonts w:ascii="Times New Roman" w:hAnsi="Times New Roman"/>
          <w:b/>
          <w:bCs/>
          <w:color w:val="000000"/>
          <w:sz w:val="22"/>
          <w:szCs w:val="22"/>
        </w:rPr>
        <w:fldChar w:fldCharType="separate"/>
      </w:r>
      <w:hyperlink w:anchor="_Toc327978952" w:history="1">
        <w:r w:rsidR="004F369E" w:rsidRPr="004F369E">
          <w:rPr>
            <w:rStyle w:val="Hyperlink"/>
            <w:rFonts w:ascii="Times New Roman" w:hAnsi="Times New Roman"/>
            <w:noProof/>
            <w:sz w:val="22"/>
            <w:szCs w:val="22"/>
          </w:rPr>
          <w:t>Encadré 1. Quatre principes d'engagement en vertu de la NSI</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_Toc327978952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17</w:t>
        </w:r>
        <w:r w:rsidRPr="004F369E">
          <w:rPr>
            <w:rFonts w:ascii="Times New Roman" w:hAnsi="Times New Roman"/>
            <w:noProof/>
            <w:webHidden/>
            <w:sz w:val="22"/>
            <w:szCs w:val="22"/>
          </w:rPr>
          <w:fldChar w:fldCharType="end"/>
        </w:r>
      </w:hyperlink>
    </w:p>
    <w:p w:rsidR="004F369E" w:rsidRDefault="00BE3333">
      <w:pPr>
        <w:pStyle w:val="TableofFigures"/>
        <w:tabs>
          <w:tab w:val="right" w:leader="dot" w:pos="9350"/>
        </w:tabs>
        <w:rPr>
          <w:rFonts w:ascii="Times New Roman" w:hAnsi="Times New Roman"/>
          <w:b/>
          <w:bCs/>
          <w:color w:val="000000"/>
          <w:sz w:val="22"/>
          <w:szCs w:val="22"/>
        </w:rPr>
      </w:pPr>
      <w:r w:rsidRPr="004F369E">
        <w:rPr>
          <w:rFonts w:ascii="Times New Roman" w:hAnsi="Times New Roman"/>
          <w:b/>
          <w:bCs/>
          <w:color w:val="000000"/>
          <w:sz w:val="22"/>
          <w:szCs w:val="22"/>
        </w:rPr>
        <w:fldChar w:fldCharType="end"/>
      </w:r>
    </w:p>
    <w:p w:rsidR="00DA66F1" w:rsidRPr="00DA66F1" w:rsidRDefault="00493D2B">
      <w:pPr>
        <w:pStyle w:val="TableofFigures"/>
        <w:tabs>
          <w:tab w:val="right" w:leader="dot" w:pos="9350"/>
        </w:tabs>
        <w:rPr>
          <w:noProof/>
          <w:sz w:val="22"/>
          <w:szCs w:val="22"/>
        </w:rPr>
      </w:pPr>
      <w:r>
        <w:rPr>
          <w:rFonts w:ascii="Times New Roman" w:hAnsi="Times New Roman"/>
          <w:b/>
          <w:color w:val="000000"/>
          <w:sz w:val="22"/>
        </w:rPr>
        <w:t>Figures</w:t>
      </w:r>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r w:rsidRPr="004F369E">
        <w:rPr>
          <w:rFonts w:ascii="Times New Roman" w:hAnsi="Times New Roman"/>
          <w:b/>
          <w:bCs/>
          <w:color w:val="000000"/>
          <w:sz w:val="22"/>
          <w:szCs w:val="22"/>
        </w:rPr>
        <w:fldChar w:fldCharType="begin"/>
      </w:r>
      <w:r w:rsidR="005B0D3C" w:rsidRPr="004F369E">
        <w:rPr>
          <w:rFonts w:ascii="Times New Roman" w:hAnsi="Times New Roman"/>
          <w:b/>
          <w:bCs/>
          <w:color w:val="000000"/>
          <w:sz w:val="22"/>
          <w:szCs w:val="22"/>
        </w:rPr>
        <w:instrText xml:space="preserve"> TOC \h \z \c "Figure" </w:instrText>
      </w:r>
      <w:r w:rsidRPr="004F369E">
        <w:rPr>
          <w:rFonts w:ascii="Times New Roman" w:hAnsi="Times New Roman"/>
          <w:b/>
          <w:bCs/>
          <w:color w:val="000000"/>
          <w:sz w:val="22"/>
          <w:szCs w:val="22"/>
        </w:rPr>
        <w:fldChar w:fldCharType="separate"/>
      </w:r>
      <w:hyperlink r:id="rId17" w:anchor="_Toc327979022" w:history="1">
        <w:r w:rsidR="004F369E" w:rsidRPr="004F369E">
          <w:rPr>
            <w:rStyle w:val="Hyperlink"/>
            <w:rFonts w:ascii="Times New Roman" w:hAnsi="Times New Roman"/>
            <w:noProof/>
            <w:sz w:val="22"/>
            <w:szCs w:val="22"/>
          </w:rPr>
          <w:t>Figure 1. Effectifs de pauvreté par région (2005)</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_Toc327979022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8</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023" w:history="1">
        <w:r w:rsidR="004F369E" w:rsidRPr="004F369E">
          <w:rPr>
            <w:rStyle w:val="Hyperlink"/>
            <w:rFonts w:ascii="Times New Roman" w:hAnsi="Times New Roman"/>
            <w:noProof/>
            <w:sz w:val="22"/>
            <w:szCs w:val="22"/>
          </w:rPr>
          <w:t>Figure 2. Part de l'emploi par secteurs, 2010</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_Toc327979023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10</w:t>
        </w:r>
        <w:r w:rsidRPr="004F369E">
          <w:rPr>
            <w:rFonts w:ascii="Times New Roman" w:hAnsi="Times New Roman"/>
            <w:noProof/>
            <w:webHidden/>
            <w:sz w:val="22"/>
            <w:szCs w:val="22"/>
          </w:rPr>
          <w:fldChar w:fldCharType="end"/>
        </w:r>
      </w:hyperlink>
    </w:p>
    <w:p w:rsidR="00FC004B" w:rsidRPr="004F369E" w:rsidRDefault="00BE3333">
      <w:pPr>
        <w:pStyle w:val="TableofFigures"/>
        <w:tabs>
          <w:tab w:val="right" w:leader="dot" w:pos="9350"/>
        </w:tabs>
        <w:rPr>
          <w:rFonts w:ascii="Times New Roman" w:hAnsi="Times New Roman"/>
          <w:noProof/>
          <w:sz w:val="22"/>
          <w:szCs w:val="22"/>
        </w:rPr>
      </w:pPr>
      <w:r w:rsidRPr="004F369E">
        <w:rPr>
          <w:rFonts w:ascii="Times New Roman" w:hAnsi="Times New Roman"/>
          <w:b/>
          <w:bCs/>
          <w:color w:val="000000"/>
          <w:sz w:val="22"/>
          <w:szCs w:val="22"/>
        </w:rPr>
        <w:fldChar w:fldCharType="end"/>
      </w:r>
    </w:p>
    <w:p w:rsidR="00AD5B00" w:rsidRPr="004F369E" w:rsidRDefault="007C17AA" w:rsidP="00AD5B00">
      <w:pPr>
        <w:tabs>
          <w:tab w:val="left" w:pos="540"/>
          <w:tab w:val="left" w:pos="9350"/>
        </w:tabs>
        <w:autoSpaceDE w:val="0"/>
        <w:autoSpaceDN w:val="0"/>
        <w:adjustRightInd w:val="0"/>
        <w:spacing w:before="120" w:after="120"/>
        <w:ind w:left="446" w:hanging="446"/>
        <w:rPr>
          <w:rFonts w:ascii="Times New Roman" w:hAnsi="Times New Roman"/>
          <w:b/>
          <w:bCs/>
          <w:color w:val="000000"/>
          <w:sz w:val="22"/>
          <w:szCs w:val="22"/>
        </w:rPr>
      </w:pPr>
      <w:r w:rsidRPr="004F369E">
        <w:rPr>
          <w:rFonts w:ascii="Times New Roman" w:hAnsi="Times New Roman"/>
          <w:b/>
          <w:color w:val="000000"/>
          <w:sz w:val="22"/>
          <w:szCs w:val="22"/>
        </w:rPr>
        <w:t>Annexes spécifiques au pays</w:t>
      </w:r>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r w:rsidRPr="004F369E">
        <w:rPr>
          <w:rFonts w:ascii="Times New Roman" w:hAnsi="Times New Roman"/>
          <w:b/>
          <w:bCs/>
          <w:color w:val="000000"/>
          <w:sz w:val="22"/>
          <w:szCs w:val="22"/>
        </w:rPr>
        <w:fldChar w:fldCharType="begin"/>
      </w:r>
      <w:r w:rsidR="007C17AA" w:rsidRPr="004F369E">
        <w:rPr>
          <w:rFonts w:ascii="Times New Roman" w:hAnsi="Times New Roman"/>
          <w:b/>
          <w:bCs/>
          <w:color w:val="000000"/>
          <w:sz w:val="22"/>
          <w:szCs w:val="22"/>
        </w:rPr>
        <w:instrText xml:space="preserve"> TOC \h \z \c "Annex" </w:instrText>
      </w:r>
      <w:r w:rsidRPr="004F369E">
        <w:rPr>
          <w:rFonts w:ascii="Times New Roman" w:hAnsi="Times New Roman"/>
          <w:b/>
          <w:bCs/>
          <w:color w:val="000000"/>
          <w:sz w:val="22"/>
          <w:szCs w:val="22"/>
        </w:rPr>
        <w:fldChar w:fldCharType="separate"/>
      </w:r>
      <w:hyperlink w:anchor="_Toc327979050" w:history="1">
        <w:r w:rsidR="004F369E" w:rsidRPr="004F369E">
          <w:rPr>
            <w:rStyle w:val="Hyperlink"/>
            <w:rFonts w:ascii="Times New Roman" w:hAnsi="Times New Roman"/>
            <w:noProof/>
            <w:sz w:val="22"/>
            <w:szCs w:val="22"/>
          </w:rPr>
          <w:t>Annexe 1. Note de stratégie intérimaire — Cadre de résultats</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_Toc327979050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36</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051" w:history="1">
        <w:r w:rsidR="004F369E" w:rsidRPr="004F369E">
          <w:rPr>
            <w:rStyle w:val="Hyperlink"/>
            <w:rFonts w:ascii="Times New Roman" w:hAnsi="Times New Roman"/>
            <w:noProof/>
            <w:sz w:val="22"/>
            <w:szCs w:val="22"/>
          </w:rPr>
          <w:t>Annexe 2</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_Toc327979051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44</w:t>
        </w:r>
        <w:r w:rsidRPr="004F369E">
          <w:rPr>
            <w:rFonts w:ascii="Times New Roman" w:hAnsi="Times New Roman"/>
            <w:noProof/>
            <w:webHidden/>
            <w:sz w:val="22"/>
            <w:szCs w:val="22"/>
          </w:rPr>
          <w:fldChar w:fldCharType="end"/>
        </w:r>
      </w:hyperlink>
    </w:p>
    <w:p w:rsidR="000A5B78" w:rsidRPr="00DA66F1" w:rsidRDefault="00BE3333">
      <w:pPr>
        <w:pStyle w:val="TableofFigures"/>
        <w:tabs>
          <w:tab w:val="right" w:leader="dot" w:pos="9350"/>
        </w:tabs>
        <w:rPr>
          <w:rFonts w:ascii="Times New Roman" w:hAnsi="Times New Roman"/>
          <w:noProof/>
          <w:sz w:val="22"/>
          <w:szCs w:val="22"/>
        </w:rPr>
      </w:pPr>
      <w:r w:rsidRPr="004F369E">
        <w:rPr>
          <w:rFonts w:ascii="Times New Roman" w:hAnsi="Times New Roman"/>
          <w:b/>
          <w:bCs/>
          <w:color w:val="000000"/>
          <w:sz w:val="22"/>
          <w:szCs w:val="22"/>
        </w:rPr>
        <w:fldChar w:fldCharType="end"/>
      </w:r>
    </w:p>
    <w:p w:rsidR="00886060" w:rsidRPr="00DA66F1" w:rsidRDefault="00737925" w:rsidP="00886060">
      <w:pPr>
        <w:tabs>
          <w:tab w:val="left" w:pos="540"/>
          <w:tab w:val="left" w:pos="9350"/>
        </w:tabs>
        <w:autoSpaceDE w:val="0"/>
        <w:autoSpaceDN w:val="0"/>
        <w:adjustRightInd w:val="0"/>
        <w:spacing w:after="120"/>
        <w:ind w:left="446" w:hanging="446"/>
        <w:rPr>
          <w:rFonts w:ascii="Times New Roman" w:hAnsi="Times New Roman"/>
          <w:b/>
          <w:bCs/>
          <w:color w:val="000000"/>
          <w:sz w:val="22"/>
          <w:szCs w:val="22"/>
        </w:rPr>
      </w:pPr>
      <w:r>
        <w:rPr>
          <w:rFonts w:ascii="Times New Roman" w:hAnsi="Times New Roman"/>
          <w:b/>
          <w:color w:val="000000"/>
          <w:sz w:val="22"/>
        </w:rPr>
        <w:t>Annexes SAP habituelles</w:t>
      </w:r>
    </w:p>
    <w:p w:rsidR="00B70B50" w:rsidRDefault="00B70B50">
      <w:pPr>
        <w:pStyle w:val="TableofFigures"/>
        <w:tabs>
          <w:tab w:val="right" w:leader="dot" w:pos="9350"/>
        </w:tabs>
        <w:rPr>
          <w:rFonts w:ascii="Times New Roman" w:hAnsi="Times New Roman"/>
          <w:color w:val="000000"/>
          <w:sz w:val="22"/>
          <w:szCs w:val="22"/>
        </w:rPr>
      </w:pPr>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r w:rsidRPr="00D16B44">
        <w:rPr>
          <w:rFonts w:ascii="Times New Roman" w:hAnsi="Times New Roman"/>
          <w:color w:val="000000"/>
          <w:sz w:val="22"/>
          <w:szCs w:val="22"/>
        </w:rPr>
        <w:fldChar w:fldCharType="begin"/>
      </w:r>
      <w:r w:rsidR="00C85AD8" w:rsidRPr="00D16B44">
        <w:rPr>
          <w:rFonts w:ascii="Times New Roman" w:hAnsi="Times New Roman"/>
          <w:color w:val="000000"/>
          <w:sz w:val="22"/>
          <w:szCs w:val="22"/>
        </w:rPr>
        <w:instrText xml:space="preserve"> TOC \h \z \c "CAS Annex" </w:instrText>
      </w:r>
      <w:r w:rsidRPr="00D16B44">
        <w:rPr>
          <w:rFonts w:ascii="Times New Roman" w:hAnsi="Times New Roman"/>
          <w:color w:val="000000"/>
          <w:sz w:val="22"/>
          <w:szCs w:val="22"/>
        </w:rPr>
        <w:fldChar w:fldCharType="separate"/>
      </w:r>
      <w:hyperlink w:anchor="_Toc327979330"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1</w:t>
        </w:r>
        <w:r w:rsidR="004F369E" w:rsidRPr="004F369E">
          <w:rPr>
            <w:rStyle w:val="Hyperlink"/>
            <w:rFonts w:ascii="Times New Roman" w:hAnsi="Times New Roman"/>
            <w:noProof/>
            <w:sz w:val="22"/>
            <w:szCs w:val="22"/>
          </w:rPr>
          <w:t xml:space="preserve"> A2 – La Tunisie en bref</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_Toc327979330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45</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331"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2</w:t>
        </w:r>
        <w:r w:rsidR="004F369E" w:rsidRPr="004F369E">
          <w:rPr>
            <w:rStyle w:val="Hyperlink"/>
            <w:rFonts w:ascii="Times New Roman" w:hAnsi="Times New Roman"/>
            <w:noProof/>
            <w:sz w:val="22"/>
            <w:szCs w:val="22"/>
          </w:rPr>
          <w:t xml:space="preserve"> B2 : Sélection d'indicateurs* de gestion et de performance du portefeuille de la Banque</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_Toc327979331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48</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332"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3</w:t>
        </w:r>
        <w:r w:rsidR="004F369E" w:rsidRPr="004F369E">
          <w:rPr>
            <w:rStyle w:val="Hyperlink"/>
            <w:rFonts w:ascii="Times New Roman" w:hAnsi="Times New Roman"/>
            <w:noProof/>
            <w:sz w:val="22"/>
            <w:szCs w:val="22"/>
          </w:rPr>
          <w:t xml:space="preserve"> B3 : Synthèse du programme BIRD.</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_Toc327979332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49</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333"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4</w:t>
        </w:r>
        <w:r w:rsidR="004F369E" w:rsidRPr="004F369E">
          <w:rPr>
            <w:rStyle w:val="Hyperlink"/>
            <w:rFonts w:ascii="Times New Roman" w:hAnsi="Times New Roman"/>
            <w:noProof/>
            <w:sz w:val="22"/>
            <w:szCs w:val="22"/>
          </w:rPr>
          <w:t xml:space="preserve"> B4 : Résumé des services hors-prêt</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_Toc327979333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50</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334"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5</w:t>
        </w:r>
        <w:r w:rsidR="004F369E" w:rsidRPr="004F369E">
          <w:rPr>
            <w:rStyle w:val="Hyperlink"/>
            <w:rFonts w:ascii="Times New Roman" w:hAnsi="Times New Roman"/>
            <w:noProof/>
            <w:sz w:val="22"/>
            <w:szCs w:val="22"/>
          </w:rPr>
          <w:t xml:space="preserve"> B6 : Tunisie — Indicateurs économiques clés</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_Toc327979334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52</w:t>
        </w:r>
        <w:r w:rsidRPr="004F369E">
          <w:rPr>
            <w:rFonts w:ascii="Times New Roman" w:hAnsi="Times New Roman"/>
            <w:noProof/>
            <w:webHidden/>
            <w:sz w:val="22"/>
            <w:szCs w:val="22"/>
          </w:rPr>
          <w:fldChar w:fldCharType="end"/>
        </w:r>
      </w:hyperlink>
    </w:p>
    <w:p w:rsidR="004F369E" w:rsidRPr="004F369E" w:rsidRDefault="00BE3333">
      <w:pPr>
        <w:pStyle w:val="TableofFigures"/>
        <w:tabs>
          <w:tab w:val="right" w:leader="dot" w:pos="9350"/>
        </w:tabs>
        <w:rPr>
          <w:rFonts w:ascii="Times New Roman" w:hAnsi="Times New Roman"/>
          <w:noProof/>
          <w:sz w:val="22"/>
          <w:szCs w:val="22"/>
          <w:lang w:val="en-US" w:eastAsia="en-US" w:bidi="ar-SA"/>
        </w:rPr>
      </w:pPr>
      <w:hyperlink w:anchor="_Toc327979335"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6</w:t>
        </w:r>
        <w:r w:rsidR="004F369E" w:rsidRPr="004F369E">
          <w:rPr>
            <w:rStyle w:val="Hyperlink"/>
            <w:rFonts w:ascii="Times New Roman" w:hAnsi="Times New Roman"/>
            <w:noProof/>
            <w:sz w:val="22"/>
            <w:szCs w:val="22"/>
          </w:rPr>
          <w:t xml:space="preserve"> B8 : Portefeuille BIRD</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_Toc327979335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54</w:t>
        </w:r>
        <w:r w:rsidRPr="004F369E">
          <w:rPr>
            <w:rFonts w:ascii="Times New Roman" w:hAnsi="Times New Roman"/>
            <w:noProof/>
            <w:webHidden/>
            <w:sz w:val="22"/>
            <w:szCs w:val="22"/>
          </w:rPr>
          <w:fldChar w:fldCharType="end"/>
        </w:r>
      </w:hyperlink>
    </w:p>
    <w:p w:rsidR="004F369E" w:rsidRDefault="00BE3333">
      <w:pPr>
        <w:pStyle w:val="TableofFigures"/>
        <w:tabs>
          <w:tab w:val="right" w:leader="dot" w:pos="9350"/>
        </w:tabs>
        <w:rPr>
          <w:rFonts w:cstheme="minorBidi"/>
          <w:noProof/>
          <w:sz w:val="22"/>
          <w:szCs w:val="22"/>
          <w:lang w:val="en-US" w:eastAsia="en-US" w:bidi="ar-SA"/>
        </w:rPr>
      </w:pPr>
      <w:hyperlink w:anchor="_Toc327979336" w:history="1">
        <w:r w:rsidR="004F369E" w:rsidRPr="004F369E">
          <w:rPr>
            <w:rStyle w:val="Hyperlink"/>
            <w:rFonts w:ascii="Times New Roman" w:hAnsi="Times New Roman"/>
            <w:noProof/>
            <w:sz w:val="22"/>
            <w:szCs w:val="22"/>
          </w:rPr>
          <w:t xml:space="preserve">SAP Annexe </w:t>
        </w:r>
        <w:r w:rsidR="004F369E" w:rsidRPr="004F369E">
          <w:rPr>
            <w:rStyle w:val="Hyperlink"/>
            <w:rFonts w:ascii="Times New Roman" w:hAnsi="Times New Roman"/>
            <w:noProof/>
            <w:color w:val="FFFFFF" w:themeColor="background1"/>
            <w:sz w:val="22"/>
            <w:szCs w:val="22"/>
          </w:rPr>
          <w:t>7</w:t>
        </w:r>
        <w:r w:rsidR="004F369E" w:rsidRPr="004F369E">
          <w:rPr>
            <w:rStyle w:val="Hyperlink"/>
            <w:rFonts w:ascii="Times New Roman" w:hAnsi="Times New Roman"/>
            <w:noProof/>
            <w:sz w:val="22"/>
            <w:szCs w:val="22"/>
          </w:rPr>
          <w:t xml:space="preserve"> B8 : Portefeuille SFI</w:t>
        </w:r>
        <w:r w:rsidR="004F369E" w:rsidRPr="004F369E">
          <w:rPr>
            <w:rFonts w:ascii="Times New Roman" w:hAnsi="Times New Roman"/>
            <w:noProof/>
            <w:webHidden/>
            <w:sz w:val="22"/>
            <w:szCs w:val="22"/>
          </w:rPr>
          <w:tab/>
        </w:r>
        <w:r w:rsidRPr="004F369E">
          <w:rPr>
            <w:rFonts w:ascii="Times New Roman" w:hAnsi="Times New Roman"/>
            <w:noProof/>
            <w:webHidden/>
            <w:sz w:val="22"/>
            <w:szCs w:val="22"/>
          </w:rPr>
          <w:fldChar w:fldCharType="begin"/>
        </w:r>
        <w:r w:rsidR="004F369E" w:rsidRPr="004F369E">
          <w:rPr>
            <w:rFonts w:ascii="Times New Roman" w:hAnsi="Times New Roman"/>
            <w:noProof/>
            <w:webHidden/>
            <w:sz w:val="22"/>
            <w:szCs w:val="22"/>
          </w:rPr>
          <w:instrText xml:space="preserve"> PAGEREF _Toc327979336 \h </w:instrText>
        </w:r>
        <w:r w:rsidRPr="004F369E">
          <w:rPr>
            <w:rFonts w:ascii="Times New Roman" w:hAnsi="Times New Roman"/>
            <w:noProof/>
            <w:webHidden/>
            <w:sz w:val="22"/>
            <w:szCs w:val="22"/>
          </w:rPr>
        </w:r>
        <w:r w:rsidRPr="004F369E">
          <w:rPr>
            <w:rFonts w:ascii="Times New Roman" w:hAnsi="Times New Roman"/>
            <w:noProof/>
            <w:webHidden/>
            <w:sz w:val="22"/>
            <w:szCs w:val="22"/>
          </w:rPr>
          <w:fldChar w:fldCharType="separate"/>
        </w:r>
        <w:r w:rsidR="004F369E" w:rsidRPr="004F369E">
          <w:rPr>
            <w:rFonts w:ascii="Times New Roman" w:hAnsi="Times New Roman"/>
            <w:noProof/>
            <w:webHidden/>
            <w:sz w:val="22"/>
            <w:szCs w:val="22"/>
          </w:rPr>
          <w:t>55</w:t>
        </w:r>
        <w:r w:rsidRPr="004F369E">
          <w:rPr>
            <w:rFonts w:ascii="Times New Roman" w:hAnsi="Times New Roman"/>
            <w:noProof/>
            <w:webHidden/>
            <w:sz w:val="22"/>
            <w:szCs w:val="22"/>
          </w:rPr>
          <w:fldChar w:fldCharType="end"/>
        </w:r>
      </w:hyperlink>
    </w:p>
    <w:p w:rsidR="00B70B50" w:rsidRPr="006F078F" w:rsidRDefault="00BE3333">
      <w:pPr>
        <w:pStyle w:val="TableofFigures"/>
        <w:tabs>
          <w:tab w:val="right" w:leader="dot" w:pos="9350"/>
        </w:tabs>
        <w:rPr>
          <w:rFonts w:ascii="Times New Roman" w:hAnsi="Times New Roman"/>
          <w:noProof/>
          <w:sz w:val="22"/>
          <w:szCs w:val="22"/>
        </w:rPr>
      </w:pPr>
      <w:r w:rsidRPr="00D16B44">
        <w:rPr>
          <w:rFonts w:ascii="Times New Roman" w:hAnsi="Times New Roman"/>
          <w:color w:val="000000"/>
          <w:sz w:val="22"/>
          <w:szCs w:val="22"/>
        </w:rPr>
        <w:fldChar w:fldCharType="end"/>
      </w:r>
    </w:p>
    <w:p w:rsidR="00886060" w:rsidRDefault="00886060" w:rsidP="00AD5B00">
      <w:pPr>
        <w:tabs>
          <w:tab w:val="left" w:pos="540"/>
          <w:tab w:val="left" w:pos="9350"/>
        </w:tabs>
        <w:autoSpaceDE w:val="0"/>
        <w:autoSpaceDN w:val="0"/>
        <w:adjustRightInd w:val="0"/>
        <w:ind w:left="446" w:hanging="446"/>
        <w:rPr>
          <w:rFonts w:ascii="Times New Roman" w:hAnsi="Times New Roman"/>
          <w:color w:val="000000"/>
          <w:sz w:val="22"/>
          <w:szCs w:val="22"/>
        </w:rPr>
      </w:pPr>
      <w:r>
        <w:rPr>
          <w:rFonts w:ascii="Times New Roman" w:hAnsi="Times New Roman"/>
          <w:color w:val="000000"/>
          <w:sz w:val="22"/>
        </w:rPr>
        <w:t>Carte BIRD n° 33500</w:t>
      </w:r>
    </w:p>
    <w:p w:rsidR="007D394A" w:rsidRDefault="007D394A">
      <w:pPr>
        <w:rPr>
          <w:rFonts w:ascii="Times New Roman" w:hAnsi="Times New Roman"/>
          <w:b/>
          <w:bCs/>
          <w:color w:val="000000"/>
          <w:sz w:val="22"/>
          <w:szCs w:val="22"/>
        </w:rPr>
        <w:sectPr w:rsidR="007D394A" w:rsidSect="00121A94">
          <w:type w:val="continuous"/>
          <w:pgSz w:w="12240" w:h="15840"/>
          <w:pgMar w:top="1440" w:right="1440" w:bottom="1440" w:left="1440" w:header="720" w:footer="720" w:gutter="0"/>
          <w:pgNumType w:fmt="lowerRoman" w:start="1"/>
          <w:cols w:space="720"/>
          <w:docGrid w:linePitch="360"/>
        </w:sectPr>
      </w:pPr>
    </w:p>
    <w:p w:rsidR="001B6AD2" w:rsidRDefault="001B6AD2" w:rsidP="001B6AD2">
      <w:pPr>
        <w:tabs>
          <w:tab w:val="left" w:pos="540"/>
          <w:tab w:val="left" w:pos="9350"/>
        </w:tabs>
        <w:autoSpaceDE w:val="0"/>
        <w:autoSpaceDN w:val="0"/>
        <w:adjustRightInd w:val="0"/>
        <w:ind w:left="446" w:hanging="446"/>
        <w:jc w:val="center"/>
        <w:rPr>
          <w:rFonts w:ascii="Times New Roman" w:hAnsi="Times New Roman"/>
          <w:b/>
          <w:bCs/>
          <w:color w:val="000000"/>
          <w:sz w:val="22"/>
          <w:szCs w:val="22"/>
        </w:rPr>
      </w:pPr>
      <w:r>
        <w:rPr>
          <w:rFonts w:ascii="Times New Roman" w:hAnsi="Times New Roman"/>
          <w:b/>
          <w:color w:val="000000"/>
          <w:sz w:val="22"/>
        </w:rPr>
        <w:lastRenderedPageBreak/>
        <w:t>RÉSUMÉ ANALYTIQUE</w:t>
      </w:r>
    </w:p>
    <w:p w:rsidR="001B6AD2" w:rsidRPr="00C43BE5" w:rsidRDefault="001B6AD2" w:rsidP="001B6AD2">
      <w:pPr>
        <w:tabs>
          <w:tab w:val="left" w:pos="540"/>
          <w:tab w:val="left" w:pos="9350"/>
        </w:tabs>
        <w:autoSpaceDE w:val="0"/>
        <w:autoSpaceDN w:val="0"/>
        <w:adjustRightInd w:val="0"/>
        <w:ind w:left="446" w:hanging="446"/>
        <w:rPr>
          <w:rFonts w:ascii="Times New Roman" w:hAnsi="Times New Roman"/>
          <w:color w:val="000000"/>
          <w:sz w:val="16"/>
          <w:szCs w:val="16"/>
        </w:rPr>
      </w:pPr>
    </w:p>
    <w:p w:rsidR="000F2FFA" w:rsidRPr="006571B3" w:rsidRDefault="000F2FFA" w:rsidP="006571B3">
      <w:pPr>
        <w:pStyle w:val="ListParagraph"/>
        <w:numPr>
          <w:ilvl w:val="0"/>
          <w:numId w:val="49"/>
        </w:numPr>
        <w:ind w:left="0" w:firstLine="0"/>
        <w:jc w:val="both"/>
        <w:rPr>
          <w:rFonts w:ascii="Times New Roman" w:eastAsia="Times New Roman" w:hAnsi="Times New Roman"/>
          <w:sz w:val="22"/>
          <w:szCs w:val="22"/>
        </w:rPr>
      </w:pPr>
      <w:r>
        <w:rPr>
          <w:rFonts w:ascii="Times New Roman" w:hAnsi="Times New Roman"/>
          <w:b/>
          <w:sz w:val="22"/>
        </w:rPr>
        <w:t>En décembre 2010, la Tunisie a connu une vague massive de résistance civile sans précédent et spontanée qui a mis fin à 23 ans de domination du Président Zine El Abidine Ben Ali, marquant le début d'une nouvelle ère politique et économique.</w:t>
      </w:r>
      <w:r>
        <w:rPr>
          <w:rFonts w:ascii="Times New Roman" w:hAnsi="Times New Roman"/>
          <w:sz w:val="22"/>
        </w:rPr>
        <w:t xml:space="preserve"> La révolution de janvier 2011 a été alimentée par une colère et une frustration profondes liées au manque d'insertion sociale et politique, à des problèmes de gouvernance et de corruption, à la montée du chômage et à la hausse du coût de la vie. Alors que l'économie tunisienne était considérée comme l'une des plus belles réussites de la région Moyen-Orient et Afrique du Nord (MENA), les bénéfices de la croissance se sont progressivement concentrés sur une minorité influente. Les protestations qui se sont élevées dans tout le pays ont abouti à la chute du Président Ben Ali le 14 janvier 2011, inspirant des mouvements de soulèvement similaires dans la région, communément appelés le «</w:t>
      </w:r>
      <w:r w:rsidR="006D6057">
        <w:rPr>
          <w:rFonts w:ascii="Times New Roman" w:hAnsi="Times New Roman"/>
          <w:sz w:val="22"/>
        </w:rPr>
        <w:t xml:space="preserve"> </w:t>
      </w:r>
      <w:r>
        <w:rPr>
          <w:rFonts w:ascii="Times New Roman" w:hAnsi="Times New Roman"/>
          <w:sz w:val="22"/>
        </w:rPr>
        <w:t>Printemps arabe ».</w:t>
      </w:r>
    </w:p>
    <w:p w:rsidR="000F2FFA" w:rsidRPr="00C43BE5" w:rsidRDefault="000F2FFA" w:rsidP="006571B3">
      <w:pPr>
        <w:pStyle w:val="ListParagraph"/>
        <w:ind w:left="0"/>
        <w:jc w:val="both"/>
        <w:rPr>
          <w:rFonts w:ascii="Times New Roman" w:eastAsia="Times New Roman" w:hAnsi="Times New Roman"/>
          <w:sz w:val="16"/>
          <w:szCs w:val="16"/>
        </w:rPr>
      </w:pPr>
    </w:p>
    <w:p w:rsidR="000F2FFA" w:rsidRPr="006571B3" w:rsidRDefault="000F2FFA" w:rsidP="006571B3">
      <w:pPr>
        <w:pStyle w:val="ListParagraph"/>
        <w:numPr>
          <w:ilvl w:val="0"/>
          <w:numId w:val="49"/>
        </w:numPr>
        <w:ind w:left="0" w:firstLine="0"/>
        <w:jc w:val="both"/>
        <w:rPr>
          <w:rFonts w:ascii="Times New Roman" w:hAnsi="Times New Roman"/>
          <w:sz w:val="22"/>
          <w:szCs w:val="22"/>
        </w:rPr>
      </w:pPr>
      <w:r>
        <w:rPr>
          <w:rFonts w:ascii="Times New Roman" w:hAnsi="Times New Roman"/>
          <w:b/>
          <w:sz w:val="22"/>
        </w:rPr>
        <w:t>La Tunisie a achevé avec succès la première phase de sa transition politique vers une démocratie multipartite.</w:t>
      </w:r>
      <w:r>
        <w:rPr>
          <w:rFonts w:ascii="Times New Roman" w:hAnsi="Times New Roman"/>
          <w:sz w:val="22"/>
        </w:rPr>
        <w:t xml:space="preserve"> Dans la foulée de la révolution de février 2011, un Gouvernement intérimaire a prêté serment et a été chargé d'organiser des élections nationales pour élire une Assemblée constituante chargée de rédiger une nouvelle constitution. Le 23 octobre 2011, 90 % des 4,1 millions d'électeurs inscrits ont participé à ces élections qui ont été déclarées libres et équitables par les observateurs internationaux. Alors que le Gouvernement de l'Assemblée constituante navigue dans les territoires inexplorés de la transition politique, il dispose d'une opportunité exceptionnelle pour jeter les bases d'un nouveau contrat social et économique encourageant une croissance plus inclusive. Le défi immédiat pour les autorités est de promouvoir un relèvement économique inclusif et de répondre aux exigences de la révolution en matière de renforcement de la participation citoyenne, de responsabilisation de l'État et d'opportunités pour assurer la réussite de la transition politique. En parallèle, le Gouvernement doit aller de l'avant avec des réformes qui permettront à la Tunisie de passer d'une économie à faible valeur ajoutée et faible coût à une économie à plus forte valeur ajoutée et intensive en connaissance, capable de réduire le chômage, son principal défi.</w:t>
      </w:r>
    </w:p>
    <w:p w:rsidR="000F2FFA" w:rsidRPr="00C43BE5" w:rsidRDefault="000F2FFA" w:rsidP="006571B3">
      <w:pPr>
        <w:pStyle w:val="ListParagraph"/>
        <w:shd w:val="clear" w:color="auto" w:fill="FFFFFF"/>
        <w:tabs>
          <w:tab w:val="left" w:pos="810"/>
        </w:tabs>
        <w:autoSpaceDE w:val="0"/>
        <w:autoSpaceDN w:val="0"/>
        <w:adjustRightInd w:val="0"/>
        <w:ind w:left="0"/>
        <w:jc w:val="both"/>
        <w:rPr>
          <w:rFonts w:ascii="Times New Roman" w:eastAsia="Times New Roman" w:hAnsi="Times New Roman"/>
          <w:sz w:val="16"/>
          <w:szCs w:val="16"/>
        </w:rPr>
      </w:pPr>
    </w:p>
    <w:p w:rsidR="000F2FFA" w:rsidRPr="006571B3" w:rsidRDefault="000F2FFA" w:rsidP="00BB5F02">
      <w:pPr>
        <w:pStyle w:val="ListParagraph"/>
        <w:numPr>
          <w:ilvl w:val="0"/>
          <w:numId w:val="49"/>
        </w:numPr>
        <w:shd w:val="clear" w:color="auto" w:fill="FFFFFF"/>
        <w:tabs>
          <w:tab w:val="left" w:pos="810"/>
        </w:tabs>
        <w:autoSpaceDE w:val="0"/>
        <w:autoSpaceDN w:val="0"/>
        <w:adjustRightInd w:val="0"/>
        <w:ind w:left="0" w:firstLine="0"/>
        <w:jc w:val="both"/>
        <w:rPr>
          <w:rFonts w:ascii="Times New Roman" w:hAnsi="Times New Roman"/>
          <w:sz w:val="22"/>
          <w:szCs w:val="22"/>
        </w:rPr>
      </w:pPr>
      <w:r>
        <w:rPr>
          <w:rFonts w:ascii="Times New Roman" w:hAnsi="Times New Roman"/>
          <w:b/>
          <w:sz w:val="22"/>
        </w:rPr>
        <w:t>Sur le front économique, la Tunisie fait face à une lente reprise pendant la période de transition. La performance économique de la Tunisie s'est fortement dégradée en 2011, alors qu'elle se relevait à la fin de 2010 de la crise</w:t>
      </w:r>
      <w:r w:rsidR="006D6057" w:rsidRPr="006D6057">
        <w:rPr>
          <w:rFonts w:ascii="Times New Roman" w:hAnsi="Times New Roman"/>
          <w:b/>
          <w:sz w:val="22"/>
        </w:rPr>
        <w:t xml:space="preserve"> mondiale</w:t>
      </w:r>
      <w:r>
        <w:rPr>
          <w:rFonts w:ascii="Times New Roman" w:hAnsi="Times New Roman"/>
          <w:b/>
          <w:sz w:val="22"/>
        </w:rPr>
        <w:t xml:space="preserve"> financière, pétrolière et des prix alimentaires. </w:t>
      </w:r>
      <w:r>
        <w:rPr>
          <w:rFonts w:ascii="Times New Roman" w:hAnsi="Times New Roman"/>
          <w:sz w:val="22"/>
        </w:rPr>
        <w:t>Avec une croissance stable à 3 %, le déficit budgétaire en recul à 1,3 % et des réserves officielles équivalant à 5 mois d'importations à fin 2010, le Gouvernement disposait au début de 2011 d'un espace budgétaire suffisant pour absorber une partie du choc économique causé par la révolution de janvier, la contagion du conflit libyen et la forte baisse du tourisme et des investissements directs étrangers (IDE). Le Gouvernement intérimaire a approuvé en juin 2011 un budget complémentaire en vue de stimuler l'économie, d'accroître l'aide sociale et de fournir des ressources aux régions accusant du retard, là où il était particulièrement nécessaire de créer des emplois et d'offrir des services de base. Pour sa part, la Banque centrale a fournit un montant important de prêts à court terme aux banques afin d'encourager les opérations de prêts et a réduit les taux d'intérêt pour encourager les emprunts. En dépit de ces efforts et d'autres efforts, l'économie s'est contractée de près de 2 % et le taux de chômage a augmenté, passant de 13 % en 2010 à 19 % en 2011.</w:t>
      </w:r>
    </w:p>
    <w:p w:rsidR="000F2FFA" w:rsidRPr="00C43BE5" w:rsidRDefault="000F2FFA" w:rsidP="006571B3">
      <w:pPr>
        <w:pStyle w:val="ListParagraph"/>
        <w:shd w:val="clear" w:color="auto" w:fill="FFFFFF"/>
        <w:tabs>
          <w:tab w:val="left" w:pos="810"/>
        </w:tabs>
        <w:autoSpaceDE w:val="0"/>
        <w:autoSpaceDN w:val="0"/>
        <w:adjustRightInd w:val="0"/>
        <w:ind w:left="0"/>
        <w:jc w:val="both"/>
        <w:rPr>
          <w:rFonts w:ascii="Times New Roman" w:hAnsi="Times New Roman"/>
          <w:sz w:val="16"/>
          <w:szCs w:val="16"/>
        </w:rPr>
      </w:pPr>
    </w:p>
    <w:p w:rsidR="000F2FFA" w:rsidRPr="006571B3" w:rsidRDefault="000F2FFA" w:rsidP="006571B3">
      <w:pPr>
        <w:pStyle w:val="ListParagraph"/>
        <w:numPr>
          <w:ilvl w:val="0"/>
          <w:numId w:val="49"/>
        </w:numPr>
        <w:ind w:left="0" w:firstLine="0"/>
        <w:jc w:val="both"/>
        <w:rPr>
          <w:rFonts w:ascii="Times New Roman" w:hAnsi="Times New Roman"/>
          <w:bCs/>
          <w:color w:val="000000"/>
          <w:sz w:val="22"/>
          <w:szCs w:val="22"/>
        </w:rPr>
      </w:pPr>
      <w:r>
        <w:rPr>
          <w:rFonts w:ascii="Times New Roman" w:hAnsi="Times New Roman"/>
          <w:b/>
          <w:sz w:val="22"/>
        </w:rPr>
        <w:t>La situation économique en 2012 devrait rester difficile, avec une croissance du PIB qui ne restera que modérément positive.</w:t>
      </w:r>
      <w:r w:rsidR="006D6057">
        <w:rPr>
          <w:rFonts w:ascii="Times New Roman" w:hAnsi="Times New Roman"/>
          <w:sz w:val="22"/>
        </w:rPr>
        <w:t xml:space="preserve"> </w:t>
      </w:r>
      <w:r>
        <w:rPr>
          <w:rFonts w:ascii="Times New Roman" w:hAnsi="Times New Roman"/>
          <w:sz w:val="22"/>
        </w:rPr>
        <w:t>Les tensions sociales demeurent, liées à un chômage élevé et croissant</w:t>
      </w:r>
      <w:r w:rsidR="006D6057">
        <w:rPr>
          <w:rFonts w:ascii="Times New Roman" w:hAnsi="Times New Roman"/>
          <w:sz w:val="22"/>
        </w:rPr>
        <w:t xml:space="preserve"> </w:t>
      </w:r>
      <w:r>
        <w:rPr>
          <w:rFonts w:ascii="Times New Roman" w:hAnsi="Times New Roman"/>
          <w:sz w:val="22"/>
        </w:rPr>
        <w:t>et aux perspectives économiques à court terme difficiles, à un moment où les Tunisiens attendaient de la révolution une amélioration du niveau de vie.</w:t>
      </w:r>
      <w:r w:rsidR="006D6057">
        <w:rPr>
          <w:rFonts w:ascii="Times New Roman" w:hAnsi="Times New Roman"/>
          <w:sz w:val="22"/>
        </w:rPr>
        <w:t xml:space="preserve"> </w:t>
      </w:r>
      <w:r>
        <w:rPr>
          <w:rFonts w:ascii="Times New Roman" w:hAnsi="Times New Roman"/>
          <w:sz w:val="22"/>
        </w:rPr>
        <w:t>L'incertitude au sujet du nouveau leadership a conduit de nombreux investisseurs nationaux et étrangers à adopter une approche attentiste.</w:t>
      </w:r>
      <w:r w:rsidR="006D6057">
        <w:rPr>
          <w:rFonts w:ascii="Times New Roman" w:hAnsi="Times New Roman"/>
          <w:sz w:val="22"/>
        </w:rPr>
        <w:t xml:space="preserve"> </w:t>
      </w:r>
      <w:r>
        <w:rPr>
          <w:rFonts w:ascii="Times New Roman" w:hAnsi="Times New Roman"/>
          <w:sz w:val="22"/>
        </w:rPr>
        <w:t xml:space="preserve">Tandis que les difficultés du secteur financier pourraient mettre en danger la reprise économique. Alors que l'objectif des autorités est de réduire les emprunts extérieurs, l'environnement international défavorable et les pressions budgétaires persistantes liées à l'atténuation des tensions sociales seront susceptibles d'inciter à des emprunts publics externes appréciables en 2012-2013. La reprise tunisienne </w:t>
      </w:r>
      <w:r>
        <w:rPr>
          <w:rFonts w:ascii="Times New Roman" w:hAnsi="Times New Roman"/>
          <w:sz w:val="22"/>
        </w:rPr>
        <w:lastRenderedPageBreak/>
        <w:t xml:space="preserve">pourrait se consolider en 2014, avec une amélioration de la confiance au plan national et une reprise économique en Libye et dans l'Union européenne (UE), ce qui pourrait faire progresser la croissance d'environ 5 %. </w:t>
      </w:r>
    </w:p>
    <w:p w:rsidR="000F2FFA" w:rsidRPr="00C43BE5" w:rsidRDefault="000F2FFA" w:rsidP="006571B3">
      <w:pPr>
        <w:pStyle w:val="ListParagraph"/>
        <w:shd w:val="clear" w:color="auto" w:fill="FFFFFF"/>
        <w:tabs>
          <w:tab w:val="left" w:pos="810"/>
        </w:tabs>
        <w:autoSpaceDE w:val="0"/>
        <w:autoSpaceDN w:val="0"/>
        <w:adjustRightInd w:val="0"/>
        <w:ind w:left="0"/>
        <w:jc w:val="both"/>
        <w:rPr>
          <w:rFonts w:ascii="Times New Roman" w:hAnsi="Times New Roman"/>
          <w:bCs/>
          <w:color w:val="000000"/>
          <w:sz w:val="16"/>
          <w:szCs w:val="16"/>
        </w:rPr>
      </w:pPr>
    </w:p>
    <w:p w:rsidR="000F2FFA" w:rsidRPr="006571B3" w:rsidRDefault="000F2FFA" w:rsidP="00A60542">
      <w:pPr>
        <w:pStyle w:val="ListParagraph"/>
        <w:numPr>
          <w:ilvl w:val="0"/>
          <w:numId w:val="49"/>
        </w:numPr>
        <w:shd w:val="clear" w:color="auto" w:fill="FFFFFF"/>
        <w:tabs>
          <w:tab w:val="left" w:pos="810"/>
        </w:tabs>
        <w:autoSpaceDE w:val="0"/>
        <w:autoSpaceDN w:val="0"/>
        <w:adjustRightInd w:val="0"/>
        <w:ind w:left="0" w:firstLine="0"/>
        <w:jc w:val="both"/>
        <w:rPr>
          <w:rFonts w:ascii="Times New Roman" w:hAnsi="Times New Roman"/>
          <w:bCs/>
          <w:sz w:val="22"/>
          <w:szCs w:val="22"/>
        </w:rPr>
      </w:pPr>
      <w:r>
        <w:rPr>
          <w:rFonts w:ascii="Times New Roman" w:hAnsi="Times New Roman"/>
          <w:b/>
          <w:color w:val="000000"/>
          <w:sz w:val="22"/>
        </w:rPr>
        <w:t>Cette Note de stratégie intérimaire (NSI) présente un programme du Groupe de la Banque mondiale centré sur une contribution directe et indirecte à l'objectif du Gouvernement de création d'emplois à court et moyen termes.</w:t>
      </w:r>
      <w:r w:rsidR="006D6057">
        <w:rPr>
          <w:rFonts w:ascii="Times New Roman" w:hAnsi="Times New Roman"/>
          <w:color w:val="000000"/>
          <w:sz w:val="22"/>
        </w:rPr>
        <w:t xml:space="preserve"> </w:t>
      </w:r>
      <w:r>
        <w:rPr>
          <w:rFonts w:ascii="Times New Roman" w:hAnsi="Times New Roman"/>
          <w:color w:val="000000"/>
          <w:sz w:val="22"/>
        </w:rPr>
        <w:t>Le programme appuiera les autorités dans les réformes nécessaires à la promotion d'une relance pilotée par le secteur privé et la création d'emplois, en mettant l'accent sur la transparence, les opportunités et la responsabilité. S'inspirant de l'expérience acquise dans d'autres pays, la Banque va aider la Tunisie alors qu'elle s'engage dans l'établissement d'un nouveau contrat social permettant de redéfinir la relation entre le Gouvernement et les différentes parties prenantes de la société.</w:t>
      </w:r>
      <w:r w:rsidR="006D6057">
        <w:rPr>
          <w:rFonts w:ascii="Times New Roman" w:hAnsi="Times New Roman"/>
          <w:color w:val="000000"/>
          <w:sz w:val="22"/>
        </w:rPr>
        <w:t xml:space="preserve"> </w:t>
      </w:r>
      <w:r>
        <w:rPr>
          <w:rFonts w:ascii="Times New Roman" w:hAnsi="Times New Roman"/>
          <w:color w:val="000000"/>
          <w:sz w:val="22"/>
        </w:rPr>
        <w:t>Pour atteindre son objectif global d'appui à la création d'emplois, le Groupe de la Banque mondiale ciblera son appui sur trois Domaines d'engagement : i) jeter les bases assurant la relance d'une croissance durable et la création d'emplois ; ii) promouvoir l'inclusion sociale et économique ; et iii) renforcer la gouvernance : la participation citoyenne, la transparence et la responsabilité. Le programme de la NSI a été conçu en consultation étroite avec le Gouvernement de l'Assemblée constituante et d'autres parties prenantes. Il s'agit d'un effort conjoint au sein du Groupe de la Banque mondiale de la Banque internationale pour la reconstruction et le développement (BIRD) et la Société financière internationale (SFI), avec la participation de la MIGA.</w:t>
      </w:r>
      <w:r>
        <w:rPr>
          <w:rFonts w:ascii="Times New Roman" w:hAnsi="Times New Roman"/>
          <w:sz w:val="22"/>
        </w:rPr>
        <w:t xml:space="preserve"> </w:t>
      </w:r>
      <w:r>
        <w:rPr>
          <w:rFonts w:ascii="Times New Roman" w:hAnsi="Times New Roman"/>
          <w:color w:val="000000"/>
          <w:sz w:val="22"/>
        </w:rPr>
        <w:t>À l'appui des objectifs de la NSI de création d'emplois et de reprise économique, la SFI mettra l'accent sur la restauration de la confiance des investisseurs à court terme et la stimulation de l'activité du secteur privé sur le long terme</w:t>
      </w:r>
      <w:r>
        <w:rPr>
          <w:rFonts w:ascii="Times New Roman" w:hAnsi="Times New Roman"/>
          <w:sz w:val="22"/>
        </w:rPr>
        <w:t>.</w:t>
      </w:r>
    </w:p>
    <w:p w:rsidR="000F2FFA" w:rsidRPr="00C43BE5" w:rsidRDefault="000F2FFA" w:rsidP="006571B3">
      <w:pPr>
        <w:pStyle w:val="ListParagraph"/>
        <w:shd w:val="clear" w:color="auto" w:fill="FFFFFF"/>
        <w:tabs>
          <w:tab w:val="left" w:pos="810"/>
        </w:tabs>
        <w:autoSpaceDE w:val="0"/>
        <w:autoSpaceDN w:val="0"/>
        <w:adjustRightInd w:val="0"/>
        <w:ind w:left="0"/>
        <w:jc w:val="both"/>
        <w:rPr>
          <w:rFonts w:ascii="Times New Roman" w:hAnsi="Times New Roman"/>
          <w:sz w:val="16"/>
          <w:szCs w:val="16"/>
        </w:rPr>
      </w:pPr>
    </w:p>
    <w:p w:rsidR="000F2FFA" w:rsidRPr="006571B3" w:rsidRDefault="000F2FFA" w:rsidP="006571B3">
      <w:pPr>
        <w:pStyle w:val="ListParagraph"/>
        <w:numPr>
          <w:ilvl w:val="0"/>
          <w:numId w:val="49"/>
        </w:numPr>
        <w:autoSpaceDE w:val="0"/>
        <w:autoSpaceDN w:val="0"/>
        <w:adjustRightInd w:val="0"/>
        <w:ind w:left="0" w:firstLine="0"/>
        <w:jc w:val="both"/>
        <w:rPr>
          <w:rFonts w:ascii="Times New Roman" w:hAnsi="Times New Roman"/>
          <w:sz w:val="22"/>
          <w:szCs w:val="22"/>
        </w:rPr>
      </w:pPr>
      <w:r>
        <w:rPr>
          <w:rFonts w:ascii="Times New Roman" w:hAnsi="Times New Roman"/>
          <w:b/>
          <w:sz w:val="22"/>
        </w:rPr>
        <w:t>Les instruments de la Banque pour mettre en œuvre la NSI comprendront un assortiment d'opérations à l'appui de politiques et d'opérations d'investissement de la BIRD ; des fonds fiduciaires du Fonds pour l’environnement mondial (FEM) et d'autres fonds fiduciaires gérés ou financés par la Banque mondiale, ainsi que des services d’analyse et de conseil.</w:t>
      </w:r>
      <w:r>
        <w:rPr>
          <w:rFonts w:ascii="Times New Roman" w:hAnsi="Times New Roman"/>
          <w:sz w:val="22"/>
        </w:rPr>
        <w:t xml:space="preserve"> Le programme de la Banque tel que défini par la NSI donnera la priorité aux activités d'appui aux priorités à court terme de la transition. Le programme du Gouvernement pourra exiger jusqu'à 950 millions de dollars de prêts à l'appui de politiques et prêts d'investissement sur l'Ex. 13. Le financement de l'Ex. 2014</w:t>
      </w:r>
      <w:r>
        <w:rPr>
          <w:rFonts w:ascii="Times New Roman" w:hAnsi="Times New Roman"/>
          <w:color w:val="000000"/>
          <w:sz w:val="22"/>
        </w:rPr>
        <w:t xml:space="preserve"> sera défini en fonction des résultats du programme de l'Ex. 2013, des demandes du Gouvernement, des fonds propres</w:t>
      </w:r>
      <w:r>
        <w:rPr>
          <w:rFonts w:ascii="Times New Roman" w:hAnsi="Times New Roman"/>
          <w:sz w:val="22"/>
        </w:rPr>
        <w:t xml:space="preserve"> de la BIRD et de la demande des autres emprunteurs. Compte tenu des mauvaises perspectives économiques, la Banque prévoit d'engager une part importante de l'enveloppe BIRD pour la Tunisie sous la forme d'un appui budgétaire alimenté par l'instrument PPD en se basant sur les résultats du programme afin de soutenir l'avancement des réformes publiques en faveur de l'accélération de la croissance inclusive et de la création d'emplois. Les prêts d'investissement, qui demeurent un instrument essentiel pour atteindre des objectifs de développement à moyen terme, devraient représenter une part plus importante des engagements de prêt de l'Ex. 14 avec la reprise de l'économie.</w:t>
      </w:r>
    </w:p>
    <w:p w:rsidR="000F2FFA" w:rsidRPr="006571B3" w:rsidRDefault="000F2FFA" w:rsidP="006571B3">
      <w:pPr>
        <w:autoSpaceDE w:val="0"/>
        <w:autoSpaceDN w:val="0"/>
        <w:adjustRightInd w:val="0"/>
        <w:jc w:val="both"/>
        <w:rPr>
          <w:rFonts w:ascii="Times New Roman" w:hAnsi="Times New Roman"/>
          <w:sz w:val="22"/>
          <w:szCs w:val="22"/>
        </w:rPr>
      </w:pPr>
    </w:p>
    <w:p w:rsidR="007A49A5" w:rsidRDefault="000F2FFA" w:rsidP="007A49A5">
      <w:pPr>
        <w:pStyle w:val="ListParagraph"/>
        <w:numPr>
          <w:ilvl w:val="0"/>
          <w:numId w:val="49"/>
        </w:numPr>
        <w:autoSpaceDE w:val="0"/>
        <w:autoSpaceDN w:val="0"/>
        <w:adjustRightInd w:val="0"/>
        <w:ind w:left="0" w:firstLine="0"/>
        <w:jc w:val="both"/>
        <w:rPr>
          <w:rFonts w:ascii="Times New Roman" w:hAnsi="Times New Roman"/>
          <w:color w:val="000000"/>
          <w:sz w:val="22"/>
          <w:szCs w:val="22"/>
        </w:rPr>
      </w:pPr>
      <w:r>
        <w:rPr>
          <w:rFonts w:ascii="Times New Roman" w:hAnsi="Times New Roman"/>
          <w:b/>
          <w:sz w:val="22"/>
        </w:rPr>
        <w:t>La performance de la Banque sera mesurée en fonction de sa contribution aux priorités du Gouvernement</w:t>
      </w:r>
      <w:r w:rsidR="006D6057">
        <w:rPr>
          <w:rFonts w:ascii="Times New Roman" w:hAnsi="Times New Roman"/>
          <w:b/>
          <w:sz w:val="22"/>
        </w:rPr>
        <w:t xml:space="preserve"> </w:t>
      </w:r>
      <w:r>
        <w:rPr>
          <w:rFonts w:ascii="Times New Roman" w:hAnsi="Times New Roman"/>
          <w:b/>
          <w:sz w:val="22"/>
        </w:rPr>
        <w:t>de l'Assemblée constituante telles que proposées dans la présente NSI.</w:t>
      </w:r>
      <w:r>
        <w:rPr>
          <w:rFonts w:ascii="Times New Roman" w:hAnsi="Times New Roman"/>
          <w:sz w:val="22"/>
        </w:rPr>
        <w:t xml:space="preserve"> L'Annexe 1 présente un bref Cadre de résultats qui correspond aux résultats attendus des objectifs d'action dans chacun des trois Domaines d'engagement auxquels la Banque prévoit de contribuer. </w:t>
      </w:r>
      <w:r>
        <w:rPr>
          <w:rFonts w:ascii="Times New Roman" w:hAnsi="Times New Roman"/>
          <w:color w:val="000000"/>
          <w:sz w:val="22"/>
        </w:rPr>
        <w:t>La Banque réalisera en liaison avec ses contreparties tunisiennes des Revues des performances du portefeuille-pays pour évaluer les résultats des programmes.</w:t>
      </w:r>
    </w:p>
    <w:p w:rsidR="007A49A5" w:rsidRPr="007A49A5" w:rsidRDefault="007A49A5" w:rsidP="007A49A5">
      <w:pPr>
        <w:pStyle w:val="ListParagraph"/>
        <w:rPr>
          <w:rFonts w:ascii="Times New Roman" w:hAnsi="Times New Roman"/>
          <w:b/>
          <w:color w:val="000000"/>
          <w:sz w:val="22"/>
          <w:szCs w:val="22"/>
        </w:rPr>
      </w:pPr>
    </w:p>
    <w:p w:rsidR="00AA53CD" w:rsidRPr="007A49A5" w:rsidRDefault="000F2FFA" w:rsidP="007A49A5">
      <w:pPr>
        <w:pStyle w:val="ListParagraph"/>
        <w:numPr>
          <w:ilvl w:val="0"/>
          <w:numId w:val="49"/>
        </w:numPr>
        <w:autoSpaceDE w:val="0"/>
        <w:autoSpaceDN w:val="0"/>
        <w:adjustRightInd w:val="0"/>
        <w:ind w:left="0" w:firstLine="0"/>
        <w:jc w:val="both"/>
        <w:rPr>
          <w:rFonts w:ascii="Times New Roman" w:hAnsi="Times New Roman"/>
          <w:color w:val="000000"/>
          <w:sz w:val="22"/>
          <w:szCs w:val="22"/>
        </w:rPr>
      </w:pPr>
      <w:r>
        <w:rPr>
          <w:rFonts w:ascii="Times New Roman" w:hAnsi="Times New Roman"/>
          <w:b/>
          <w:color w:val="000000"/>
          <w:sz w:val="22"/>
        </w:rPr>
        <w:t>La NSI identifie plusieurs risques pesant sur le programme et les mesures d'atténuation :</w:t>
      </w:r>
      <w:r>
        <w:rPr>
          <w:rFonts w:ascii="Times New Roman" w:hAnsi="Times New Roman"/>
          <w:color w:val="000000"/>
          <w:sz w:val="22"/>
        </w:rPr>
        <w:t xml:space="preserve"> </w:t>
      </w:r>
      <w:r>
        <w:rPr>
          <w:rFonts w:ascii="Times New Roman" w:hAnsi="Times New Roman"/>
          <w:i/>
          <w:color w:val="000000"/>
          <w:sz w:val="22"/>
        </w:rPr>
        <w:t>Tensions sociales et reprise économique retardée</w:t>
      </w:r>
      <w:r>
        <w:rPr>
          <w:rFonts w:ascii="Times New Roman" w:hAnsi="Times New Roman"/>
          <w:color w:val="000000"/>
          <w:sz w:val="22"/>
        </w:rPr>
        <w:t> :</w:t>
      </w:r>
      <w:r w:rsidR="006D6057">
        <w:rPr>
          <w:rFonts w:ascii="Times New Roman" w:hAnsi="Times New Roman"/>
          <w:color w:val="000000"/>
          <w:sz w:val="22"/>
        </w:rPr>
        <w:t xml:space="preserve"> </w:t>
      </w:r>
      <w:r>
        <w:rPr>
          <w:rFonts w:ascii="Times New Roman" w:hAnsi="Times New Roman"/>
          <w:color w:val="000000"/>
          <w:sz w:val="22"/>
        </w:rPr>
        <w:t xml:space="preserve">Bien que les tensions sociales aient diminué depuis février 2012, une escalade liée à la situation économique difficile pourrait empêcher le Gouvernement de gouverner efficacement et de faire avancer les réformes nécessaires, tout en retardant davantage le retour de la confiance des investisseurs indispensable pour faire repartir la croissance. En outre, </w:t>
      </w:r>
      <w:r>
        <w:rPr>
          <w:rFonts w:ascii="Times New Roman" w:hAnsi="Times New Roman"/>
          <w:sz w:val="22"/>
        </w:rPr>
        <w:t xml:space="preserve">les questions extérieures échappant au contrôle du Gouvernement, telles que la récession en Europe et la difficile </w:t>
      </w:r>
      <w:r>
        <w:rPr>
          <w:rFonts w:ascii="Times New Roman" w:hAnsi="Times New Roman"/>
          <w:sz w:val="22"/>
        </w:rPr>
        <w:lastRenderedPageBreak/>
        <w:t xml:space="preserve">transition en Libye, avec la prévision de hausse des prix du pétrole et des denrées alimentaires, risquent de susciter de nouveaux défis en termes de </w:t>
      </w:r>
      <w:r>
        <w:rPr>
          <w:rFonts w:ascii="Times New Roman" w:hAnsi="Times New Roman"/>
          <w:i/>
          <w:sz w:val="22"/>
        </w:rPr>
        <w:t>discipline budgétaire et de stabilité macroéconomique</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 xml:space="preserve">En outre, 2013 sera une année d'élection et cela aura des conséquences sur les dépenses et le rythme des réformes. Le programme de la Banque mondiale défini par la présente NSI vise à aider le Gouvernement à atténuer ces risques, notamment par un appui à la conception d'un programme de réforme qui aide à répondre aux besoins immédiats de la Tunisie tout en garantissant la stabilité macroéconomique et en préparant le terrain pour une relance durable pilotée par le secteur privé. Cet objectif s'appuiera sur des financements à décaissement rapide du programme 2012 du Gouvernement et sur une mobilisation d'appuis budgétaires. Le programme de la SFI sera également conçu pour appuyer la reprise économique et rétablir la confiance des investisseurs et pourra être ajusté en fonction de l'évolution des conditions du marché. </w:t>
      </w:r>
      <w:r>
        <w:rPr>
          <w:rFonts w:ascii="Times New Roman" w:hAnsi="Times New Roman"/>
          <w:i/>
          <w:sz w:val="22"/>
        </w:rPr>
        <w:t>Les faiblesses du secteur financier</w:t>
      </w:r>
      <w:r>
        <w:rPr>
          <w:rFonts w:ascii="Times New Roman" w:hAnsi="Times New Roman"/>
          <w:sz w:val="22"/>
        </w:rPr>
        <w:t xml:space="preserve"> pourraient aussi avoir un impact sur la reprise économique.</w:t>
      </w:r>
      <w:r w:rsidR="006D6057">
        <w:rPr>
          <w:rFonts w:ascii="Times New Roman" w:hAnsi="Times New Roman"/>
          <w:sz w:val="22"/>
        </w:rPr>
        <w:t xml:space="preserve"> </w:t>
      </w:r>
      <w:r>
        <w:rPr>
          <w:rFonts w:ascii="Times New Roman" w:hAnsi="Times New Roman"/>
          <w:sz w:val="22"/>
        </w:rPr>
        <w:t>En coordination avec les autorités, la Banque et le FMI ont identifié un programme visant à renforcer la résilience du secteur aux chocs économiques. Le degré d'</w:t>
      </w:r>
      <w:r>
        <w:rPr>
          <w:rFonts w:ascii="Times New Roman" w:hAnsi="Times New Roman"/>
          <w:i/>
          <w:sz w:val="22"/>
        </w:rPr>
        <w:t>appropriation par le Gouvernement</w:t>
      </w:r>
      <w:r w:rsidR="006D6057">
        <w:rPr>
          <w:rFonts w:ascii="Times New Roman" w:hAnsi="Times New Roman"/>
          <w:sz w:val="22"/>
        </w:rPr>
        <w:t xml:space="preserve"> </w:t>
      </w:r>
      <w:r>
        <w:rPr>
          <w:rFonts w:ascii="Times New Roman" w:hAnsi="Times New Roman"/>
          <w:sz w:val="22"/>
        </w:rPr>
        <w:t>du programme de réforme et d'investissement appuyé par le Groupe de la Banque mondiale</w:t>
      </w:r>
      <w:r w:rsidR="006D6057">
        <w:rPr>
          <w:rFonts w:ascii="Times New Roman" w:hAnsi="Times New Roman"/>
          <w:sz w:val="22"/>
        </w:rPr>
        <w:t xml:space="preserve"> </w:t>
      </w:r>
      <w:r>
        <w:rPr>
          <w:rFonts w:ascii="Times New Roman" w:hAnsi="Times New Roman"/>
          <w:sz w:val="22"/>
        </w:rPr>
        <w:t>jouera aussi un rôle déterminant.</w:t>
      </w:r>
      <w:r>
        <w:rPr>
          <w:rFonts w:ascii="Times New Roman" w:hAnsi="Times New Roman"/>
          <w:i/>
          <w:sz w:val="22"/>
        </w:rPr>
        <w:t xml:space="preserve"> </w:t>
      </w:r>
      <w:r>
        <w:rPr>
          <w:rFonts w:ascii="Times New Roman" w:hAnsi="Times New Roman"/>
          <w:sz w:val="22"/>
        </w:rPr>
        <w:t>Alors que la Tunisie adopte une démarche pilote avec de nouveaux modèles de responsabilité sociale et élargit l'éventail d'acteurs impliqués dans les processus décisionnels au niveau local, le Groupe de la Banque mondiale devra s'assurer que les opérations anticipent convenablement le besoin de</w:t>
      </w:r>
      <w:r>
        <w:rPr>
          <w:rFonts w:ascii="Times New Roman" w:hAnsi="Times New Roman"/>
          <w:i/>
          <w:sz w:val="22"/>
        </w:rPr>
        <w:t xml:space="preserve"> renforcer les capacités institutionnelles et de mise en œuvre</w:t>
      </w:r>
      <w:r>
        <w:rPr>
          <w:rFonts w:ascii="Times New Roman" w:hAnsi="Times New Roman"/>
          <w:sz w:val="22"/>
        </w:rPr>
        <w:t xml:space="preserve"> tout en ayant des objectifs réalistes quant à ce qui peut être réalisé dans un calendrier limité.</w:t>
      </w:r>
      <w:r>
        <w:br w:type="page"/>
      </w:r>
    </w:p>
    <w:bookmarkEnd w:id="0"/>
    <w:p w:rsidR="00D90CAD" w:rsidRPr="00C43BE5" w:rsidRDefault="00D90CAD" w:rsidP="00665216">
      <w:pPr>
        <w:pStyle w:val="Heading1"/>
        <w:numPr>
          <w:ilvl w:val="0"/>
          <w:numId w:val="2"/>
        </w:numPr>
        <w:rPr>
          <w:rStyle w:val="IntenseReference"/>
          <w:rFonts w:ascii="Times New Roman" w:hAnsi="Times New Roman"/>
          <w:b/>
          <w:color w:val="000000"/>
          <w:sz w:val="22"/>
          <w:szCs w:val="22"/>
          <w:u w:val="none"/>
        </w:rPr>
        <w:sectPr w:rsidR="00D90CAD" w:rsidRPr="00C43BE5" w:rsidSect="007D394A">
          <w:footerReference w:type="default" r:id="rId18"/>
          <w:pgSz w:w="12240" w:h="15840"/>
          <w:pgMar w:top="1440" w:right="1440" w:bottom="1440" w:left="1440" w:header="720" w:footer="720" w:gutter="0"/>
          <w:pgNumType w:fmt="lowerRoman" w:start="1"/>
          <w:cols w:space="720"/>
          <w:docGrid w:linePitch="360"/>
        </w:sectPr>
      </w:pPr>
    </w:p>
    <w:p w:rsidR="00DD41B5" w:rsidRPr="00C43BE5" w:rsidRDefault="00DD41B5" w:rsidP="001B6AD2">
      <w:pPr>
        <w:pStyle w:val="Heading1"/>
        <w:numPr>
          <w:ilvl w:val="0"/>
          <w:numId w:val="13"/>
        </w:numPr>
        <w:jc w:val="center"/>
        <w:rPr>
          <w:rStyle w:val="IntenseReference"/>
          <w:rFonts w:ascii="Times New Roman" w:hAnsi="Times New Roman"/>
          <w:b/>
          <w:color w:val="000000"/>
          <w:sz w:val="22"/>
          <w:szCs w:val="22"/>
          <w:u w:val="none"/>
        </w:rPr>
      </w:pPr>
      <w:bookmarkStart w:id="2" w:name="_Toc323821452"/>
      <w:bookmarkStart w:id="3" w:name="_Toc327979085"/>
      <w:r>
        <w:rPr>
          <w:rStyle w:val="IntenseReference"/>
          <w:rFonts w:ascii="Times New Roman" w:hAnsi="Times New Roman"/>
          <w:b/>
          <w:color w:val="000000"/>
          <w:sz w:val="22"/>
          <w:u w:val="none"/>
        </w:rPr>
        <w:lastRenderedPageBreak/>
        <w:t>INTRODUCTION</w:t>
      </w:r>
      <w:bookmarkEnd w:id="2"/>
      <w:bookmarkEnd w:id="3"/>
    </w:p>
    <w:p w:rsidR="00D64A38" w:rsidRPr="00C43BE5" w:rsidRDefault="00D64A38" w:rsidP="00D64A38">
      <w:pPr>
        <w:rPr>
          <w:rFonts w:ascii="Times New Roman" w:hAnsi="Times New Roman"/>
          <w:b/>
          <w:color w:val="000000"/>
          <w:sz w:val="22"/>
          <w:szCs w:val="22"/>
        </w:rPr>
      </w:pPr>
    </w:p>
    <w:bookmarkEnd w:id="1"/>
    <w:p w:rsidR="00BC5E99" w:rsidRPr="00C43BE5" w:rsidRDefault="00F13A5C" w:rsidP="00665216">
      <w:pPr>
        <w:pStyle w:val="ListParagraph"/>
        <w:numPr>
          <w:ilvl w:val="0"/>
          <w:numId w:val="3"/>
        </w:numPr>
        <w:shd w:val="clear" w:color="auto" w:fill="FFFFFF"/>
        <w:ind w:left="0" w:firstLine="0"/>
        <w:jc w:val="both"/>
        <w:rPr>
          <w:rFonts w:ascii="Times New Roman" w:eastAsia="Times New Roman" w:hAnsi="Times New Roman"/>
          <w:i/>
          <w:sz w:val="22"/>
          <w:szCs w:val="22"/>
        </w:rPr>
      </w:pPr>
      <w:r>
        <w:rPr>
          <w:rFonts w:ascii="Times New Roman" w:hAnsi="Times New Roman"/>
          <w:b/>
          <w:color w:val="000000"/>
          <w:sz w:val="22"/>
        </w:rPr>
        <w:t xml:space="preserve">En décembre 2010, la Tunisie a connu une vague massive de résistance civile sans précédent et spontanée qui a mis fin à 23 ans de domination du Président Zine El Abidine Ben Ali, marquant le début d'une nouvelle ère politique et économique. </w:t>
      </w:r>
      <w:r>
        <w:rPr>
          <w:rFonts w:ascii="Times New Roman" w:hAnsi="Times New Roman"/>
          <w:color w:val="000000"/>
          <w:sz w:val="22"/>
        </w:rPr>
        <w:t xml:space="preserve">La révolution de janvier 2011 a été alimentée par une colère et une frustration profondes liées au manque d'insertion sociale et politique, à des problèmes de gouvernance et de corruption, à la montée du chômage et à la hausse du coût de la vie. </w:t>
      </w:r>
      <w:r>
        <w:rPr>
          <w:rFonts w:ascii="Times New Roman" w:hAnsi="Times New Roman"/>
          <w:sz w:val="22"/>
        </w:rPr>
        <w:t>Alors que l'économie tunisienne était considérée comme l'une des plus belles réussites de la région MENA, les bénéfices de la croissance se sont progressivement concentrés sur une minorité influente. Les protestations qui se sont élevées dans tout le pays ont abouti à la chute du Président Ben Ali le 14 janvier 2011, inspirant des mouvements de soulèvement similaires dans la région, communément appelés le «</w:t>
      </w:r>
      <w:r w:rsidR="006D6057">
        <w:rPr>
          <w:rFonts w:ascii="Times New Roman" w:hAnsi="Times New Roman"/>
          <w:sz w:val="22"/>
        </w:rPr>
        <w:t xml:space="preserve"> </w:t>
      </w:r>
      <w:r>
        <w:rPr>
          <w:rFonts w:ascii="Times New Roman" w:hAnsi="Times New Roman"/>
          <w:sz w:val="22"/>
        </w:rPr>
        <w:t>Printemps arabe » ou le « réveil arabe »</w:t>
      </w:r>
      <w:r>
        <w:rPr>
          <w:rStyle w:val="FootnoteReference"/>
          <w:rFonts w:ascii="Times New Roman" w:hAnsi="Times New Roman"/>
          <w:sz w:val="22"/>
        </w:rPr>
        <w:footnoteReference w:id="2"/>
      </w:r>
      <w:r>
        <w:rPr>
          <w:rFonts w:ascii="Times New Roman" w:hAnsi="Times New Roman"/>
          <w:sz w:val="22"/>
        </w:rPr>
        <w:t>.</w:t>
      </w:r>
    </w:p>
    <w:p w:rsidR="00BC5E99" w:rsidRPr="00C43BE5" w:rsidRDefault="00BC5E99" w:rsidP="00BC5E99">
      <w:pPr>
        <w:shd w:val="clear" w:color="auto" w:fill="FFFFFF"/>
        <w:jc w:val="both"/>
        <w:rPr>
          <w:rFonts w:ascii="Times New Roman" w:eastAsia="Times New Roman" w:hAnsi="Times New Roman"/>
          <w:i/>
          <w:sz w:val="22"/>
          <w:szCs w:val="22"/>
        </w:rPr>
      </w:pPr>
    </w:p>
    <w:p w:rsidR="00BC5E99" w:rsidRPr="00C43BE5" w:rsidRDefault="00796763" w:rsidP="00665216">
      <w:pPr>
        <w:pStyle w:val="ListParagraph"/>
        <w:numPr>
          <w:ilvl w:val="0"/>
          <w:numId w:val="3"/>
        </w:numPr>
        <w:shd w:val="clear" w:color="auto" w:fill="FFFFFF"/>
        <w:ind w:left="0" w:firstLine="0"/>
        <w:jc w:val="both"/>
        <w:rPr>
          <w:rFonts w:ascii="Times New Roman" w:eastAsia="Times New Roman" w:hAnsi="Times New Roman"/>
          <w:sz w:val="22"/>
          <w:szCs w:val="22"/>
        </w:rPr>
      </w:pPr>
      <w:r>
        <w:rPr>
          <w:rFonts w:ascii="Times New Roman" w:hAnsi="Times New Roman"/>
          <w:b/>
          <w:sz w:val="22"/>
        </w:rPr>
        <w:t>Cette Note de stratégie intérimaire (NSI) décrit la proposition d'engagement post-révolution du Groupe de la Banque mondiale en Tunisie pour les exercices 2013 et 2014.</w:t>
      </w:r>
      <w:r>
        <w:rPr>
          <w:rFonts w:ascii="Times New Roman" w:hAnsi="Times New Roman"/>
          <w:sz w:val="22"/>
        </w:rPr>
        <w:t xml:space="preserve"> Cette période devrait correspondre à la durée du mandat du Gouvernement désigné par l'Assemblée constituante</w:t>
      </w:r>
      <w:r>
        <w:rPr>
          <w:rStyle w:val="FootnoteReference"/>
          <w:rFonts w:ascii="Times New Roman" w:hAnsi="Times New Roman"/>
          <w:sz w:val="22"/>
        </w:rPr>
        <w:footnoteReference w:id="3"/>
      </w:r>
      <w:r>
        <w:rPr>
          <w:rFonts w:ascii="Times New Roman" w:hAnsi="Times New Roman"/>
          <w:sz w:val="22"/>
        </w:rPr>
        <w:t xml:space="preserve"> et à la transition vers le gouvernement élu suivant. L'Assemblée constituante a été chargée de la rédaction d'une nouvelle constitution et de l'organisation d'élections nationales dans un délai d'un an. Quand un nouveau gouvernement élu sera en place à la suite des élections, le Groupe de la Banque mondiale préparera un Cadre de partenariat stratégique (CPS) complet pour la Tunisie. Le CPS pour la Tunisie le plus récent (2010-2013) a été examiné par le Conseil le 17 décembre 2009. À la suite de la révolution de janvier 2011 en Tunisie, le CPS ne reflète plus les nouvelles priorités du pays.</w:t>
      </w:r>
    </w:p>
    <w:p w:rsidR="00BC5E99" w:rsidRPr="00C43BE5" w:rsidRDefault="00BC5E99" w:rsidP="00BC5E99">
      <w:pPr>
        <w:pStyle w:val="ListParagraph"/>
        <w:rPr>
          <w:rFonts w:ascii="Times New Roman" w:eastAsia="Times New Roman" w:hAnsi="Times New Roman"/>
          <w:sz w:val="22"/>
          <w:szCs w:val="22"/>
        </w:rPr>
      </w:pPr>
    </w:p>
    <w:p w:rsidR="00722CD5" w:rsidRPr="003256E8" w:rsidRDefault="00F13A5C" w:rsidP="00461F01">
      <w:pPr>
        <w:pStyle w:val="ListParagraph"/>
        <w:numPr>
          <w:ilvl w:val="0"/>
          <w:numId w:val="3"/>
        </w:numPr>
        <w:shd w:val="clear" w:color="auto" w:fill="FFFFFF"/>
        <w:tabs>
          <w:tab w:val="left" w:pos="810"/>
        </w:tabs>
        <w:autoSpaceDE w:val="0"/>
        <w:autoSpaceDN w:val="0"/>
        <w:adjustRightInd w:val="0"/>
        <w:ind w:left="0" w:firstLine="0"/>
        <w:jc w:val="both"/>
        <w:rPr>
          <w:rFonts w:ascii="Times New Roman" w:eastAsia="Times New Roman" w:hAnsi="Times New Roman"/>
          <w:sz w:val="22"/>
          <w:szCs w:val="22"/>
        </w:rPr>
      </w:pPr>
      <w:r>
        <w:rPr>
          <w:rFonts w:ascii="Times New Roman" w:hAnsi="Times New Roman"/>
          <w:b/>
          <w:color w:val="000000"/>
          <w:sz w:val="22"/>
        </w:rPr>
        <w:t>Cette NSI présente un programme du Groupe de la Banque mondiale centré sur une contribution directe et indirecte à l'objectif du Gouvernement de création d'emplois à court et moyen termes.</w:t>
      </w:r>
      <w:r w:rsidR="006D6057">
        <w:rPr>
          <w:rFonts w:ascii="Times New Roman" w:hAnsi="Times New Roman"/>
          <w:color w:val="000000"/>
          <w:sz w:val="22"/>
        </w:rPr>
        <w:t xml:space="preserve"> </w:t>
      </w:r>
      <w:r>
        <w:rPr>
          <w:rFonts w:ascii="Times New Roman" w:hAnsi="Times New Roman"/>
          <w:color w:val="000000"/>
          <w:sz w:val="22"/>
        </w:rPr>
        <w:t>Le programme appuiera les autorités dans les réformes nécessaires à la promotion d'une relance pilotée par le secteur privé et la création d'emplois, en mettant l'accent sur la transparence, les opportunités et la responsabilité.</w:t>
      </w:r>
      <w:r w:rsidR="006D6057">
        <w:rPr>
          <w:rFonts w:ascii="Times New Roman" w:hAnsi="Times New Roman"/>
          <w:color w:val="000000"/>
          <w:sz w:val="22"/>
        </w:rPr>
        <w:t xml:space="preserve"> </w:t>
      </w:r>
      <w:r>
        <w:rPr>
          <w:rFonts w:ascii="Times New Roman" w:hAnsi="Times New Roman"/>
          <w:color w:val="000000"/>
          <w:sz w:val="22"/>
        </w:rPr>
        <w:t>Dans un contexte animé de débats et de protestations se déroulant dans tout le pays, un nouveau contrat social est en train de se forger dans la Tunisie post-révolution. S'inspirant de l'expérience acquise dans d'autres pays, la Banque va aider la Tunisie dans sa démarche de redéfinition de la relation entre le Gouvernement et les différentes parties prenantes de la société.</w:t>
      </w:r>
      <w:r w:rsidR="006D6057">
        <w:rPr>
          <w:rFonts w:ascii="Times New Roman" w:hAnsi="Times New Roman"/>
          <w:b/>
          <w:color w:val="000000"/>
          <w:sz w:val="22"/>
        </w:rPr>
        <w:t xml:space="preserve"> </w:t>
      </w:r>
      <w:r>
        <w:rPr>
          <w:rFonts w:ascii="Times New Roman" w:hAnsi="Times New Roman"/>
          <w:color w:val="000000"/>
          <w:sz w:val="22"/>
        </w:rPr>
        <w:t xml:space="preserve">Pour atteindre son objectif global d'appui à la création d'emplois, le Groupe de la Banque mondiale ciblera son appui sur trois Domaines d'engagement : i) jeter les bases assurant la relance d'une croissance durable et la création d'emplois ; ii) promouvoir l'inclusion sociale et économique ; et iii) renforcer la gouvernance : la participation citoyenne, la transparence et la responsabilité. Le programme de la NSI a été conçu en consultation étroite avec le Gouvernement de l'Assemblée constituante et d'autres parties prenantes. Il s'agit d'un effort conjoint au sein du Groupe de la Banque mondiale de la BIRD et la SFI, avec une participation de la MIGA. </w:t>
      </w:r>
    </w:p>
    <w:p w:rsidR="008316E0" w:rsidRDefault="008316E0">
      <w:pPr>
        <w:rPr>
          <w:rFonts w:ascii="Times New Roman" w:eastAsia="Times New Roman" w:hAnsi="Times New Roman"/>
          <w:sz w:val="23"/>
          <w:szCs w:val="23"/>
        </w:rPr>
      </w:pPr>
    </w:p>
    <w:p w:rsidR="004B1FEC" w:rsidRPr="0018036A" w:rsidRDefault="004B1FEC" w:rsidP="00E466FD">
      <w:pPr>
        <w:pStyle w:val="Heading1"/>
        <w:numPr>
          <w:ilvl w:val="0"/>
          <w:numId w:val="41"/>
        </w:numPr>
        <w:rPr>
          <w:rFonts w:ascii="Times New Roman" w:eastAsia="Times New Roman" w:hAnsi="Times New Roman"/>
          <w:sz w:val="24"/>
        </w:rPr>
      </w:pPr>
      <w:bookmarkStart w:id="4" w:name="_Toc323821453"/>
      <w:bookmarkStart w:id="5" w:name="_Toc327979086"/>
      <w:r>
        <w:rPr>
          <w:rFonts w:ascii="Times New Roman" w:hAnsi="Times New Roman"/>
          <w:sz w:val="24"/>
        </w:rPr>
        <w:lastRenderedPageBreak/>
        <w:t>CONTEXTE NATIONAL</w:t>
      </w:r>
      <w:bookmarkEnd w:id="4"/>
      <w:bookmarkEnd w:id="5"/>
    </w:p>
    <w:p w:rsidR="00AC7D6E" w:rsidRPr="003256E8" w:rsidRDefault="00AC7D6E" w:rsidP="00D703FD">
      <w:pPr>
        <w:pStyle w:val="Heading2"/>
        <w:rPr>
          <w:rFonts w:ascii="Times New Roman" w:eastAsia="Times New Roman" w:hAnsi="Times New Roman"/>
          <w:i w:val="0"/>
          <w:sz w:val="22"/>
          <w:szCs w:val="22"/>
        </w:rPr>
      </w:pPr>
      <w:bookmarkStart w:id="6" w:name="_Toc323821454"/>
      <w:bookmarkStart w:id="7" w:name="_Toc327979087"/>
      <w:r>
        <w:rPr>
          <w:rFonts w:ascii="Times New Roman" w:hAnsi="Times New Roman"/>
          <w:i w:val="0"/>
          <w:sz w:val="22"/>
        </w:rPr>
        <w:t>A.</w:t>
      </w:r>
      <w:r>
        <w:tab/>
      </w:r>
      <w:r>
        <w:rPr>
          <w:rFonts w:ascii="Times New Roman" w:hAnsi="Times New Roman"/>
          <w:i w:val="0"/>
          <w:sz w:val="22"/>
        </w:rPr>
        <w:t>Contexte économique et politique général</w:t>
      </w:r>
      <w:bookmarkEnd w:id="6"/>
      <w:bookmarkEnd w:id="7"/>
    </w:p>
    <w:p w:rsidR="00AC7D6E" w:rsidRPr="003256E8" w:rsidRDefault="00AC7D6E" w:rsidP="00216D00">
      <w:pPr>
        <w:jc w:val="both"/>
        <w:rPr>
          <w:rFonts w:ascii="Times New Roman" w:eastAsia="Times New Roman" w:hAnsi="Times New Roman"/>
          <w:sz w:val="22"/>
          <w:szCs w:val="22"/>
        </w:rPr>
      </w:pPr>
    </w:p>
    <w:p w:rsidR="009D5BC0" w:rsidRPr="003256E8" w:rsidRDefault="00216D00" w:rsidP="009D5BC0">
      <w:pPr>
        <w:jc w:val="both"/>
        <w:rPr>
          <w:rFonts w:ascii="Times New Roman" w:eastAsia="Times New Roman" w:hAnsi="Times New Roman"/>
          <w:sz w:val="22"/>
          <w:szCs w:val="22"/>
        </w:rPr>
      </w:pPr>
      <w:r>
        <w:rPr>
          <w:rFonts w:ascii="Times New Roman" w:hAnsi="Times New Roman"/>
          <w:sz w:val="22"/>
        </w:rPr>
        <w:t>4.</w:t>
      </w:r>
      <w:r>
        <w:tab/>
      </w:r>
      <w:r>
        <w:rPr>
          <w:rFonts w:ascii="Times New Roman" w:hAnsi="Times New Roman"/>
          <w:b/>
          <w:sz w:val="22"/>
        </w:rPr>
        <w:t>La Tunisie est un pays à revenu intermédiaire avec une population essentiellement urbaine de 10 millions d'habitants</w:t>
      </w:r>
      <w:r>
        <w:rPr>
          <w:rFonts w:ascii="Times New Roman" w:hAnsi="Times New Roman"/>
          <w:sz w:val="22"/>
        </w:rPr>
        <w:t xml:space="preserve">. Après son accession à l'indépendance de la France en 1956, la Tunisie a instauré un système présidentiel fortement centralisé avec des secteurs clés de l'économie nationalisés et gérés par l'État. Les recettes tirées des principales ressources naturelles — notamment le pétrole, le gaz naturel et les phosphates — ont contribué à alimenter la croissance et les investissements destinés à diversifier l'économie au début des années 70. Le Gouvernement a établi un régime offshore libéral attirant des investissements directs étrangers (IDE) en provenance de l'Europe, il a développé de nouvelles industries axées sur l'exportation (y compris textiles et vêtements), et a donné la priorité au développement humain en investissant fortement dans la protection sociale, l'éducation et les infrastructures de base. </w:t>
      </w:r>
    </w:p>
    <w:p w:rsidR="009D5BC0" w:rsidRPr="003256E8" w:rsidRDefault="009D5BC0" w:rsidP="009D5BC0">
      <w:pPr>
        <w:jc w:val="both"/>
        <w:rPr>
          <w:rFonts w:ascii="Times New Roman" w:eastAsia="Times New Roman" w:hAnsi="Times New Roman"/>
          <w:b/>
          <w:sz w:val="22"/>
          <w:szCs w:val="22"/>
        </w:rPr>
      </w:pPr>
    </w:p>
    <w:p w:rsidR="006314C4" w:rsidRPr="003256E8" w:rsidRDefault="00854CF7"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Tunisie a renforcé la diversification de son économie hors industries extractives dans les années 90, elle a libéralisé le commerce et investi dans des programmes sociaux</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Ces réformes ont contribué à la création de nouveaux marchés d'exportation, notamment de matériel électrique et mécanique vers les marchés européens. À la suite de difficultés économiques dans les années 80 (dues à la chute des prix du pétrole et de la production), la performance de croissance solide du milieu des années 90 et dans les années 2000 a été le fruit d'une gestion macroéconomique prudente. La croissance annuelle moyenne de 5 % de la Tunisie (de 1997 à 2007) l'a classée parmi les pays de la région MENA affichant les plus fortes croissances (moyenne de 4,3 %). Le niveau de vie tunisien dépassait celui de la plupart de ses voisins, avec un revenu moyen</w:t>
      </w:r>
      <w:r>
        <w:rPr>
          <w:rStyle w:val="FootnoteReference"/>
          <w:rFonts w:ascii="Times New Roman" w:hAnsi="Times New Roman"/>
          <w:sz w:val="22"/>
        </w:rPr>
        <w:footnoteReference w:id="4"/>
      </w:r>
      <w:r>
        <w:rPr>
          <w:rFonts w:ascii="Times New Roman" w:hAnsi="Times New Roman"/>
          <w:sz w:val="22"/>
        </w:rPr>
        <w:t xml:space="preserve"> de 4 160 dollars en 2010 — plus élevé que celui de l'Algérie, de l'Égypte et du Maroc. Des recettes élevées ont permis au Gouvernement de continuer à investir fortement dans l'éducation et les programmes sociaux et de créer le Fonds national de solidarité et le Fonds national de l'emploi en vue d'améliorer les infrastructures dans les zones défavorisées et de promouvoir des opportunités d'emploi.</w:t>
      </w:r>
    </w:p>
    <w:p w:rsidR="00D43E32" w:rsidRPr="003256E8" w:rsidRDefault="00D43E32" w:rsidP="00D43E32">
      <w:pPr>
        <w:autoSpaceDE w:val="0"/>
        <w:autoSpaceDN w:val="0"/>
        <w:adjustRightInd w:val="0"/>
        <w:rPr>
          <w:rFonts w:ascii="Times New Roman" w:hAnsi="Times New Roman"/>
          <w:sz w:val="22"/>
          <w:szCs w:val="22"/>
        </w:rPr>
      </w:pPr>
    </w:p>
    <w:p w:rsidR="00974A3F" w:rsidRPr="003256E8" w:rsidRDefault="00185689"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Les impressionnants progrès socio-économiques de la Tunisie ont été toutefois entachés de corruption, contrainte et ingérence politique généralisées.</w:t>
      </w:r>
      <w:r>
        <w:rPr>
          <w:rFonts w:ascii="Times New Roman" w:hAnsi="Times New Roman"/>
          <w:sz w:val="22"/>
        </w:rPr>
        <w:t xml:space="preserve"> En Tunisie, l'administration publique a toujours été fortement centralisée avec une concentration des pouvoirs au niveau de la présidence. Le régime du Président Ben Ali a été marqué par un usage abusif de ces pouvoirs et les réformes économiques ont été souvent dévoyées par des privilèges accordés à des membres de la famille du Président et à ses proches collaborateurs pour protéger leurs intérêts personnels et renforcer le contrôle du régime sur le secteur privé. Le Fonds national de solidarité et le Fonds National de l'emploi étaient eux aussi directement contrôlés par le parti du Président et gérés avec peu de transparence. Une part importante de leurs ressources n'ont pas été comptabilisées et ont été distribuées par le biais de réseaux de clientèle. De nombreux entrepreneurs tunisiens hésitaient à investir dans le pays face à l'ampleur de la corruption et au manque de transparence et de primauté du droit.</w:t>
      </w:r>
    </w:p>
    <w:p w:rsidR="00D44DE1" w:rsidRDefault="00D44DE1">
      <w:pPr>
        <w:pStyle w:val="ListParagraph"/>
        <w:ind w:left="0"/>
        <w:jc w:val="both"/>
        <w:rPr>
          <w:rFonts w:ascii="Times New Roman" w:hAnsi="Times New Roman"/>
          <w:b/>
          <w:sz w:val="22"/>
          <w:szCs w:val="22"/>
        </w:rPr>
      </w:pPr>
    </w:p>
    <w:p w:rsidR="00F55F63" w:rsidRPr="003256E8" w:rsidRDefault="006A79D0" w:rsidP="00BE735C">
      <w:pPr>
        <w:pStyle w:val="ListParagraph"/>
        <w:numPr>
          <w:ilvl w:val="0"/>
          <w:numId w:val="44"/>
        </w:numPr>
        <w:ind w:left="0" w:firstLine="0"/>
        <w:jc w:val="both"/>
        <w:rPr>
          <w:rFonts w:ascii="Times New Roman" w:hAnsi="Times New Roman"/>
          <w:b/>
          <w:sz w:val="22"/>
          <w:szCs w:val="22"/>
        </w:rPr>
      </w:pPr>
      <w:r>
        <w:rPr>
          <w:rFonts w:ascii="Times New Roman" w:hAnsi="Times New Roman"/>
          <w:b/>
          <w:sz w:val="22"/>
        </w:rPr>
        <w:t>Une toile complexe d'interventions politiques a été la source d'inefficacités et de distorsions, se soldant par un niveau d'investissement faible, une croissance limitée et une création d'emplois insuffisante et de qualité médiocre.</w:t>
      </w:r>
      <w:r>
        <w:rPr>
          <w:rFonts w:ascii="Times New Roman" w:hAnsi="Times New Roman"/>
          <w:sz w:val="22"/>
        </w:rPr>
        <w:t xml:space="preserve"> Alors que le secteur privé national était désavantagé par des réglementations injustes et par les appétits du régime, les entreprises </w:t>
      </w:r>
      <w:r w:rsidRPr="006D6057">
        <w:rPr>
          <w:rFonts w:ascii="Times New Roman" w:hAnsi="Times New Roman"/>
          <w:i/>
          <w:sz w:val="22"/>
        </w:rPr>
        <w:t>offshore</w:t>
      </w:r>
      <w:r>
        <w:rPr>
          <w:rFonts w:ascii="Times New Roman" w:hAnsi="Times New Roman"/>
          <w:sz w:val="22"/>
        </w:rPr>
        <w:t xml:space="preserve"> ont bénéficié d'importantes incitations à investir, y compris des avantages fiscaux, des exigences réglementaires simplifiées et des salaires concurrentiels.</w:t>
      </w:r>
      <w:r w:rsidR="006D6057">
        <w:rPr>
          <w:rFonts w:ascii="Times New Roman" w:hAnsi="Times New Roman"/>
          <w:sz w:val="22"/>
        </w:rPr>
        <w:t xml:space="preserve"> </w:t>
      </w:r>
      <w:r>
        <w:rPr>
          <w:rFonts w:ascii="Times New Roman" w:hAnsi="Times New Roman"/>
          <w:sz w:val="22"/>
        </w:rPr>
        <w:t xml:space="preserve">Des pans entiers de l'économie nationale n'étaient pas ouverts aux échanges commerciaux et à la concurrence (au moyen d'obstacles non tarifaires, de limites sur les investissements étrangers, de concessions ad hoc et de droits de monopole). Des réglementations rigides déformaient également le marché </w:t>
      </w:r>
      <w:r>
        <w:rPr>
          <w:rFonts w:ascii="Times New Roman" w:hAnsi="Times New Roman"/>
          <w:sz w:val="22"/>
        </w:rPr>
        <w:lastRenderedPageBreak/>
        <w:t>du travail. Pour réduire les coûts de la main d'œuvre, les employeurs préféraient des contrats souples à court terme qui n'offrent aucune sécurité de l'emploi aux travailleurs. Au cours de cette période, la Tunisie a vu s'établir un déséquilibre structurel croissant avec une demande de main d'œuvre privilégiant les emplois non qualifiés, tandis que le système éducatif produisait un afflux croissant de main-d'œuvre qualifiée</w:t>
      </w:r>
      <w:r>
        <w:rPr>
          <w:rStyle w:val="FootnoteReference"/>
          <w:rFonts w:ascii="Times New Roman" w:hAnsi="Times New Roman"/>
          <w:sz w:val="22"/>
        </w:rPr>
        <w:footnoteReference w:id="5"/>
      </w:r>
      <w:r>
        <w:rPr>
          <w:rFonts w:ascii="Times New Roman" w:hAnsi="Times New Roman"/>
          <w:sz w:val="22"/>
        </w:rPr>
        <w:t>. Le chômage a touché de plus en plus les jeunes (15-29 ans) et les diplômés dont le taux de chômage a atteint 44 % en 2010.</w:t>
      </w:r>
      <w:r w:rsidR="006D6057">
        <w:rPr>
          <w:rFonts w:ascii="Times New Roman" w:hAnsi="Times New Roman"/>
          <w:sz w:val="22"/>
        </w:rPr>
        <w:t xml:space="preserve"> </w:t>
      </w:r>
      <w:r>
        <w:rPr>
          <w:rFonts w:ascii="Times New Roman" w:hAnsi="Times New Roman"/>
          <w:sz w:val="22"/>
        </w:rPr>
        <w:t>Avec un taux de chômage élevé, le népotisme est devenu un canal essentiel de distribution d'emplois et d'avantages sous le contrôle strict du parti présidentiel au pouvoir, alimentant une frustration sociale grandissante, notamment chez les jeunes</w:t>
      </w:r>
      <w:r>
        <w:rPr>
          <w:rStyle w:val="FootnoteReference"/>
          <w:rFonts w:ascii="Times New Roman" w:hAnsi="Times New Roman"/>
          <w:sz w:val="22"/>
        </w:rPr>
        <w:footnoteReference w:id="6"/>
      </w:r>
      <w:r>
        <w:rPr>
          <w:rFonts w:ascii="Times New Roman" w:hAnsi="Times New Roman"/>
          <w:sz w:val="22"/>
        </w:rPr>
        <w:t xml:space="preserve">. </w:t>
      </w:r>
    </w:p>
    <w:p w:rsidR="001633A6" w:rsidRPr="003256E8" w:rsidRDefault="001633A6" w:rsidP="001633A6">
      <w:pPr>
        <w:pStyle w:val="ListParagraph"/>
        <w:rPr>
          <w:rFonts w:ascii="Times New Roman" w:hAnsi="Times New Roman"/>
          <w:b/>
          <w:sz w:val="22"/>
          <w:szCs w:val="22"/>
        </w:rPr>
      </w:pPr>
    </w:p>
    <w:p w:rsidR="00E745E9" w:rsidRPr="003256E8" w:rsidRDefault="00183FDA"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Contribuant à ces déséquilibres, la croissance — quelle qu'en soit la forme — s'est concentrée dans les zones côtières au profit de l'élite du pays.</w:t>
      </w:r>
      <w:r w:rsidR="006D6057">
        <w:rPr>
          <w:rFonts w:ascii="Times New Roman" w:hAnsi="Times New Roman"/>
          <w:b/>
          <w:sz w:val="22"/>
        </w:rPr>
        <w:t xml:space="preserve"> </w:t>
      </w:r>
      <w:r>
        <w:rPr>
          <w:rFonts w:ascii="Times New Roman" w:hAnsi="Times New Roman"/>
          <w:sz w:val="22"/>
        </w:rPr>
        <w:t xml:space="preserve">De nombreuses populations pauvres des zones rurales et urbaines, notamment dans les régions de l'intérieur, n'ont pas été touchées par la prospérité résultant de la croissance soutenue. Alors que les villes côtières produisaient l'essentiel des richesses du pays — 85 % du PIB de la Tunisie — les régions de l'intérieur et l'arrière-pays sont restés pauvres avec des taux de pauvreté beaucoup plus élevés. Ceci a creusé les inégalités socio-économiques entre les régions, aggravant les tensions sociales. </w:t>
      </w:r>
    </w:p>
    <w:p w:rsidR="006314C4" w:rsidRPr="003256E8" w:rsidRDefault="006314C4">
      <w:pPr>
        <w:pStyle w:val="ListParagraph"/>
        <w:rPr>
          <w:rFonts w:ascii="Times New Roman" w:hAnsi="Times New Roman"/>
          <w:sz w:val="22"/>
          <w:szCs w:val="22"/>
        </w:rPr>
      </w:pPr>
    </w:p>
    <w:p w:rsidR="006314C4" w:rsidRPr="003256E8" w:rsidRDefault="00AF0ABB" w:rsidP="00BE735C">
      <w:pPr>
        <w:pStyle w:val="ListParagraph"/>
        <w:numPr>
          <w:ilvl w:val="0"/>
          <w:numId w:val="44"/>
        </w:numPr>
        <w:ind w:left="0" w:firstLine="0"/>
        <w:jc w:val="both"/>
        <w:rPr>
          <w:rFonts w:ascii="Times New Roman" w:hAnsi="Times New Roman"/>
          <w:sz w:val="22"/>
          <w:szCs w:val="22"/>
        </w:rPr>
      </w:pPr>
      <w:r>
        <w:rPr>
          <w:rFonts w:ascii="Times New Roman" w:hAnsi="Times New Roman"/>
          <w:sz w:val="22"/>
        </w:rPr>
        <w:t xml:space="preserve"> </w:t>
      </w:r>
      <w:r>
        <w:rPr>
          <w:rFonts w:ascii="Times New Roman" w:hAnsi="Times New Roman"/>
          <w:b/>
          <w:sz w:val="22"/>
        </w:rPr>
        <w:t>Le régime de Ben Ali, avec son étroit contrôle politique du pays et ses mesures répressives, a découragé la responsabilité et la transparence publiques et interdit aux citoyens de s'exprimer.</w:t>
      </w:r>
      <w:r w:rsidR="006D6057">
        <w:rPr>
          <w:rFonts w:ascii="Times New Roman" w:hAnsi="Times New Roman"/>
          <w:sz w:val="22"/>
        </w:rPr>
        <w:t xml:space="preserve"> </w:t>
      </w:r>
      <w:r>
        <w:rPr>
          <w:rFonts w:ascii="Times New Roman" w:hAnsi="Times New Roman"/>
          <w:color w:val="000000"/>
          <w:sz w:val="22"/>
        </w:rPr>
        <w:t>En l'absence de mécanismes de contrôle et de contrepoids, l'exécutif a joui d'un contrôle quasiment illimité sur le discours politique et l'élaboration des politiques. Il n'existait pas de réglementation des conflits d'intérêts, ni de revues indépendantes de l'exécutif ou du législatif qui se caractérisaient l'un et l'autre par un manque de responsabilité, et les exigences en matière de déclaration du patrimoine n'étaient pas appliquées. La liberté d'association était presque inexistante. Les organisations politiques n'avaient pas accès à un enregistrement légal et les partis d'opposition n'étaient pas autorisés à tenir des réunions publiques.</w:t>
      </w:r>
      <w:r w:rsidR="006D6057">
        <w:rPr>
          <w:rFonts w:ascii="Times New Roman" w:hAnsi="Times New Roman"/>
          <w:color w:val="000000"/>
          <w:sz w:val="22"/>
        </w:rPr>
        <w:t xml:space="preserve"> </w:t>
      </w:r>
      <w:r>
        <w:rPr>
          <w:rFonts w:ascii="Times New Roman" w:hAnsi="Times New Roman"/>
          <w:sz w:val="22"/>
        </w:rPr>
        <w:t>Le système judiciaire était contrôlé par le régime et manquait d'indépendance.</w:t>
      </w:r>
      <w:r>
        <w:rPr>
          <w:rFonts w:ascii="Times New Roman" w:hAnsi="Times New Roman"/>
          <w:color w:val="000000"/>
          <w:sz w:val="22"/>
        </w:rPr>
        <w:t xml:space="preserve"> Les informations diffusées sur les programmes gouvernementaux ou les statistiques économiques étaient très limitées. Les bases de données utilisées pour produire les statistiques de pauvreté n'ont jamais été publiées, faisant naître des doutes quant à leur véracité. </w:t>
      </w:r>
      <w:r>
        <w:rPr>
          <w:rFonts w:ascii="Times New Roman" w:hAnsi="Times New Roman"/>
          <w:sz w:val="22"/>
        </w:rPr>
        <w:t xml:space="preserve">Toute presse critique ou radio/télévision indépendante était interdite ; la censure de l'internet était considérablement élargie, les comptes de messagerie personnels étaient surveillés, les sites Web bloqués et les cafés internet soumis à une supervision. </w:t>
      </w:r>
      <w:r>
        <w:rPr>
          <w:rFonts w:ascii="Times New Roman" w:hAnsi="Times New Roman"/>
          <w:color w:val="000000"/>
          <w:sz w:val="22"/>
        </w:rPr>
        <w:t>En l'absence d'élections libres et avec des organisations de la société civile soumises à une récupération politique systématique, il était impossible de faire entendre la voix citoyenne.</w:t>
      </w:r>
      <w:r w:rsidR="006D6057">
        <w:rPr>
          <w:rFonts w:ascii="Times New Roman" w:hAnsi="Times New Roman"/>
          <w:color w:val="000000"/>
          <w:sz w:val="22"/>
        </w:rPr>
        <w:t xml:space="preserve"> </w:t>
      </w:r>
      <w:r>
        <w:rPr>
          <w:rFonts w:ascii="Times New Roman" w:hAnsi="Times New Roman"/>
          <w:sz w:val="22"/>
        </w:rPr>
        <w:t>L'absence de participation citoyenne, de transparence et de responsabilité, conjuguée à la baisse du niveau de vie, a forgé les instruments clefs de la révolution.</w:t>
      </w:r>
    </w:p>
    <w:p w:rsidR="00F55F63" w:rsidRPr="003256E8" w:rsidRDefault="00F55F63">
      <w:pPr>
        <w:pStyle w:val="ListParagraph"/>
        <w:rPr>
          <w:rFonts w:ascii="Times New Roman" w:hAnsi="Times New Roman"/>
          <w:b/>
          <w:sz w:val="22"/>
          <w:szCs w:val="22"/>
        </w:rPr>
      </w:pPr>
    </w:p>
    <w:p w:rsidR="00C832D6" w:rsidRDefault="00FC64C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La Tunisie se trouve aujourd'hui à un tournant, aux prises à des défis et des opportunités sans précédent. </w:t>
      </w:r>
      <w:r>
        <w:rPr>
          <w:rFonts w:ascii="Times New Roman" w:hAnsi="Times New Roman"/>
          <w:sz w:val="22"/>
        </w:rPr>
        <w:t>Alors que le Gouvernement de l'Assemblée constituante navigue dans les territoires inexplorés de la transition politique, il dispose d'une opportunité exceptionnelle pour jeter les bases d'un nouveau contrat social et économique encourageant une croissance plus inclusive.</w:t>
      </w:r>
      <w:r>
        <w:rPr>
          <w:rFonts w:ascii="Times New Roman" w:hAnsi="Times New Roman"/>
          <w:b/>
          <w:sz w:val="22"/>
        </w:rPr>
        <w:t xml:space="preserve"> </w:t>
      </w:r>
      <w:r>
        <w:rPr>
          <w:rFonts w:ascii="Times New Roman" w:hAnsi="Times New Roman"/>
          <w:sz w:val="22"/>
        </w:rPr>
        <w:t xml:space="preserve">Le défi immédiat pour les autorités est de promouvoir une reprise économique partagée et de répondre aux exigences de la révolution en matière de renforcement de la participation citoyenne, de responsabilisation de l'État et d'opportunités pour assurer la réussite de la transition politique. En parallèle, le Gouvernement doit aller de l'avant avec des réformes qui permettront à la Tunisie de passer d'une économie à faible valeur ajoutée et faible coût à une économie à plus forte valeur ajoutée et intensive en connaissance, capable de réduire le chômage, son principal défi. </w:t>
      </w:r>
    </w:p>
    <w:p w:rsidR="00C832D6" w:rsidRPr="00C832D6" w:rsidRDefault="00C832D6" w:rsidP="00C832D6">
      <w:pPr>
        <w:pStyle w:val="ListParagraph"/>
        <w:rPr>
          <w:rFonts w:ascii="Times New Roman" w:hAnsi="Times New Roman"/>
          <w:sz w:val="22"/>
          <w:szCs w:val="22"/>
        </w:rPr>
      </w:pPr>
    </w:p>
    <w:p w:rsidR="00D44DE1" w:rsidRDefault="00FC64CF">
      <w:pPr>
        <w:pStyle w:val="ListParagraph"/>
        <w:numPr>
          <w:ilvl w:val="0"/>
          <w:numId w:val="4"/>
        </w:numPr>
        <w:ind w:left="0" w:firstLine="0"/>
        <w:outlineLvl w:val="1"/>
        <w:rPr>
          <w:rFonts w:ascii="Times New Roman" w:eastAsia="Times New Roman" w:hAnsi="Times New Roman"/>
          <w:b/>
          <w:bCs/>
          <w:sz w:val="22"/>
          <w:szCs w:val="22"/>
        </w:rPr>
      </w:pPr>
      <w:bookmarkStart w:id="8" w:name="_Toc323821455"/>
      <w:bookmarkStart w:id="9" w:name="_Toc327979088"/>
      <w:r>
        <w:rPr>
          <w:rFonts w:ascii="Times New Roman" w:hAnsi="Times New Roman"/>
          <w:b/>
          <w:sz w:val="22"/>
        </w:rPr>
        <w:t>Évolution récente de la situation politique</w:t>
      </w:r>
      <w:bookmarkEnd w:id="8"/>
      <w:bookmarkEnd w:id="9"/>
    </w:p>
    <w:p w:rsidR="00BC5E99" w:rsidRPr="003256E8" w:rsidRDefault="00BC5E99" w:rsidP="00001B3A">
      <w:pPr>
        <w:shd w:val="clear" w:color="auto" w:fill="FFFFFF"/>
        <w:jc w:val="both"/>
        <w:rPr>
          <w:rFonts w:ascii="Times New Roman" w:eastAsia="Times New Roman" w:hAnsi="Times New Roman"/>
          <w:b/>
          <w:bCs/>
          <w:sz w:val="22"/>
          <w:szCs w:val="22"/>
        </w:rPr>
      </w:pPr>
    </w:p>
    <w:p w:rsidR="006314C4" w:rsidRPr="003256E8" w:rsidRDefault="00AF0ABB" w:rsidP="00BE735C">
      <w:pPr>
        <w:pStyle w:val="ListParagraph"/>
        <w:numPr>
          <w:ilvl w:val="0"/>
          <w:numId w:val="44"/>
        </w:numPr>
        <w:ind w:left="0" w:firstLine="0"/>
        <w:jc w:val="both"/>
        <w:rPr>
          <w:rFonts w:ascii="Times New Roman" w:eastAsia="Times New Roman" w:hAnsi="Times New Roman"/>
          <w:bCs/>
          <w:sz w:val="22"/>
          <w:szCs w:val="22"/>
        </w:rPr>
      </w:pPr>
      <w:r>
        <w:rPr>
          <w:rFonts w:ascii="Times New Roman" w:hAnsi="Times New Roman"/>
          <w:b/>
          <w:sz w:val="22"/>
        </w:rPr>
        <w:t>La Tunisie a achevé avec succès la première phase de sa transition politique vers une démocratie multipartite.</w:t>
      </w:r>
      <w:r>
        <w:rPr>
          <w:rFonts w:ascii="Times New Roman" w:hAnsi="Times New Roman"/>
          <w:sz w:val="22"/>
        </w:rPr>
        <w:t xml:space="preserve"> Dans la foulée de la révolution de février 2011, un Gouvernement intérimaire a prêté serment et a été chargé d'organiser des élections nationales pour élire une Assemblée constituante chargée de rédiger une nouvelle constitution. Le Gouvernement intérimaire a cherché à assurer une pleine représentation des partis politiques éligibles et une préparation adéquate des listes électorales. Le 23 octobre 2011, 90 % des 4,1 millions d'électeurs inscrits ont participé à ces élections qui ont été déclarées libres et équitables par les observateurs internationaux</w:t>
      </w:r>
      <w:r>
        <w:rPr>
          <w:rStyle w:val="FootnoteReference"/>
          <w:rFonts w:ascii="Times New Roman" w:hAnsi="Times New Roman"/>
          <w:sz w:val="22"/>
        </w:rPr>
        <w:footnoteReference w:id="7"/>
      </w:r>
      <w:r>
        <w:rPr>
          <w:rFonts w:ascii="Times New Roman" w:hAnsi="Times New Roman"/>
          <w:sz w:val="22"/>
        </w:rPr>
        <w:t xml:space="preserve">. </w:t>
      </w:r>
    </w:p>
    <w:p w:rsidR="00946D2E" w:rsidRPr="003256E8" w:rsidRDefault="00946D2E" w:rsidP="00946D2E">
      <w:pPr>
        <w:shd w:val="clear" w:color="auto" w:fill="FFFFFF"/>
        <w:jc w:val="both"/>
        <w:rPr>
          <w:rFonts w:ascii="Times New Roman" w:eastAsia="Times New Roman" w:hAnsi="Times New Roman"/>
          <w:bCs/>
          <w:sz w:val="22"/>
          <w:szCs w:val="22"/>
        </w:rPr>
      </w:pPr>
    </w:p>
    <w:p w:rsidR="00F95C60" w:rsidRPr="003256E8" w:rsidRDefault="00946D2E" w:rsidP="00BE735C">
      <w:pPr>
        <w:pStyle w:val="ListParagraph"/>
        <w:numPr>
          <w:ilvl w:val="0"/>
          <w:numId w:val="44"/>
        </w:numPr>
        <w:ind w:left="0" w:firstLine="0"/>
        <w:jc w:val="both"/>
        <w:rPr>
          <w:rFonts w:ascii="Times New Roman" w:eastAsia="Times New Roman" w:hAnsi="Times New Roman"/>
          <w:bCs/>
          <w:sz w:val="22"/>
          <w:szCs w:val="22"/>
        </w:rPr>
      </w:pPr>
      <w:r>
        <w:rPr>
          <w:rFonts w:ascii="Times New Roman" w:hAnsi="Times New Roman"/>
          <w:b/>
          <w:sz w:val="22"/>
        </w:rPr>
        <w:t>Ennahda, le parti islamiste modéré autrefois interdit, a remporté le plus grand nombre de sièges, avec 89 sièges, soit 40 % des 217 sièges de l'Assemblée constituante, ce qui en fait le premier des partis au pouvoir.</w:t>
      </w:r>
      <w:r w:rsidR="006D6057">
        <w:rPr>
          <w:rFonts w:ascii="Times New Roman" w:hAnsi="Times New Roman"/>
          <w:sz w:val="22"/>
        </w:rPr>
        <w:t xml:space="preserve"> </w:t>
      </w:r>
      <w:r>
        <w:rPr>
          <w:rFonts w:ascii="Times New Roman" w:hAnsi="Times New Roman"/>
          <w:sz w:val="22"/>
        </w:rPr>
        <w:t>Il a formé un gouvernement de coalition avec deux partis politiques laïques, le Congrès pour la République (CPR), qui a obtenu 9 % des sièges, et Ettakatol, le parti social-démocrate, à 7 %. En vertu de l'accord négocié par les trois partis, Moncef Marzouki du CPR a été nommé Président de la République, Hamadi Jebali du Ennahdah a été nommé Chef du Gouvernement et Premier ministre, et Mustapha Ben Jaafar du Ettakatol est devenu le Président de l'Assemblée constituante.</w:t>
      </w:r>
      <w:r w:rsidR="006D6057">
        <w:rPr>
          <w:rFonts w:ascii="Times New Roman" w:hAnsi="Times New Roman"/>
          <w:sz w:val="22"/>
        </w:rPr>
        <w:t xml:space="preserve"> </w:t>
      </w:r>
      <w:r>
        <w:rPr>
          <w:rFonts w:ascii="Times New Roman" w:hAnsi="Times New Roman"/>
          <w:sz w:val="22"/>
        </w:rPr>
        <w:t>Le nouveau cabinet, qui comprend des membres d'Ennahda, du CPR et d'Ettakatol, et des ministres indépendants, a été confirmé le 23 décembre 2011 par l'Assemblée constituante.</w:t>
      </w:r>
    </w:p>
    <w:p w:rsidR="00946D2E" w:rsidRPr="003256E8" w:rsidRDefault="00946D2E" w:rsidP="00946D2E">
      <w:pPr>
        <w:shd w:val="clear" w:color="auto" w:fill="FFFFFF"/>
        <w:jc w:val="both"/>
        <w:rPr>
          <w:rFonts w:ascii="Times New Roman" w:eastAsia="Times New Roman" w:hAnsi="Times New Roman"/>
          <w:bCs/>
          <w:sz w:val="22"/>
          <w:szCs w:val="22"/>
        </w:rPr>
      </w:pPr>
    </w:p>
    <w:p w:rsidR="00946D2E" w:rsidRPr="00D43673" w:rsidRDefault="00946D2E" w:rsidP="00BE735C">
      <w:pPr>
        <w:pStyle w:val="ListParagraph"/>
        <w:numPr>
          <w:ilvl w:val="0"/>
          <w:numId w:val="44"/>
        </w:numPr>
        <w:ind w:left="0" w:firstLine="0"/>
        <w:jc w:val="both"/>
        <w:rPr>
          <w:rFonts w:ascii="Times New Roman" w:eastAsia="Times New Roman" w:hAnsi="Times New Roman"/>
          <w:bCs/>
          <w:sz w:val="22"/>
          <w:szCs w:val="22"/>
        </w:rPr>
      </w:pPr>
      <w:r>
        <w:rPr>
          <w:rFonts w:ascii="Times New Roman" w:hAnsi="Times New Roman"/>
          <w:b/>
          <w:sz w:val="22"/>
        </w:rPr>
        <w:t xml:space="preserve"> Le Gouvernement de coalition piloté par Ennahda a adopté une position politique modérée et a réitéré son appui à une constitution laïque, neutre sur le plan religieux, au maintien du statut des femmes et son intention de travailler avec des partenaires internationaux.</w:t>
      </w:r>
      <w:r>
        <w:rPr>
          <w:rFonts w:ascii="Times New Roman" w:hAnsi="Times New Roman"/>
          <w:sz w:val="22"/>
        </w:rPr>
        <w:t xml:space="preserve"> Au cours des premiers mois de 2012, les partisans d'une ligne dure, appartenant à des groupements laïques et islamistes, se sont fait entendre, provoquant des sit-in, des grèves et des troubles sociaux généralisés. En dépit des assurances d'Ennahda quant à son appui à une constitution pluraliste, neutre sur le plan religieux, maintenant ou faisant progresser les droits des femmes, les groupes laïques craignent que la nouvelle constitution ne soit fondée sur des principes religieux. Témoignant de son engagement à renforcer sa participation à l'économie mondiale et de ses intentions de travailler avec de nombreux partenaires internationaux, le Gouvernement </w:t>
      </w:r>
      <w:r>
        <w:rPr>
          <w:rFonts w:ascii="Times New Roman" w:hAnsi="Times New Roman"/>
          <w:color w:val="000000"/>
          <w:sz w:val="22"/>
        </w:rPr>
        <w:t xml:space="preserve">a eu des entretiens avec l'Union européenne, les pays du Golfe, les États-Unis et les institutions financières internationales telles que le Groupe de la Banque mondiale, la Banque africaine de développement (BAD), la Banque islamique de développement et le FMI, et a engagé des liens avec des partenaires d'autres pays du Maghreb, d'Afrique, d'Asie et d'Amérique du Sud. </w:t>
      </w:r>
    </w:p>
    <w:p w:rsidR="00B0585C" w:rsidRPr="00D43673" w:rsidRDefault="00B0585C" w:rsidP="00B0585C">
      <w:pPr>
        <w:pStyle w:val="ListParagraph"/>
        <w:rPr>
          <w:rFonts w:ascii="Times New Roman" w:eastAsia="Times New Roman" w:hAnsi="Times New Roman"/>
          <w:bCs/>
          <w:sz w:val="22"/>
          <w:szCs w:val="22"/>
        </w:rPr>
      </w:pPr>
    </w:p>
    <w:p w:rsidR="00F55F63" w:rsidRPr="00D43673" w:rsidRDefault="00B0585C" w:rsidP="00BE735C">
      <w:pPr>
        <w:pStyle w:val="ListParagraph"/>
        <w:numPr>
          <w:ilvl w:val="0"/>
          <w:numId w:val="44"/>
        </w:numPr>
        <w:ind w:left="0" w:firstLine="0"/>
        <w:jc w:val="both"/>
        <w:rPr>
          <w:rFonts w:ascii="Times New Roman" w:eastAsia="Times New Roman" w:hAnsi="Times New Roman"/>
          <w:bCs/>
          <w:sz w:val="22"/>
          <w:szCs w:val="22"/>
        </w:rPr>
      </w:pPr>
      <w:r>
        <w:rPr>
          <w:rFonts w:ascii="Times New Roman" w:hAnsi="Times New Roman"/>
          <w:b/>
          <w:sz w:val="22"/>
        </w:rPr>
        <w:t>Le Gouvernement de l'Assemblée constituante a annoncé en mars 2012 que de nouvelles élections seraient organisées au plus tard le 30 juin 2013.</w:t>
      </w:r>
      <w:r w:rsidR="006D6057">
        <w:rPr>
          <w:rFonts w:ascii="Times New Roman" w:hAnsi="Times New Roman"/>
          <w:b/>
          <w:sz w:val="22"/>
        </w:rPr>
        <w:t xml:space="preserve"> </w:t>
      </w:r>
      <w:r>
        <w:rPr>
          <w:rFonts w:ascii="Times New Roman" w:hAnsi="Times New Roman"/>
          <w:color w:val="000000"/>
          <w:sz w:val="22"/>
        </w:rPr>
        <w:t>Après des mois de débats à l'Assemblée constituante sur la question de savoir s'il fallait introduire la Charia comme principal cadre juridique de la nouvelle constitution de la Tunisie, Ennahdha a confirmé qu'il optait pour le maintien de l'Article 1 de la Constitution de 1959 (qui stipule que la Tunisie comme une République libre, souveraine et indépendante).</w:t>
      </w:r>
    </w:p>
    <w:p w:rsidR="00B0585C" w:rsidRPr="00D43673" w:rsidRDefault="00B0585C">
      <w:pPr>
        <w:pStyle w:val="ListParagraph"/>
        <w:ind w:left="0"/>
        <w:rPr>
          <w:rFonts w:ascii="Times New Roman" w:eastAsia="Times New Roman" w:hAnsi="Times New Roman"/>
          <w:bCs/>
          <w:sz w:val="22"/>
          <w:szCs w:val="22"/>
        </w:rPr>
      </w:pPr>
    </w:p>
    <w:p w:rsidR="00D44DE1" w:rsidRDefault="00DA1554">
      <w:pPr>
        <w:pStyle w:val="Heading2"/>
        <w:rPr>
          <w:rFonts w:ascii="Times New Roman" w:eastAsia="Times New Roman" w:hAnsi="Times New Roman"/>
          <w:bCs w:val="0"/>
          <w:i w:val="0"/>
          <w:sz w:val="22"/>
          <w:szCs w:val="22"/>
        </w:rPr>
      </w:pPr>
      <w:bookmarkStart w:id="10" w:name="_Toc327979089"/>
      <w:bookmarkStart w:id="11" w:name="_Toc323821456"/>
      <w:r>
        <w:rPr>
          <w:rFonts w:ascii="Times New Roman" w:hAnsi="Times New Roman"/>
          <w:i w:val="0"/>
          <w:sz w:val="22"/>
        </w:rPr>
        <w:t>C.</w:t>
      </w:r>
      <w:r>
        <w:tab/>
      </w:r>
      <w:r>
        <w:rPr>
          <w:rFonts w:ascii="Times New Roman" w:hAnsi="Times New Roman"/>
          <w:i w:val="0"/>
          <w:sz w:val="22"/>
        </w:rPr>
        <w:t>Évolution récente de la situation économique et perspectives économiques</w:t>
      </w:r>
      <w:bookmarkEnd w:id="10"/>
      <w:r>
        <w:rPr>
          <w:rFonts w:ascii="Times New Roman" w:hAnsi="Times New Roman"/>
          <w:i w:val="0"/>
          <w:sz w:val="22"/>
        </w:rPr>
        <w:t xml:space="preserve"> </w:t>
      </w:r>
      <w:bookmarkEnd w:id="11"/>
    </w:p>
    <w:p w:rsidR="00730D1F" w:rsidRPr="003256E8" w:rsidRDefault="00730D1F" w:rsidP="008F7D4B">
      <w:pPr>
        <w:jc w:val="both"/>
        <w:rPr>
          <w:rFonts w:ascii="Times New Roman" w:eastAsia="Times New Roman" w:hAnsi="Times New Roman"/>
          <w:b/>
          <w:bCs/>
          <w:sz w:val="22"/>
          <w:szCs w:val="22"/>
        </w:rPr>
      </w:pPr>
    </w:p>
    <w:p w:rsidR="0000092C" w:rsidRPr="003256E8" w:rsidRDefault="00570F59" w:rsidP="00BB5F02">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performance économique de la Tunisie s'est fortement dégradée en 2011, alors qu'elle venait de commencer à se relever à la fin de 2010 de la crise mondiale financière, pétrolière et des prix alimentaires.</w:t>
      </w:r>
      <w:r>
        <w:rPr>
          <w:rFonts w:ascii="Times New Roman" w:hAnsi="Times New Roman"/>
          <w:sz w:val="22"/>
        </w:rPr>
        <w:t xml:space="preserve"> </w:t>
      </w:r>
      <w:r>
        <w:rPr>
          <w:rFonts w:ascii="Times New Roman" w:hAnsi="Times New Roman"/>
          <w:color w:val="000000"/>
          <w:sz w:val="22"/>
        </w:rPr>
        <w:t xml:space="preserve">La Tunisie a terminé 2010 avec une position macroéconomique raisonnable et de solides fondements économiques. </w:t>
      </w:r>
      <w:r>
        <w:rPr>
          <w:rFonts w:ascii="Times New Roman" w:hAnsi="Times New Roman"/>
          <w:sz w:val="22"/>
        </w:rPr>
        <w:t xml:space="preserve">Après un ralentissement de la croissance du PIB de 4,5 % à 3,1 % entre 2008 et </w:t>
      </w:r>
      <w:r>
        <w:rPr>
          <w:rFonts w:ascii="Times New Roman" w:hAnsi="Times New Roman"/>
          <w:sz w:val="22"/>
        </w:rPr>
        <w:lastRenderedPageBreak/>
        <w:t>2009, l'économie a commencé à montrer des signes de reprise en 2010 avec une croissance stable à 3 %, le déficit budgétaire s'est réduit, passant de 3 % à 1,3 % du PIB, et le déficit du compte des opérations courantes s'est creusé à 4,8 % du PIB contre 2,8 % en 2009, reflétant une augmentation des importations d'intrants intermédiaires dans le secteur manufacturier (Tableau 1)</w:t>
      </w:r>
      <w:r>
        <w:rPr>
          <w:rStyle w:val="FootnoteReference"/>
          <w:rFonts w:ascii="Times New Roman" w:hAnsi="Times New Roman"/>
          <w:sz w:val="22"/>
        </w:rPr>
        <w:footnoteReference w:id="8"/>
      </w:r>
      <w:r>
        <w:rPr>
          <w:rFonts w:ascii="Times New Roman" w:hAnsi="Times New Roman"/>
          <w:sz w:val="22"/>
        </w:rPr>
        <w:t>. Ceci a permis au Gouvernement de disposer d'un espace budgétaire en 2011 suffisant pour absorber une partie du choc économique causé par la révolution de janvier, les répercussions du conflit libyen</w:t>
      </w:r>
      <w:r>
        <w:rPr>
          <w:rStyle w:val="FootnoteReference"/>
          <w:rFonts w:ascii="Times New Roman" w:hAnsi="Times New Roman"/>
          <w:sz w:val="22"/>
        </w:rPr>
        <w:footnoteReference w:id="9"/>
      </w:r>
      <w:r>
        <w:rPr>
          <w:rFonts w:ascii="Times New Roman" w:hAnsi="Times New Roman"/>
          <w:sz w:val="22"/>
        </w:rPr>
        <w:t xml:space="preserve"> et la crise de la zone euro, notamment la forte baisse du tourisme et des IDE. </w:t>
      </w:r>
    </w:p>
    <w:p w:rsidR="0000092C" w:rsidRPr="003256E8" w:rsidRDefault="0000092C">
      <w:pPr>
        <w:pStyle w:val="ListParagraph"/>
        <w:rPr>
          <w:rFonts w:ascii="Times New Roman" w:hAnsi="Times New Roman"/>
          <w:sz w:val="22"/>
          <w:szCs w:val="22"/>
        </w:rPr>
      </w:pPr>
    </w:p>
    <w:p w:rsidR="00905CDA" w:rsidRPr="003256E8" w:rsidRDefault="00B52D31"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En 2011, le Gouvernement intérimaire a cherché à atténuer l'impact de la révolution sur l'économie et à stimuler la reprise à l'aide d'une combinaison de mesures fiscales et monétaires. </w:t>
      </w:r>
      <w:r>
        <w:rPr>
          <w:rFonts w:ascii="Times New Roman" w:hAnsi="Times New Roman"/>
          <w:sz w:val="22"/>
        </w:rPr>
        <w:t>La réponse macroéconomique des autorités a été rapide et appropriée. Elles ont approuvé un budget supplémentaire en juin 2011 comprenant de nouvelles mesures de dépenses en vue de stimuler l'économie (avec des procédures de passation des marchés simplifiées permettant d'accélérer les projets d'investissements publics), d'accroître l'aide sociale et de fournir des ressources aux régions accusant du retard, là où il était particulièrement nécessaire de créer des emplois et d'offrir des services de base. Ces ressources n'ont cependant pu être absorbées que partiellement dans l'année en raison de la faiblesse des capacités au niveau local</w:t>
      </w:r>
      <w:r>
        <w:rPr>
          <w:rStyle w:val="FootnoteReference"/>
          <w:rFonts w:ascii="Times New Roman" w:hAnsi="Times New Roman"/>
          <w:sz w:val="22"/>
        </w:rPr>
        <w:footnoteReference w:id="10"/>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Pour sa part, la Banque centrale a réduit en 2011 les exigences de réserves obligatoires de 10,5 % à 2 %, tout en fournissant une quantité importante de prêts à court terme aux banques afin d'accroître leurs liquidités et d'encourager les prêts aux entreprises. Elle a également réduit son taux d'intérêt principal de 4,5 à 3,5 % pour stimuler l'accès au crédit et à l'investissement.</w:t>
      </w:r>
    </w:p>
    <w:p w:rsidR="00F55F63" w:rsidRPr="003256E8" w:rsidRDefault="00F55F63">
      <w:pPr>
        <w:pStyle w:val="ListParagraph"/>
        <w:rPr>
          <w:rFonts w:ascii="Times New Roman" w:hAnsi="Times New Roman"/>
          <w:sz w:val="22"/>
          <w:szCs w:val="22"/>
        </w:rPr>
      </w:pPr>
    </w:p>
    <w:p w:rsidR="007A7FA5" w:rsidRPr="00C43BE5" w:rsidRDefault="007A7FA5" w:rsidP="00C43BE5">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En dépit de la saine réaction de politique économique, la croissance a été négative en 2011 et le chômage a augmenté.</w:t>
      </w:r>
      <w:r w:rsidR="006D6057">
        <w:rPr>
          <w:rFonts w:ascii="Times New Roman" w:hAnsi="Times New Roman"/>
          <w:b/>
          <w:sz w:val="22"/>
        </w:rPr>
        <w:t xml:space="preserve"> </w:t>
      </w:r>
      <w:r>
        <w:rPr>
          <w:rFonts w:ascii="Times New Roman" w:hAnsi="Times New Roman"/>
          <w:sz w:val="22"/>
        </w:rPr>
        <w:t>La contraction de l'économie est estimée à -1,8 %, en raison de la chute du tourisme (-35 %), de la production minière (-71 %) et des IDE (-29 %), avec une croissance quasiment nulle des exportations (en termes réels). En réalité, à la suite d'un début de reprise aux deuxième et troisième trimestres de 2011, les résultats se sont sensiblement détériorés au quatrième trimestre du fait de plusieurs facteurs : (i) les exportations en novembre et décembre ont enregistré des taux de croissance négatifs en termes réels en conséquence de la baisse de la demande de l'Europe, et une nouvelle vague de grèves dans les transports et les services de logistique a perturbé l'activité économique ; (ii) la position du secteur du tourisme, qui représente 17% du PIB et 16% de l'emploi et qui s'était améliorée au cours de l'été avec l'afflux des Libyens fuyant la guerre dans leur pays, est revenue aux niveaux atteints avant le mois de juillet (65 % du chiffre d'affaires de 2010) quand la plupart des Libyens sont rentrés chez eux après le conflit ; et (iii) des grèves et des sit-in ont freiné la production et les exportations de phosphates, de pétrole, de gaz et de ciment, tout en retardant l'exécution des projets d'investissements publics.</w:t>
      </w:r>
    </w:p>
    <w:p w:rsidR="00F55F63" w:rsidRPr="003256E8" w:rsidRDefault="00F55F63">
      <w:pPr>
        <w:pStyle w:val="ListParagraph"/>
        <w:tabs>
          <w:tab w:val="left" w:pos="810"/>
        </w:tabs>
        <w:autoSpaceDE w:val="0"/>
        <w:autoSpaceDN w:val="0"/>
        <w:adjustRightInd w:val="0"/>
        <w:ind w:left="0"/>
        <w:jc w:val="both"/>
        <w:rPr>
          <w:rFonts w:ascii="Times New Roman" w:hAnsi="Times New Roman"/>
          <w:sz w:val="22"/>
          <w:szCs w:val="22"/>
        </w:rPr>
      </w:pPr>
    </w:p>
    <w:p w:rsidR="007A7FA5" w:rsidRPr="003256E8" w:rsidRDefault="00F13A5C"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 secteur bancaire tunisien, dont les performances étaient déjà défaillantes avant la révolution, a été encore plus durement touché par le ralentissement économique, en particulier dans le secteur du tourisme</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Des ingérences politiques et la faiblesse de la gouvernance dans le secteur financier ont gravement compromis ses résultats et suscité un nombre élevé de prêts non productifs. Après la révolution, les banques ont été touchées par la baisse marquée dans le secteur du tourisme, à l'origine d'une partie importante des prêts non productifs. La Banque centrale a fourni un appui en liquidité aux banques en 2011 permettant à la croissance du crédit de se poursuivre à 13 % sur l'année, facilitant la restructuration de prêts existants et évitant des faillites.</w:t>
      </w:r>
      <w:r w:rsidR="006D6057">
        <w:rPr>
          <w:rFonts w:ascii="Times New Roman" w:hAnsi="Times New Roman"/>
          <w:sz w:val="22"/>
        </w:rPr>
        <w:t xml:space="preserve"> </w:t>
      </w:r>
      <w:r>
        <w:rPr>
          <w:rFonts w:ascii="Times New Roman" w:hAnsi="Times New Roman"/>
          <w:sz w:val="22"/>
        </w:rPr>
        <w:t xml:space="preserve">Cependant, avec une latitude d'assouplissement de la politique monétaire plus restreinte en 2012 </w:t>
      </w:r>
      <w:r>
        <w:rPr>
          <w:rFonts w:ascii="Times New Roman" w:hAnsi="Times New Roman"/>
          <w:sz w:val="22"/>
        </w:rPr>
        <w:lastRenderedPageBreak/>
        <w:t>et un plus grand nombre d'obligations émises par l'État, le système bancaire risque d'amorcer un resserrement du crédit, gênant le fonctionnement des entreprises et freinant la reprise économique.</w:t>
      </w:r>
    </w:p>
    <w:p w:rsidR="00F55F63" w:rsidRPr="003256E8" w:rsidRDefault="00F55F63">
      <w:pPr>
        <w:pStyle w:val="ListParagraph"/>
        <w:rPr>
          <w:rFonts w:ascii="Times New Roman" w:hAnsi="Times New Roman"/>
          <w:sz w:val="22"/>
          <w:szCs w:val="22"/>
        </w:rPr>
      </w:pPr>
    </w:p>
    <w:p w:rsidR="004E3509" w:rsidRPr="003256E8" w:rsidRDefault="007A7FA5" w:rsidP="00BE735C">
      <w:pPr>
        <w:pStyle w:val="ListParagraph"/>
        <w:numPr>
          <w:ilvl w:val="0"/>
          <w:numId w:val="44"/>
        </w:numPr>
        <w:ind w:left="0" w:firstLine="0"/>
        <w:jc w:val="both"/>
        <w:rPr>
          <w:rFonts w:ascii="Times New Roman" w:hAnsi="Times New Roman"/>
          <w:b/>
          <w:sz w:val="22"/>
          <w:szCs w:val="22"/>
        </w:rPr>
      </w:pPr>
      <w:r>
        <w:rPr>
          <w:rFonts w:ascii="Times New Roman" w:hAnsi="Times New Roman"/>
          <w:b/>
          <w:sz w:val="22"/>
        </w:rPr>
        <w:t xml:space="preserve">Les perspectives économiques demeurent très incertaines et les besoins de financement extérieur risquent de demeurer élevés en 2012 et 2013. </w:t>
      </w:r>
      <w:r>
        <w:rPr>
          <w:rFonts w:ascii="Times New Roman" w:hAnsi="Times New Roman"/>
          <w:sz w:val="22"/>
        </w:rPr>
        <w:t>La situation économique en 2012 devrait rester difficile, avec une croissance du PIB qui restera modérément positive, principalement en raison de l'agitation sociale post-révolution, des perspectives économiques fragiles en Europe et des difficultés de la transition en Libye.</w:t>
      </w:r>
      <w:r w:rsidR="006D6057">
        <w:rPr>
          <w:rFonts w:ascii="Times New Roman" w:hAnsi="Times New Roman"/>
          <w:sz w:val="22"/>
        </w:rPr>
        <w:t xml:space="preserve"> </w:t>
      </w:r>
      <w:r>
        <w:rPr>
          <w:rFonts w:ascii="Times New Roman" w:hAnsi="Times New Roman"/>
          <w:sz w:val="22"/>
        </w:rPr>
        <w:t>Le nombre de grèves et de sit-in a diminué au début de février 2012, mais les tensions sociales ont persisté, liées au chômage élevé et croissant et aux perspectives économiques à court terme difficiles, à un moment où les Tunisiens attendaient de la révolution une amélioration du niveau de vie.</w:t>
      </w:r>
      <w:r w:rsidR="006D6057">
        <w:rPr>
          <w:rFonts w:ascii="Times New Roman" w:hAnsi="Times New Roman"/>
          <w:sz w:val="22"/>
        </w:rPr>
        <w:t xml:space="preserve"> </w:t>
      </w:r>
      <w:r>
        <w:rPr>
          <w:rFonts w:ascii="Times New Roman" w:hAnsi="Times New Roman"/>
          <w:sz w:val="22"/>
        </w:rPr>
        <w:t>L'incertitude au sujet du nouveau leadership a conduit de nombreux investisseurs nationaux et étrangers à adopter une approche attentiste.</w:t>
      </w:r>
      <w:r w:rsidR="006D6057">
        <w:rPr>
          <w:rFonts w:ascii="Times New Roman" w:hAnsi="Times New Roman"/>
          <w:sz w:val="22"/>
        </w:rPr>
        <w:t xml:space="preserve"> </w:t>
      </w:r>
      <w:r>
        <w:rPr>
          <w:rFonts w:ascii="Times New Roman" w:hAnsi="Times New Roman"/>
          <w:sz w:val="22"/>
        </w:rPr>
        <w:t>En outre, les difficultés du secteur financier pourraient mettre en danger la reprise économique. Les autorités disposeront de peu de marge de manœuvre pour une expansion de la masse monétaire supplémentaire en 2012 et seront bridées par l'augmentation des pressions inflationnistes et les risques d'instabilité du secteur financier. Ainsi, la politique budgétaire aura un rôle critique à jouer dans l'année — ou les deux années — prochaine de la transition. Alors que l'objectif des autorités est de réduire les emprunts extérieurs, l'environnement international défavorable et les pressions budgétaires persistantes liées à l'atténuation des tensions sociales seront susceptibles d'inciter à des emprunts publics externes appréciables en 2012-2013.</w:t>
      </w:r>
      <w:r w:rsidR="006D6057">
        <w:rPr>
          <w:rFonts w:ascii="Times New Roman" w:hAnsi="Times New Roman"/>
          <w:sz w:val="22"/>
        </w:rPr>
        <w:t xml:space="preserve"> </w:t>
      </w:r>
      <w:r>
        <w:rPr>
          <w:rFonts w:ascii="Times New Roman" w:hAnsi="Times New Roman"/>
          <w:sz w:val="22"/>
        </w:rPr>
        <w:t>La reprise tunisienne pourrait se consolider en 2014, avec une amélioration de la confiance au plan national et une reprise économique en Libye et dans l'UE, ce qui pourrait faire progresser d'environ 5 % le taux de croissance du PIB.</w:t>
      </w:r>
    </w:p>
    <w:p w:rsidR="00F55F63" w:rsidRDefault="00F55F63" w:rsidP="00F52AA3">
      <w:pPr>
        <w:pStyle w:val="ListParagraph"/>
        <w:ind w:left="0"/>
        <w:rPr>
          <w:rFonts w:ascii="Times New Roman" w:hAnsi="Times New Roman"/>
          <w:sz w:val="23"/>
          <w:szCs w:val="23"/>
        </w:rPr>
      </w:pPr>
    </w:p>
    <w:p w:rsidR="00A45ADE" w:rsidRPr="00705268" w:rsidRDefault="00C11EF3" w:rsidP="00D43382">
      <w:pPr>
        <w:pStyle w:val="Caption"/>
      </w:pPr>
      <w:r>
        <w:tab/>
      </w:r>
      <w:bookmarkStart w:id="12" w:name="_Toc320794890"/>
      <w:bookmarkStart w:id="13" w:name="_Toc327978945"/>
      <w:r>
        <w:t xml:space="preserve">Tableau </w:t>
      </w:r>
      <w:r w:rsidR="00BE3333" w:rsidRPr="00705268">
        <w:fldChar w:fldCharType="begin"/>
      </w:r>
      <w:r w:rsidR="00E95675" w:rsidRPr="00705268">
        <w:instrText xml:space="preserve"> SEQ Table \* ARABIC </w:instrText>
      </w:r>
      <w:r w:rsidR="00BE3333" w:rsidRPr="00705268">
        <w:fldChar w:fldCharType="separate"/>
      </w:r>
      <w:r w:rsidR="002D5CED">
        <w:rPr>
          <w:noProof/>
        </w:rPr>
        <w:t>1</w:t>
      </w:r>
      <w:r w:rsidR="00BE3333" w:rsidRPr="00705268">
        <w:fldChar w:fldCharType="end"/>
      </w:r>
      <w:r>
        <w:t>. Tunisie : Sélection d'indicateurs macroéconomiques, 2010-2014</w:t>
      </w:r>
      <w:bookmarkEnd w:id="12"/>
      <w:bookmarkEnd w:id="13"/>
    </w:p>
    <w:tbl>
      <w:tblPr>
        <w:tblW w:w="9483" w:type="dxa"/>
        <w:tblInd w:w="93" w:type="dxa"/>
        <w:tblLook w:val="04A0"/>
      </w:tblPr>
      <w:tblGrid>
        <w:gridCol w:w="4375"/>
        <w:gridCol w:w="950"/>
        <w:gridCol w:w="831"/>
        <w:gridCol w:w="1109"/>
        <w:gridCol w:w="1109"/>
        <w:gridCol w:w="1109"/>
      </w:tblGrid>
      <w:tr w:rsidR="00D6561B" w:rsidRPr="00A45ADE" w:rsidTr="00A45ADE">
        <w:trPr>
          <w:trHeight w:val="306"/>
        </w:trPr>
        <w:tc>
          <w:tcPr>
            <w:tcW w:w="4375" w:type="dxa"/>
            <w:tcBorders>
              <w:top w:val="single" w:sz="8" w:space="0" w:color="auto"/>
              <w:left w:val="nil"/>
              <w:bottom w:val="nil"/>
              <w:right w:val="single" w:sz="4" w:space="0" w:color="auto"/>
            </w:tcBorders>
            <w:shd w:val="clear" w:color="000000" w:fill="D8D8D8"/>
            <w:noWrap/>
            <w:vAlign w:val="bottom"/>
            <w:hideMark/>
          </w:tcPr>
          <w:p w:rsidR="00D6561B" w:rsidRPr="003B0382" w:rsidRDefault="00FC64CF" w:rsidP="004C2786">
            <w:pPr>
              <w:rPr>
                <w:rFonts w:ascii="Times New Roman" w:eastAsia="Times New Roman" w:hAnsi="Times New Roman"/>
                <w:sz w:val="21"/>
                <w:szCs w:val="21"/>
              </w:rPr>
            </w:pPr>
            <w:r>
              <w:rPr>
                <w:rFonts w:ascii="Times New Roman" w:hAnsi="Times New Roman"/>
                <w:sz w:val="21"/>
              </w:rPr>
              <w:t> </w:t>
            </w:r>
          </w:p>
        </w:tc>
        <w:tc>
          <w:tcPr>
            <w:tcW w:w="950" w:type="dxa"/>
            <w:tcBorders>
              <w:top w:val="single" w:sz="8" w:space="0" w:color="auto"/>
              <w:left w:val="nil"/>
              <w:bottom w:val="nil"/>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2010</w:t>
            </w:r>
          </w:p>
        </w:tc>
        <w:tc>
          <w:tcPr>
            <w:tcW w:w="831" w:type="dxa"/>
            <w:tcBorders>
              <w:top w:val="single" w:sz="8" w:space="0" w:color="auto"/>
              <w:left w:val="nil"/>
              <w:bottom w:val="nil"/>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2011</w:t>
            </w:r>
          </w:p>
        </w:tc>
        <w:tc>
          <w:tcPr>
            <w:tcW w:w="1109" w:type="dxa"/>
            <w:tcBorders>
              <w:top w:val="single" w:sz="8" w:space="0" w:color="auto"/>
              <w:left w:val="nil"/>
              <w:bottom w:val="nil"/>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2012</w:t>
            </w:r>
          </w:p>
        </w:tc>
        <w:tc>
          <w:tcPr>
            <w:tcW w:w="1109" w:type="dxa"/>
            <w:tcBorders>
              <w:top w:val="single" w:sz="8" w:space="0" w:color="auto"/>
              <w:left w:val="nil"/>
              <w:bottom w:val="nil"/>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2013</w:t>
            </w:r>
          </w:p>
        </w:tc>
        <w:tc>
          <w:tcPr>
            <w:tcW w:w="1109" w:type="dxa"/>
            <w:tcBorders>
              <w:top w:val="single" w:sz="8" w:space="0" w:color="auto"/>
              <w:left w:val="nil"/>
              <w:bottom w:val="nil"/>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2014</w:t>
            </w:r>
          </w:p>
        </w:tc>
      </w:tr>
      <w:tr w:rsidR="00D6561B" w:rsidRPr="00A45ADE" w:rsidTr="00A45ADE">
        <w:trPr>
          <w:trHeight w:val="230"/>
        </w:trPr>
        <w:tc>
          <w:tcPr>
            <w:tcW w:w="4375" w:type="dxa"/>
            <w:tcBorders>
              <w:top w:val="nil"/>
              <w:left w:val="nil"/>
              <w:bottom w:val="single" w:sz="8" w:space="0" w:color="auto"/>
              <w:right w:val="single" w:sz="4" w:space="0" w:color="auto"/>
            </w:tcBorders>
            <w:shd w:val="clear" w:color="000000" w:fill="D8D8D8"/>
            <w:noWrap/>
            <w:vAlign w:val="bottom"/>
            <w:hideMark/>
          </w:tcPr>
          <w:p w:rsidR="00D6561B" w:rsidRPr="003B0382" w:rsidRDefault="00FC64CF" w:rsidP="004C2786">
            <w:pPr>
              <w:rPr>
                <w:rFonts w:ascii="Times New Roman" w:eastAsia="Times New Roman" w:hAnsi="Times New Roman"/>
                <w:sz w:val="21"/>
                <w:szCs w:val="21"/>
              </w:rPr>
            </w:pPr>
            <w:r>
              <w:rPr>
                <w:rFonts w:ascii="Times New Roman" w:hAnsi="Times New Roman"/>
                <w:sz w:val="21"/>
              </w:rPr>
              <w:t> </w:t>
            </w:r>
          </w:p>
        </w:tc>
        <w:tc>
          <w:tcPr>
            <w:tcW w:w="950" w:type="dxa"/>
            <w:tcBorders>
              <w:top w:val="nil"/>
              <w:left w:val="nil"/>
              <w:bottom w:val="single" w:sz="8" w:space="0" w:color="auto"/>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Réel</w:t>
            </w:r>
          </w:p>
        </w:tc>
        <w:tc>
          <w:tcPr>
            <w:tcW w:w="831" w:type="dxa"/>
            <w:tcBorders>
              <w:top w:val="nil"/>
              <w:left w:val="nil"/>
              <w:bottom w:val="single" w:sz="8" w:space="0" w:color="auto"/>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Est.</w:t>
            </w:r>
          </w:p>
        </w:tc>
        <w:tc>
          <w:tcPr>
            <w:tcW w:w="1109" w:type="dxa"/>
            <w:tcBorders>
              <w:top w:val="nil"/>
              <w:left w:val="nil"/>
              <w:bottom w:val="single" w:sz="8" w:space="0" w:color="auto"/>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Proj.</w:t>
            </w:r>
          </w:p>
        </w:tc>
        <w:tc>
          <w:tcPr>
            <w:tcW w:w="1109" w:type="dxa"/>
            <w:tcBorders>
              <w:top w:val="nil"/>
              <w:left w:val="nil"/>
              <w:bottom w:val="single" w:sz="8" w:space="0" w:color="auto"/>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Proj.</w:t>
            </w:r>
          </w:p>
        </w:tc>
        <w:tc>
          <w:tcPr>
            <w:tcW w:w="1109" w:type="dxa"/>
            <w:tcBorders>
              <w:top w:val="nil"/>
              <w:left w:val="nil"/>
              <w:bottom w:val="single" w:sz="8" w:space="0" w:color="auto"/>
              <w:right w:val="nil"/>
            </w:tcBorders>
            <w:shd w:val="clear" w:color="000000" w:fill="D8D8D8"/>
            <w:noWrap/>
            <w:vAlign w:val="bottom"/>
            <w:hideMark/>
          </w:tcPr>
          <w:p w:rsidR="00D6561B" w:rsidRPr="003B0382" w:rsidRDefault="00FC64CF" w:rsidP="004C2786">
            <w:pPr>
              <w:jc w:val="right"/>
              <w:rPr>
                <w:rFonts w:ascii="Times New Roman" w:eastAsia="Times New Roman" w:hAnsi="Times New Roman"/>
                <w:sz w:val="21"/>
                <w:szCs w:val="21"/>
              </w:rPr>
            </w:pPr>
            <w:r>
              <w:rPr>
                <w:rFonts w:ascii="Times New Roman" w:hAnsi="Times New Roman"/>
                <w:sz w:val="21"/>
              </w:rPr>
              <w:t>Proj.</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 xml:space="preserve">Taux de croissance du PIB réel </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3,0 %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-1,8 %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2,4 %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3,7 %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4,9 %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Croissance des exportations réelles BSNF</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4,8 %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2,0 %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3,4 %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5,5 %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4,6 %</w:t>
            </w:r>
          </w:p>
        </w:tc>
      </w:tr>
      <w:tr w:rsidR="00A45ADE" w:rsidRPr="00A45ADE" w:rsidTr="00A45ADE">
        <w:trPr>
          <w:trHeight w:val="306"/>
        </w:trPr>
        <w:tc>
          <w:tcPr>
            <w:tcW w:w="4375" w:type="dxa"/>
            <w:tcBorders>
              <w:top w:val="nil"/>
              <w:left w:val="nil"/>
              <w:bottom w:val="nil"/>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Croissance des importations réelles BSNF</w:t>
            </w:r>
          </w:p>
        </w:tc>
        <w:tc>
          <w:tcPr>
            <w:tcW w:w="950" w:type="dxa"/>
            <w:tcBorders>
              <w:top w:val="nil"/>
              <w:left w:val="nil"/>
              <w:bottom w:val="nil"/>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3,8 %</w:t>
            </w:r>
          </w:p>
        </w:tc>
        <w:tc>
          <w:tcPr>
            <w:tcW w:w="831" w:type="dxa"/>
            <w:tcBorders>
              <w:top w:val="nil"/>
              <w:left w:val="nil"/>
              <w:bottom w:val="nil"/>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-5,0 %</w:t>
            </w:r>
          </w:p>
        </w:tc>
        <w:tc>
          <w:tcPr>
            <w:tcW w:w="1109" w:type="dxa"/>
            <w:tcBorders>
              <w:top w:val="nil"/>
              <w:left w:val="nil"/>
              <w:bottom w:val="nil"/>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1,4 %</w:t>
            </w:r>
          </w:p>
        </w:tc>
        <w:tc>
          <w:tcPr>
            <w:tcW w:w="1109" w:type="dxa"/>
            <w:tcBorders>
              <w:top w:val="nil"/>
              <w:left w:val="nil"/>
              <w:bottom w:val="nil"/>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8,3 %</w:t>
            </w:r>
          </w:p>
        </w:tc>
        <w:tc>
          <w:tcPr>
            <w:tcW w:w="1109" w:type="dxa"/>
            <w:tcBorders>
              <w:top w:val="nil"/>
              <w:left w:val="nil"/>
              <w:bottom w:val="nil"/>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4,7 %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Inflation (déflateur du PIB)</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4,7 %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3,5 %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6,8 %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4,1 %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3,8 %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Investissement national brut (taux de croissance réel)</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0,7 %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-4,5 %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hAnsi="Times New Roman"/>
                <w:sz w:val="21"/>
              </w:rPr>
            </w:pPr>
            <w:r>
              <w:rPr>
                <w:rFonts w:ascii="Times New Roman" w:hAnsi="Times New Roman"/>
                <w:sz w:val="21"/>
              </w:rPr>
              <w:t>9,8 %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hAnsi="Times New Roman"/>
                <w:sz w:val="21"/>
              </w:rPr>
            </w:pPr>
            <w:r>
              <w:rPr>
                <w:rFonts w:ascii="Times New Roman" w:hAnsi="Times New Roman"/>
                <w:sz w:val="21"/>
              </w:rPr>
              <w:t>6,2 %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8,2 %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Investissement national brut (% du PIB)</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26,4 %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A45ADE" w:rsidP="004C2786">
            <w:pPr>
              <w:jc w:val="right"/>
              <w:rPr>
                <w:rFonts w:ascii="Times New Roman" w:eastAsia="Times New Roman" w:hAnsi="Times New Roman"/>
                <w:sz w:val="21"/>
                <w:szCs w:val="21"/>
              </w:rPr>
            </w:pPr>
            <w:r>
              <w:rPr>
                <w:rFonts w:ascii="Times New Roman" w:hAnsi="Times New Roman"/>
                <w:sz w:val="21"/>
              </w:rPr>
              <w:t>23,2 %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24,9 %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25,5 %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26,3 %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Équilibre budgétaire (hors subventions et privatisation, % du PIB)</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-1,3 %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A45ADE" w:rsidP="004C2786">
            <w:pPr>
              <w:jc w:val="right"/>
              <w:rPr>
                <w:rFonts w:ascii="Times New Roman" w:eastAsia="Times New Roman" w:hAnsi="Times New Roman"/>
                <w:sz w:val="21"/>
                <w:szCs w:val="21"/>
              </w:rPr>
            </w:pPr>
            <w:r>
              <w:rPr>
                <w:rFonts w:ascii="Times New Roman" w:hAnsi="Times New Roman"/>
                <w:sz w:val="21"/>
              </w:rPr>
              <w:t>-3,7 %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-6,6 %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-4,8 %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-4,3 %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Solde primaire (hors subventions et privatisation, % du PIB)</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0,5 %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A45ADE" w:rsidP="004C2786">
            <w:pPr>
              <w:jc w:val="right"/>
              <w:rPr>
                <w:rFonts w:ascii="Times New Roman" w:eastAsia="Times New Roman" w:hAnsi="Times New Roman"/>
                <w:sz w:val="21"/>
                <w:szCs w:val="21"/>
              </w:rPr>
            </w:pPr>
            <w:r>
              <w:rPr>
                <w:rFonts w:ascii="Times New Roman" w:hAnsi="Times New Roman"/>
                <w:sz w:val="21"/>
              </w:rPr>
              <w:t>-3,5 %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-5,3 %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-3,4 %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-2,8 %</w:t>
            </w:r>
          </w:p>
        </w:tc>
      </w:tr>
      <w:tr w:rsidR="00A45ADE" w:rsidRPr="00A45ADE" w:rsidTr="00A45ADE">
        <w:trPr>
          <w:trHeight w:val="306"/>
        </w:trPr>
        <w:tc>
          <w:tcPr>
            <w:tcW w:w="4375" w:type="dxa"/>
            <w:tcBorders>
              <w:top w:val="nil"/>
              <w:left w:val="nil"/>
              <w:bottom w:val="single" w:sz="4" w:space="0" w:color="auto"/>
              <w:right w:val="single" w:sz="4" w:space="0" w:color="auto"/>
            </w:tcBorders>
            <w:shd w:val="clear" w:color="000000" w:fill="FFFFFF"/>
            <w:noWrap/>
            <w:vAlign w:val="center"/>
            <w:hideMark/>
          </w:tcPr>
          <w:p w:rsidR="00A45ADE" w:rsidRPr="003B0382" w:rsidRDefault="00FC64CF" w:rsidP="004C2786">
            <w:pPr>
              <w:rPr>
                <w:rFonts w:ascii="Times New Roman" w:eastAsia="Times New Roman" w:hAnsi="Times New Roman"/>
                <w:sz w:val="21"/>
                <w:szCs w:val="21"/>
              </w:rPr>
            </w:pPr>
            <w:r>
              <w:rPr>
                <w:rFonts w:ascii="Times New Roman" w:hAnsi="Times New Roman"/>
                <w:sz w:val="21"/>
              </w:rPr>
              <w:t>Solde du compte courant (% du PIB)</w:t>
            </w:r>
          </w:p>
        </w:tc>
        <w:tc>
          <w:tcPr>
            <w:tcW w:w="950" w:type="dxa"/>
            <w:tcBorders>
              <w:top w:val="nil"/>
              <w:left w:val="nil"/>
              <w:bottom w:val="single" w:sz="4" w:space="0" w:color="auto"/>
              <w:right w:val="nil"/>
            </w:tcBorders>
            <w:shd w:val="clear" w:color="000000" w:fill="FFFFFF"/>
            <w:noWrap/>
            <w:vAlign w:val="center"/>
            <w:hideMark/>
          </w:tcPr>
          <w:p w:rsidR="00A45ADE" w:rsidRPr="003B0382" w:rsidRDefault="00FC64CF" w:rsidP="004C2786">
            <w:pPr>
              <w:jc w:val="right"/>
              <w:rPr>
                <w:rFonts w:ascii="Times New Roman" w:eastAsia="Times New Roman" w:hAnsi="Times New Roman"/>
                <w:sz w:val="21"/>
                <w:szCs w:val="21"/>
              </w:rPr>
            </w:pPr>
            <w:r>
              <w:rPr>
                <w:rFonts w:ascii="Times New Roman" w:hAnsi="Times New Roman"/>
                <w:sz w:val="21"/>
              </w:rPr>
              <w:t>-4,8 %</w:t>
            </w:r>
          </w:p>
        </w:tc>
        <w:tc>
          <w:tcPr>
            <w:tcW w:w="831" w:type="dxa"/>
            <w:tcBorders>
              <w:top w:val="nil"/>
              <w:left w:val="nil"/>
              <w:bottom w:val="single" w:sz="4" w:space="0" w:color="auto"/>
              <w:right w:val="nil"/>
            </w:tcBorders>
            <w:shd w:val="clear" w:color="000000" w:fill="FFFFFF"/>
            <w:noWrap/>
            <w:vAlign w:val="center"/>
            <w:hideMark/>
          </w:tcPr>
          <w:p w:rsidR="00A45ADE" w:rsidRPr="003B0382" w:rsidRDefault="00A45ADE" w:rsidP="004C2786">
            <w:pPr>
              <w:jc w:val="right"/>
              <w:rPr>
                <w:rFonts w:ascii="Times New Roman" w:eastAsia="Times New Roman" w:hAnsi="Times New Roman"/>
                <w:sz w:val="21"/>
                <w:szCs w:val="21"/>
              </w:rPr>
            </w:pPr>
            <w:r>
              <w:rPr>
                <w:rFonts w:ascii="Times New Roman" w:hAnsi="Times New Roman"/>
                <w:sz w:val="21"/>
              </w:rPr>
              <w:t>-7,4 %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-7,7 %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-7,0 %</w:t>
            </w:r>
          </w:p>
        </w:tc>
        <w:tc>
          <w:tcPr>
            <w:tcW w:w="1109" w:type="dxa"/>
            <w:tcBorders>
              <w:top w:val="nil"/>
              <w:left w:val="nil"/>
              <w:bottom w:val="single" w:sz="4" w:space="0" w:color="auto"/>
              <w:right w:val="nil"/>
            </w:tcBorders>
            <w:shd w:val="clear" w:color="000000" w:fill="B8CCE4"/>
            <w:noWrap/>
            <w:vAlign w:val="center"/>
            <w:hideMark/>
          </w:tcPr>
          <w:p w:rsidR="00A45ADE" w:rsidRPr="003B0382" w:rsidRDefault="001101D7" w:rsidP="004C2786">
            <w:pPr>
              <w:jc w:val="right"/>
              <w:rPr>
                <w:rFonts w:ascii="Times New Roman" w:eastAsia="Times New Roman" w:hAnsi="Times New Roman"/>
                <w:sz w:val="21"/>
                <w:szCs w:val="21"/>
              </w:rPr>
            </w:pPr>
            <w:r>
              <w:rPr>
                <w:rFonts w:ascii="Times New Roman" w:hAnsi="Times New Roman"/>
                <w:sz w:val="21"/>
              </w:rPr>
              <w:t>-6,9 %</w:t>
            </w:r>
          </w:p>
        </w:tc>
      </w:tr>
    </w:tbl>
    <w:p w:rsidR="00C80AA0" w:rsidRDefault="00D6561B" w:rsidP="00AA0BD0">
      <w:pPr>
        <w:spacing w:after="240"/>
        <w:jc w:val="both"/>
        <w:rPr>
          <w:rFonts w:ascii="Times New Roman" w:hAnsi="Times New Roman"/>
          <w:i/>
          <w:sz w:val="20"/>
          <w:szCs w:val="20"/>
        </w:rPr>
      </w:pPr>
      <w:r>
        <w:rPr>
          <w:rFonts w:ascii="Times New Roman" w:hAnsi="Times New Roman"/>
          <w:i/>
          <w:sz w:val="20"/>
        </w:rPr>
        <w:t xml:space="preserve">Source : </w:t>
      </w:r>
      <w:r>
        <w:rPr>
          <w:rFonts w:ascii="Times New Roman" w:hAnsi="Times New Roman"/>
          <w:i/>
          <w:color w:val="000000"/>
          <w:sz w:val="20"/>
        </w:rPr>
        <w:t>Autorités tunisiennes, estimations de l'équipe de la Banque mondiale</w:t>
      </w:r>
    </w:p>
    <w:p w:rsidR="00057311" w:rsidRDefault="00057311">
      <w:pPr>
        <w:rPr>
          <w:rFonts w:ascii="Times New Roman" w:hAnsi="Times New Roman"/>
          <w:i/>
          <w:sz w:val="20"/>
          <w:szCs w:val="20"/>
        </w:rPr>
      </w:pPr>
      <w:r>
        <w:br w:type="page"/>
      </w:r>
    </w:p>
    <w:p w:rsidR="00D44DE1" w:rsidRDefault="00051543">
      <w:pPr>
        <w:pStyle w:val="ListParagraph"/>
        <w:numPr>
          <w:ilvl w:val="0"/>
          <w:numId w:val="5"/>
        </w:numPr>
        <w:tabs>
          <w:tab w:val="left" w:pos="810"/>
        </w:tabs>
        <w:autoSpaceDE w:val="0"/>
        <w:autoSpaceDN w:val="0"/>
        <w:adjustRightInd w:val="0"/>
        <w:ind w:left="0" w:firstLine="0"/>
        <w:jc w:val="both"/>
        <w:outlineLvl w:val="1"/>
        <w:rPr>
          <w:rFonts w:ascii="Times New Roman" w:hAnsi="Times New Roman"/>
          <w:b/>
          <w:sz w:val="22"/>
          <w:szCs w:val="22"/>
        </w:rPr>
      </w:pPr>
      <w:bookmarkStart w:id="14" w:name="_Toc323821457"/>
      <w:bookmarkStart w:id="15" w:name="_Toc327979090"/>
      <w:r>
        <w:rPr>
          <w:rFonts w:ascii="Times New Roman" w:hAnsi="Times New Roman"/>
          <w:b/>
          <w:sz w:val="22"/>
        </w:rPr>
        <w:lastRenderedPageBreak/>
        <w:t>Viabilité de la dette</w:t>
      </w:r>
      <w:bookmarkEnd w:id="14"/>
      <w:bookmarkEnd w:id="15"/>
      <w:r>
        <w:rPr>
          <w:rFonts w:ascii="Times New Roman" w:hAnsi="Times New Roman"/>
          <w:b/>
          <w:sz w:val="22"/>
        </w:rPr>
        <w:t xml:space="preserve"> </w:t>
      </w:r>
    </w:p>
    <w:p w:rsidR="00170B94" w:rsidRPr="00170B94" w:rsidRDefault="00170B94" w:rsidP="00170B94">
      <w:pPr>
        <w:pStyle w:val="ListParagraph"/>
        <w:tabs>
          <w:tab w:val="left" w:pos="810"/>
        </w:tabs>
        <w:autoSpaceDE w:val="0"/>
        <w:autoSpaceDN w:val="0"/>
        <w:adjustRightInd w:val="0"/>
        <w:ind w:left="90"/>
        <w:jc w:val="both"/>
        <w:outlineLvl w:val="1"/>
        <w:rPr>
          <w:rFonts w:ascii="Times New Roman" w:hAnsi="Times New Roman"/>
          <w:b/>
          <w:sz w:val="22"/>
          <w:szCs w:val="22"/>
        </w:rPr>
      </w:pPr>
    </w:p>
    <w:p w:rsidR="00F55F63" w:rsidRPr="00705268" w:rsidRDefault="009D399D"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L'emprunt public requis pour répondre au ralentissement économique ne met pas en danger la viabilité budgétaire et la viabilité de la dette de la Tunisie. </w:t>
      </w:r>
      <w:r>
        <w:rPr>
          <w:rFonts w:ascii="Times New Roman" w:hAnsi="Times New Roman"/>
          <w:sz w:val="22"/>
        </w:rPr>
        <w:t>La dette publique de la Tunisie a baissé dans les années précédant 2011.</w:t>
      </w:r>
      <w:r>
        <w:rPr>
          <w:rFonts w:ascii="Times New Roman" w:hAnsi="Times New Roman"/>
          <w:b/>
          <w:sz w:val="22"/>
        </w:rPr>
        <w:t xml:space="preserve"> </w:t>
      </w:r>
      <w:r>
        <w:rPr>
          <w:rFonts w:ascii="Times New Roman" w:hAnsi="Times New Roman"/>
          <w:sz w:val="22"/>
        </w:rPr>
        <w:t>Une gestion prudente de la dette et une croissance durable ont permis de réduire la dette publique de 52 % du PIB en 2005 à 40 % en 2010, dont près de 25 % de dette extérieure. La dette extérieure totale est revenue de 60 % du PIB en 2004 à 46 % du PIB en 2010 (dont 37 % du PIB étaient des dettes à moyen et long termes). Tandis que l'encours de la dette extérieure demeure assez élevé, sa composition indique un niveau de risque assez limité pour la viabilité de la dette.</w:t>
      </w:r>
      <w:r w:rsidR="006D6057">
        <w:rPr>
          <w:rFonts w:ascii="Times New Roman" w:hAnsi="Times New Roman"/>
          <w:sz w:val="22"/>
        </w:rPr>
        <w:t xml:space="preserve"> </w:t>
      </w:r>
      <w:r>
        <w:rPr>
          <w:rFonts w:ascii="Times New Roman" w:hAnsi="Times New Roman"/>
          <w:sz w:val="22"/>
        </w:rPr>
        <w:t xml:space="preserve">L'augmentation de la dette publique et de la dette extérieure devraient représenter environ 4 % du PIB en 2011, à la suite des besoins de financement associés à la réponse à la crise. Les niveaux d'endettement projetés devraient augmenter pour atteindre 46 % du PIB en 2012, et environ 50 % du PIB en 2014. Bien que ce niveau reste tolérable par comparaison avec les seuils de viabilité habituels de la dette, il exigera cependant de revenir rapidement à une politique budgétaire plus resserrée. Afin de vérifier que le niveau des emprunts reste fiscalement viable, en particulier si la performance économique s'affaiblit davantage, la Banque réalise actuellement une Analyse de la viabilité du budget et de la dette en collaboration avec les autorités, et en consultation avec le FMI, qui devrait être finalisée en mai 2012. </w:t>
      </w:r>
    </w:p>
    <w:p w:rsidR="002B5305" w:rsidRPr="00705268" w:rsidRDefault="002B5305" w:rsidP="002B5305">
      <w:pPr>
        <w:pStyle w:val="ListParagraph"/>
        <w:tabs>
          <w:tab w:val="left" w:pos="810"/>
        </w:tabs>
        <w:autoSpaceDE w:val="0"/>
        <w:autoSpaceDN w:val="0"/>
        <w:adjustRightInd w:val="0"/>
        <w:ind w:left="90"/>
        <w:jc w:val="both"/>
        <w:rPr>
          <w:rFonts w:ascii="Times New Roman" w:hAnsi="Times New Roman"/>
          <w:sz w:val="22"/>
          <w:szCs w:val="22"/>
        </w:rPr>
      </w:pPr>
    </w:p>
    <w:p w:rsidR="00D44DE1" w:rsidRDefault="00051543">
      <w:pPr>
        <w:pStyle w:val="ListParagraph"/>
        <w:numPr>
          <w:ilvl w:val="0"/>
          <w:numId w:val="5"/>
        </w:numPr>
        <w:ind w:left="0" w:firstLine="0"/>
        <w:jc w:val="both"/>
        <w:outlineLvl w:val="1"/>
        <w:rPr>
          <w:rFonts w:ascii="Times New Roman" w:hAnsi="Times New Roman"/>
          <w:b/>
          <w:sz w:val="22"/>
          <w:szCs w:val="22"/>
        </w:rPr>
      </w:pPr>
      <w:bookmarkStart w:id="16" w:name="_Toc323821458"/>
      <w:bookmarkStart w:id="17" w:name="_Toc327979091"/>
      <w:r>
        <w:rPr>
          <w:rFonts w:ascii="Times New Roman" w:hAnsi="Times New Roman"/>
          <w:b/>
          <w:sz w:val="22"/>
        </w:rPr>
        <w:t>Contexte social</w:t>
      </w:r>
      <w:bookmarkEnd w:id="16"/>
      <w:bookmarkEnd w:id="17"/>
      <w:r>
        <w:rPr>
          <w:rFonts w:ascii="Times New Roman" w:hAnsi="Times New Roman"/>
          <w:b/>
          <w:sz w:val="22"/>
        </w:rPr>
        <w:t xml:space="preserve"> </w:t>
      </w:r>
    </w:p>
    <w:p w:rsidR="00E951DF" w:rsidRPr="00705268" w:rsidRDefault="00E951DF" w:rsidP="00E951DF">
      <w:pPr>
        <w:ind w:left="720"/>
        <w:jc w:val="both"/>
        <w:rPr>
          <w:rFonts w:ascii="Times New Roman" w:hAnsi="Times New Roman"/>
          <w:b/>
          <w:sz w:val="22"/>
          <w:szCs w:val="22"/>
        </w:rPr>
      </w:pPr>
    </w:p>
    <w:p w:rsidR="00E951DF" w:rsidRPr="00705268" w:rsidRDefault="00E951D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Alors que la Tunisie est en bonne voie pour atteindre les ODM, des données récentes montrent que les taux de pauvreté et d'inégalité sont plus élevés que ce qui avait été précédemment annoncé.</w:t>
      </w:r>
      <w:r>
        <w:rPr>
          <w:rFonts w:ascii="Times New Roman" w:hAnsi="Times New Roman"/>
          <w:sz w:val="22"/>
        </w:rPr>
        <w:t xml:space="preserve"> La croissance économique et les investissements publics en matière de développement humain ont permis d'afficher des améliorations remarquables des indicateurs (Tableau 2). Toutefois, les taux de pauvreté ont été minimisés pendant de nombreuses années à une époque où la Tunisie maintenait une définition du seuil de pauvreté très basse, à peine suffisante pour assurer la survie et la consommation alimentaire. En septembre 2011, l'Institut national de la statistique, rompant avec le passé, a revu à la hausse les estimations de la pauvreté pour 2005, passant de 3,8 % à 11,8 % de la population en utilisant une définition plus adéquate du seuil de la pauvreté. Pour la première fois, les estimations de la pauvreté ont été ventilées par région, allant d'un taux faible de 5-7 % dans la région du Centre-Est et du Grand Tunis à un taux élevé de 29 % dans la région du Centre-Ouest du pays (voir la Figure 1).</w:t>
      </w:r>
      <w:r>
        <w:rPr>
          <w:rStyle w:val="FootnoteReference"/>
          <w:rFonts w:ascii="Times New Roman" w:hAnsi="Times New Roman"/>
          <w:sz w:val="22"/>
        </w:rPr>
        <w:t xml:space="preserve"> </w:t>
      </w:r>
    </w:p>
    <w:p w:rsidR="00166E7D" w:rsidRDefault="00166E7D" w:rsidP="00B54C23">
      <w:pPr>
        <w:pStyle w:val="ListParagraph"/>
        <w:rPr>
          <w:rFonts w:ascii="Times New Roman" w:hAnsi="Times New Roman"/>
          <w:b/>
          <w:sz w:val="22"/>
          <w:szCs w:val="22"/>
        </w:rPr>
      </w:pPr>
    </w:p>
    <w:p w:rsidR="00166E7D" w:rsidRPr="00705268" w:rsidRDefault="00166E7D" w:rsidP="00D43382">
      <w:pPr>
        <w:pStyle w:val="Caption"/>
      </w:pPr>
      <w:bookmarkStart w:id="18" w:name="_Toc320794891"/>
      <w:bookmarkStart w:id="19" w:name="_Toc327978946"/>
      <w:r>
        <w:t xml:space="preserve">Tableau </w:t>
      </w:r>
      <w:r w:rsidR="00BE3333">
        <w:fldChar w:fldCharType="begin"/>
      </w:r>
      <w:r w:rsidR="00FE2941">
        <w:instrText xml:space="preserve"> SEQ Table \* ARABIC </w:instrText>
      </w:r>
      <w:r w:rsidR="00BE3333">
        <w:fldChar w:fldCharType="separate"/>
      </w:r>
      <w:r w:rsidR="002D5CED">
        <w:rPr>
          <w:noProof/>
        </w:rPr>
        <w:t>2</w:t>
      </w:r>
      <w:r w:rsidR="00BE3333">
        <w:fldChar w:fldCharType="end"/>
      </w:r>
      <w:r>
        <w:t>. Indicateurs sociaux clés</w:t>
      </w:r>
      <w:bookmarkEnd w:id="18"/>
      <w:bookmarkEnd w:id="19"/>
    </w:p>
    <w:tbl>
      <w:tblPr>
        <w:tblW w:w="9450" w:type="dxa"/>
        <w:tblInd w:w="108" w:type="dxa"/>
        <w:tblLook w:val="04A0"/>
      </w:tblPr>
      <w:tblGrid>
        <w:gridCol w:w="4770"/>
        <w:gridCol w:w="810"/>
        <w:gridCol w:w="810"/>
        <w:gridCol w:w="810"/>
        <w:gridCol w:w="2250"/>
      </w:tblGrid>
      <w:tr w:rsidR="00166E7D" w:rsidRPr="009B559A" w:rsidTr="00057311">
        <w:trPr>
          <w:trHeight w:val="300"/>
        </w:trPr>
        <w:tc>
          <w:tcPr>
            <w:tcW w:w="4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166E7D" w:rsidRPr="00B132B4" w:rsidRDefault="00166E7D" w:rsidP="00057311">
            <w:pPr>
              <w:rPr>
                <w:rFonts w:ascii="Times New Roman" w:eastAsia="Times New Roman" w:hAnsi="Times New Roman"/>
                <w:b/>
                <w:color w:val="000000"/>
                <w:sz w:val="21"/>
                <w:szCs w:val="21"/>
              </w:rPr>
            </w:pPr>
            <w:r>
              <w:rPr>
                <w:rFonts w:ascii="Times New Roman" w:hAnsi="Times New Roman"/>
                <w:b/>
                <w:color w:val="000000"/>
                <w:sz w:val="21"/>
              </w:rPr>
              <w:t> Indicateur</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66E7D" w:rsidRPr="009B559A" w:rsidRDefault="00166E7D" w:rsidP="00057311">
            <w:pPr>
              <w:jc w:val="center"/>
              <w:rPr>
                <w:rFonts w:ascii="Times New Roman" w:eastAsia="Times New Roman" w:hAnsi="Times New Roman"/>
                <w:b/>
                <w:bCs/>
                <w:color w:val="000000"/>
                <w:sz w:val="21"/>
                <w:szCs w:val="21"/>
              </w:rPr>
            </w:pPr>
            <w:r>
              <w:rPr>
                <w:rFonts w:ascii="Times New Roman" w:hAnsi="Times New Roman"/>
                <w:b/>
                <w:color w:val="000000"/>
                <w:sz w:val="21"/>
              </w:rPr>
              <w:t>1990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66E7D" w:rsidRPr="009B559A" w:rsidRDefault="00166E7D" w:rsidP="00057311">
            <w:pPr>
              <w:jc w:val="center"/>
              <w:rPr>
                <w:rFonts w:ascii="Times New Roman" w:eastAsia="Times New Roman" w:hAnsi="Times New Roman"/>
                <w:b/>
                <w:bCs/>
                <w:color w:val="000000"/>
                <w:sz w:val="21"/>
                <w:szCs w:val="21"/>
              </w:rPr>
            </w:pPr>
            <w:r>
              <w:rPr>
                <w:rFonts w:ascii="Times New Roman" w:hAnsi="Times New Roman"/>
                <w:b/>
                <w:color w:val="000000"/>
                <w:sz w:val="21"/>
              </w:rPr>
              <w:t>2000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66E7D" w:rsidRPr="009B559A" w:rsidRDefault="00166E7D" w:rsidP="00057311">
            <w:pPr>
              <w:jc w:val="center"/>
              <w:rPr>
                <w:rFonts w:ascii="Times New Roman" w:eastAsia="Times New Roman" w:hAnsi="Times New Roman"/>
                <w:b/>
                <w:bCs/>
                <w:color w:val="000000"/>
                <w:sz w:val="21"/>
                <w:szCs w:val="21"/>
              </w:rPr>
            </w:pPr>
            <w:r>
              <w:rPr>
                <w:rFonts w:ascii="Times New Roman" w:hAnsi="Times New Roman"/>
                <w:b/>
                <w:color w:val="000000"/>
                <w:sz w:val="21"/>
              </w:rPr>
              <w:t>2008</w:t>
            </w:r>
          </w:p>
        </w:tc>
        <w:tc>
          <w:tcPr>
            <w:tcW w:w="225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166E7D" w:rsidRPr="009B559A" w:rsidRDefault="00166E7D" w:rsidP="0060058B">
            <w:pPr>
              <w:jc w:val="center"/>
              <w:rPr>
                <w:rFonts w:ascii="Times New Roman" w:eastAsia="Times New Roman" w:hAnsi="Times New Roman"/>
                <w:b/>
                <w:bCs/>
                <w:color w:val="000000"/>
                <w:sz w:val="21"/>
                <w:szCs w:val="21"/>
              </w:rPr>
            </w:pPr>
            <w:r>
              <w:rPr>
                <w:rFonts w:ascii="Times New Roman" w:hAnsi="Times New Roman"/>
                <w:b/>
                <w:color w:val="000000"/>
                <w:sz w:val="21"/>
              </w:rPr>
              <w:t>Probabilité d'atteinte des ODM</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Taux de scolarisation dans le primaire</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93</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96</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98</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Taux d'achèvement du primaire</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80</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88</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93</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 xml:space="preserve">OUI </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Ratio filles/garçons dans les établissements du primaire et secondaire</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85</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99</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103</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Prévalence de la malnutrition (%)</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10,3</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4</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6E667F" w:rsidP="006E667F">
            <w:pPr>
              <w:jc w:val="center"/>
              <w:rPr>
                <w:rFonts w:ascii="Times New Roman" w:eastAsia="Times New Roman" w:hAnsi="Times New Roman"/>
                <w:color w:val="000000"/>
                <w:sz w:val="21"/>
                <w:szCs w:val="21"/>
              </w:rPr>
            </w:pPr>
            <w:r>
              <w:rPr>
                <w:rFonts w:ascii="Times New Roman" w:hAnsi="Times New Roman"/>
                <w:color w:val="000000"/>
                <w:sz w:val="21"/>
              </w:rPr>
              <w:t>-</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Taux de mortalité infantile (pour 1 000 naissances)</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40</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23</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18</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Accès à une source d'eau améliorée (%)</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81</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90</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94</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Accès à des services d'assainissement amélioré (%)</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74</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81</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85</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OUI</w:t>
            </w:r>
          </w:p>
        </w:tc>
      </w:tr>
      <w:tr w:rsidR="00166E7D" w:rsidRPr="009B559A" w:rsidTr="00057311">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Espérance de vie à la naissance (total/femmes)</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70/72</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73/75</w:t>
            </w:r>
          </w:p>
        </w:tc>
        <w:tc>
          <w:tcPr>
            <w:tcW w:w="81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jc w:val="center"/>
              <w:rPr>
                <w:rFonts w:ascii="Times New Roman" w:eastAsia="Times New Roman" w:hAnsi="Times New Roman"/>
                <w:color w:val="000000"/>
                <w:sz w:val="21"/>
                <w:szCs w:val="21"/>
              </w:rPr>
            </w:pPr>
            <w:r>
              <w:rPr>
                <w:rFonts w:ascii="Times New Roman" w:hAnsi="Times New Roman"/>
                <w:color w:val="000000"/>
                <w:sz w:val="21"/>
              </w:rPr>
              <w:t>74/76</w:t>
            </w:r>
          </w:p>
        </w:tc>
        <w:tc>
          <w:tcPr>
            <w:tcW w:w="2250" w:type="dxa"/>
            <w:tcBorders>
              <w:top w:val="nil"/>
              <w:left w:val="nil"/>
              <w:bottom w:val="single" w:sz="4" w:space="0" w:color="auto"/>
              <w:right w:val="single" w:sz="4" w:space="0" w:color="auto"/>
            </w:tcBorders>
            <w:shd w:val="clear" w:color="auto" w:fill="auto"/>
            <w:noWrap/>
            <w:vAlign w:val="bottom"/>
            <w:hideMark/>
          </w:tcPr>
          <w:p w:rsidR="00166E7D" w:rsidRPr="009B559A" w:rsidRDefault="00166E7D" w:rsidP="00057311">
            <w:pPr>
              <w:rPr>
                <w:rFonts w:ascii="Times New Roman" w:eastAsia="Times New Roman" w:hAnsi="Times New Roman"/>
                <w:color w:val="000000"/>
                <w:sz w:val="21"/>
                <w:szCs w:val="21"/>
              </w:rPr>
            </w:pPr>
            <w:r>
              <w:rPr>
                <w:rFonts w:ascii="Times New Roman" w:hAnsi="Times New Roman"/>
                <w:color w:val="000000"/>
                <w:sz w:val="21"/>
              </w:rPr>
              <w:t> </w:t>
            </w:r>
          </w:p>
        </w:tc>
      </w:tr>
    </w:tbl>
    <w:p w:rsidR="00166E7D" w:rsidRDefault="00166E7D" w:rsidP="00166E7D">
      <w:pPr>
        <w:tabs>
          <w:tab w:val="left" w:pos="720"/>
        </w:tabs>
        <w:autoSpaceDE w:val="0"/>
        <w:autoSpaceDN w:val="0"/>
        <w:adjustRightInd w:val="0"/>
        <w:jc w:val="both"/>
        <w:rPr>
          <w:rFonts w:ascii="Times New Roman" w:hAnsi="Times New Roman"/>
          <w:sz w:val="23"/>
          <w:szCs w:val="23"/>
        </w:rPr>
      </w:pPr>
    </w:p>
    <w:p w:rsidR="00B54C23" w:rsidRPr="00705268" w:rsidRDefault="00B54C23"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Les progrès de la réalisation des ODM ont pris du retard dans les régions rurales et les régions de l'intérieur. </w:t>
      </w:r>
      <w:r>
        <w:rPr>
          <w:rFonts w:ascii="Times New Roman" w:hAnsi="Times New Roman"/>
          <w:sz w:val="22"/>
        </w:rPr>
        <w:t>Des progrès substantiels ont été réalisés au niveau national depuis 1990 pour réduire la malnutrition et les taux de mortalité infantile et maternelle, tandis que la prévalence du VIH/SIDA est très faible.</w:t>
      </w:r>
      <w:r w:rsidR="006D6057">
        <w:rPr>
          <w:rFonts w:ascii="Times New Roman" w:hAnsi="Times New Roman"/>
          <w:sz w:val="22"/>
        </w:rPr>
        <w:t xml:space="preserve"> </w:t>
      </w:r>
      <w:r>
        <w:rPr>
          <w:rFonts w:ascii="Times New Roman" w:hAnsi="Times New Roman"/>
          <w:sz w:val="22"/>
        </w:rPr>
        <w:t xml:space="preserve">Des défis subsistent pour : i) améliorer les indicateurs dans les zones rurales, où les retards de </w:t>
      </w:r>
      <w:r>
        <w:rPr>
          <w:rFonts w:ascii="Times New Roman" w:hAnsi="Times New Roman"/>
          <w:sz w:val="22"/>
        </w:rPr>
        <w:lastRenderedPageBreak/>
        <w:t>croissance des enfants sont deux fois plus élevés (10 % dans les zones rurales contre 4 % en zones urbaines) et les taux de mortalité maternelle sont trois fois plus élevés (70 contre 20 décès pour 100 000 naissances vivantes, respectivement) ; et ii) améliorer l'accès aux services dans les zones rurales, où moins de femmes ont accès aux services de consultation prénatale ou à un traitement pour les grossesses à haut risque</w:t>
      </w:r>
      <w:r w:rsidR="006D6057">
        <w:rPr>
          <w:rFonts w:ascii="Times New Roman" w:hAnsi="Times New Roman"/>
          <w:sz w:val="22"/>
        </w:rPr>
        <w:t xml:space="preserve"> </w:t>
      </w:r>
      <w:r>
        <w:rPr>
          <w:rFonts w:ascii="Times New Roman" w:hAnsi="Times New Roman"/>
          <w:sz w:val="22"/>
        </w:rPr>
        <w:t>et où seulement 50-60 % de la population ont accès à l'eau potable et 40 % à un assainissement moderne (par rapport à un accès quasi universel dans les zones urbaines)</w:t>
      </w:r>
      <w:r>
        <w:rPr>
          <w:rStyle w:val="FootnoteReference"/>
          <w:rFonts w:ascii="Times New Roman" w:hAnsi="Times New Roman"/>
          <w:sz w:val="22"/>
        </w:rPr>
        <w:footnoteReference w:id="11"/>
      </w:r>
      <w:r>
        <w:rPr>
          <w:rFonts w:ascii="Times New Roman" w:hAnsi="Times New Roman"/>
          <w:sz w:val="22"/>
        </w:rPr>
        <w:t xml:space="preserve">. </w:t>
      </w:r>
    </w:p>
    <w:p w:rsidR="00C832D6" w:rsidRDefault="00C43BE5">
      <w:pPr>
        <w:rPr>
          <w:rFonts w:ascii="Times New Roman" w:hAnsi="Times New Roman"/>
          <w:sz w:val="22"/>
          <w:szCs w:val="22"/>
        </w:rPr>
      </w:pPr>
      <w:r>
        <w:rPr>
          <w:rFonts w:ascii="Times New Roman" w:hAnsi="Times New Roman"/>
          <w:noProof/>
          <w:sz w:val="22"/>
          <w:szCs w:val="22"/>
          <w:lang w:val="en-US" w:eastAsia="en-US" w:bidi="ar-SA"/>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116840</wp:posOffset>
            </wp:positionV>
            <wp:extent cx="3191510" cy="2276475"/>
            <wp:effectExtent l="19050" t="0" r="27940" b="0"/>
            <wp:wrapTight wrapText="bothSides">
              <wp:wrapPolygon edited="0">
                <wp:start x="-129" y="0"/>
                <wp:lineTo x="-129" y="21510"/>
                <wp:lineTo x="21789" y="21510"/>
                <wp:lineTo x="21789" y="0"/>
                <wp:lineTo x="-129" y="0"/>
              </wp:wrapPolygon>
            </wp:wrapTight>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C30D9" w:rsidRPr="007465F0" w:rsidRDefault="00BE3333" w:rsidP="00BE735C">
      <w:pPr>
        <w:pStyle w:val="ListParagraph"/>
        <w:numPr>
          <w:ilvl w:val="0"/>
          <w:numId w:val="44"/>
        </w:numPr>
        <w:ind w:left="0" w:firstLine="0"/>
        <w:jc w:val="both"/>
        <w:rPr>
          <w:rFonts w:ascii="Times New Roman" w:hAnsi="Times New Roman"/>
          <w:sz w:val="22"/>
          <w:szCs w:val="22"/>
        </w:rPr>
      </w:pPr>
      <w:r>
        <w:rPr>
          <w:rFonts w:ascii="Times New Roman" w:hAnsi="Times New Roman"/>
          <w:noProof/>
          <w:sz w:val="22"/>
          <w:szCs w:val="22"/>
          <w:lang w:val="en-US" w:eastAsia="en-US" w:bidi="ar-SA"/>
        </w:rPr>
        <w:pict>
          <v:shapetype id="_x0000_t202" coordsize="21600,21600" o:spt="202" path="m,l,21600r21600,l21600,xe">
            <v:stroke joinstyle="miter"/>
            <v:path gradientshapeok="t" o:connecttype="rect"/>
          </v:shapetype>
          <v:shape id="Text Box 104" o:spid="_x0000_s1026" type="#_x0000_t202" style="position:absolute;left:0;text-align:left;margin-left:251.15pt;margin-top:1.05pt;width:237.4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8 0 -68 20965 21600 20965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NpfQIAAAMFAAAOAAAAZHJzL2Uyb0RvYy54bWysVG1v0zAQ/o7Ef7D8vUvSZl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" stroked="f">
            <v:textbox inset="0,0,0,0">
              <w:txbxContent>
                <w:p w:rsidR="006E6192" w:rsidRDefault="006E6192" w:rsidP="00D43382">
                  <w:pPr>
                    <w:pStyle w:val="Caption"/>
                  </w:pPr>
                  <w:bookmarkStart w:id="20" w:name="_Toc324857426"/>
                  <w:bookmarkStart w:id="21" w:name="_Toc327979022"/>
                  <w:r>
                    <w:t xml:space="preserve">Figure </w:t>
                  </w:r>
                  <w:r w:rsidR="00BE3333">
                    <w:fldChar w:fldCharType="begin"/>
                  </w:r>
                  <w:r>
                    <w:instrText xml:space="preserve"> SEQ Figure \* ARABIC </w:instrText>
                  </w:r>
                  <w:r w:rsidR="00BE3333">
                    <w:fldChar w:fldCharType="separate"/>
                  </w:r>
                  <w:r>
                    <w:rPr>
                      <w:noProof/>
                    </w:rPr>
                    <w:t>1</w:t>
                  </w:r>
                  <w:r w:rsidR="00BE3333">
                    <w:rPr>
                      <w:noProof/>
                    </w:rPr>
                    <w:fldChar w:fldCharType="end"/>
                  </w:r>
                  <w:r>
                    <w:t>. Effectifs de pauvreté par région (2005)</w:t>
                  </w:r>
                  <w:bookmarkEnd w:id="20"/>
                  <w:bookmarkEnd w:id="21"/>
                </w:p>
              </w:txbxContent>
            </v:textbox>
            <w10:wrap type="tight"/>
          </v:shape>
        </w:pict>
      </w:r>
      <w:r w:rsidR="00493D2B">
        <w:rPr>
          <w:rFonts w:ascii="Times New Roman" w:hAnsi="Times New Roman"/>
          <w:b/>
          <w:sz w:val="22"/>
        </w:rPr>
        <w:t>La faiblesse des indicateurs reflète les inégalités régionales qui ont nourri le sentiment d'injustice et d'exclusion sociale conduisant à la révolution.</w:t>
      </w:r>
      <w:r w:rsidR="006D6057">
        <w:rPr>
          <w:rFonts w:ascii="Times New Roman" w:hAnsi="Times New Roman"/>
          <w:b/>
          <w:sz w:val="22"/>
        </w:rPr>
        <w:t xml:space="preserve"> </w:t>
      </w:r>
      <w:r w:rsidR="00493D2B">
        <w:rPr>
          <w:rFonts w:ascii="Times New Roman" w:hAnsi="Times New Roman"/>
          <w:sz w:val="22"/>
        </w:rPr>
        <w:t>Les trois plus grandes villes et centres de croissance de la Tunisie — Tunis (la capitale), Sfax et Sousse — sont toutes des villes côtières, qui produisent 85% du PIB du pays.</w:t>
      </w:r>
      <w:r w:rsidR="006D6057">
        <w:rPr>
          <w:rFonts w:ascii="Times New Roman" w:hAnsi="Times New Roman"/>
          <w:sz w:val="22"/>
        </w:rPr>
        <w:t xml:space="preserve"> </w:t>
      </w:r>
      <w:r w:rsidR="00493D2B">
        <w:rPr>
          <w:rFonts w:ascii="Times New Roman" w:hAnsi="Times New Roman"/>
          <w:sz w:val="22"/>
        </w:rPr>
        <w:t>Les avantages de la croissance n'ont pas rejailli sur l'arrière-pays et les régions intérieures et n'ont pas permis d'assurer une amélioration des services publics et des opportunités dans les régions défavorisées. Il faut souligner cependant que les villes les plus riches, Tunis, Sfax et Sousse, recèlent, elles aussi, des poches de pauvreté.</w:t>
      </w:r>
    </w:p>
    <w:p w:rsidR="00DB0C89" w:rsidRPr="007465F0" w:rsidRDefault="00DB0C89" w:rsidP="00DB0C89">
      <w:pPr>
        <w:pStyle w:val="ListParagraph"/>
        <w:tabs>
          <w:tab w:val="left" w:pos="720"/>
        </w:tabs>
        <w:autoSpaceDE w:val="0"/>
        <w:autoSpaceDN w:val="0"/>
        <w:adjustRightInd w:val="0"/>
        <w:ind w:left="0"/>
        <w:jc w:val="both"/>
        <w:rPr>
          <w:rFonts w:ascii="Times New Roman" w:hAnsi="Times New Roman"/>
          <w:sz w:val="16"/>
          <w:szCs w:val="16"/>
        </w:rPr>
      </w:pPr>
    </w:p>
    <w:p w:rsidR="00A278C7" w:rsidRPr="007465F0" w:rsidRDefault="00BE3333" w:rsidP="00BE735C">
      <w:pPr>
        <w:pStyle w:val="ListParagraph"/>
        <w:numPr>
          <w:ilvl w:val="0"/>
          <w:numId w:val="44"/>
        </w:numPr>
        <w:ind w:left="0" w:firstLine="0"/>
        <w:jc w:val="both"/>
        <w:rPr>
          <w:rFonts w:ascii="Times New Roman" w:hAnsi="Times New Roman"/>
          <w:sz w:val="22"/>
          <w:szCs w:val="22"/>
        </w:rPr>
      </w:pPr>
      <w:r w:rsidRPr="00BE3333">
        <w:rPr>
          <w:rFonts w:ascii="Times New Roman" w:hAnsi="Times New Roman"/>
          <w:b/>
          <w:noProof/>
          <w:sz w:val="22"/>
          <w:szCs w:val="22"/>
          <w:lang w:val="en-US" w:eastAsia="en-US" w:bidi="ar-SA"/>
        </w:rPr>
        <w:pict>
          <v:shape id="Text Box 105" o:spid="_x0000_s1027" type="#_x0000_t202" style="position:absolute;left:0;text-align:left;margin-left:251.15pt;margin-top:2.8pt;width:237.4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8 0 -68 20160 21600 20160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" stroked="f">
            <v:textbox inset="0,0,0,0">
              <w:txbxContent>
                <w:p w:rsidR="006E6192" w:rsidRDefault="006E6192">
                  <w:pPr>
                    <w:rPr>
                      <w:sz w:val="18"/>
                    </w:rPr>
                  </w:pPr>
                  <w:r>
                    <w:rPr>
                      <w:sz w:val="18"/>
                    </w:rPr>
                    <w:t>Source : Estimation INS (Septembre 2011)</w:t>
                  </w:r>
                </w:p>
              </w:txbxContent>
            </v:textbox>
            <w10:wrap type="tight"/>
          </v:shape>
        </w:pict>
      </w:r>
      <w:r w:rsidR="00493D2B">
        <w:rPr>
          <w:rFonts w:ascii="Times New Roman" w:hAnsi="Times New Roman"/>
          <w:b/>
          <w:sz w:val="22"/>
        </w:rPr>
        <w:t>En ce qui concerne l'égalité entre les sexes, la Tunisie est l'un des pays les plus avancés de la région et son bilan positif sur le statut de la femme doit être soigneusement préservé.</w:t>
      </w:r>
      <w:r w:rsidR="006D6057">
        <w:rPr>
          <w:rFonts w:ascii="Times New Roman" w:hAnsi="Times New Roman"/>
          <w:b/>
          <w:sz w:val="22"/>
        </w:rPr>
        <w:t xml:space="preserve"> </w:t>
      </w:r>
      <w:r w:rsidR="00493D2B">
        <w:rPr>
          <w:rFonts w:ascii="Times New Roman" w:hAnsi="Times New Roman"/>
          <w:sz w:val="22"/>
        </w:rPr>
        <w:t>Peu après l'accession de la Tunisie à l'indépendance de la France en 1956, le Premier Ministre Bourguiba a promulgué le Code du statut personnel, une série de lois visant à donner aux femmes et aux hommes les mêmes droits. Le Code du statut personnel interdisait la polygamie, exigeait un consentement mutuel pour les mariages et donnait aux femmes l'égalité constitutionnelle, le droit de vote, de voyager et de travailler sans autorisation de leur mari, de demander le divorce, de signer les contrats et d'ouvrir des comptes en banque. Une deuxième vague de réformes au début des années 90 a été menée par des organisations féministes, luttant avec succès contre des lois discriminatoires en matière de citoyenneté qui empêchaient les femmes mariées à des non-nationaux de transmettre leur nationalité à leurs enfants. Les femmes ont également bénéficié du niveau élevé de l'investissement dans l'éducation en Tunisie et leur niveau de formation a beaucoup progressé (avec un taux d'inscription à l'université en 2007 de 38 % par rapport à 25 % pour les hommes), de même que la parité des rémunérations, la participation à la vie politique et la réduction des taux de fécondité (de près de moitié). Cependant, de nombreux groupes de la société civile pensent que ces droits acquis pourrait être aisément être remis en question.</w:t>
      </w:r>
    </w:p>
    <w:p w:rsidR="00E951DF" w:rsidRPr="00D43673" w:rsidRDefault="00E951DF" w:rsidP="00B54C23">
      <w:pPr>
        <w:jc w:val="both"/>
        <w:rPr>
          <w:rFonts w:ascii="Times New Roman" w:eastAsia="Times New Roman" w:hAnsi="Times New Roman"/>
          <w:sz w:val="16"/>
          <w:szCs w:val="16"/>
        </w:rPr>
      </w:pPr>
    </w:p>
    <w:p w:rsidR="00077A8E" w:rsidRPr="00705268" w:rsidRDefault="00FC64C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qualité de l'éducation et les résultats de l'apprentissage ont diminué et l'enseignement supérieur doit être mieux ciblé et ajusté aux besoins de l'économie.</w:t>
      </w:r>
      <w:r>
        <w:rPr>
          <w:rFonts w:ascii="Times New Roman" w:hAnsi="Times New Roman"/>
          <w:sz w:val="22"/>
        </w:rPr>
        <w:t xml:space="preserve"> En dépit du niveau élevé des investissements dans le secteur de l'éducation de la fin des années 50 aux années 80, la qualité de l'éducation a baissé dans les années 90 et 2000. En conséquence, les résultats d'apprentissage des élèves sont aujourd'hui faibles. Le nombre d'élèves tunisiens accédant au « niveau de référence inférieur international » qui correspond à la huitième en mathématiques et en sciences, est inférieur à la moyenne internationale. Entre-temps, au </w:t>
      </w:r>
      <w:r>
        <w:rPr>
          <w:rFonts w:ascii="Times New Roman" w:hAnsi="Times New Roman"/>
          <w:sz w:val="22"/>
        </w:rPr>
        <w:lastRenderedPageBreak/>
        <w:t>niveau de l'enseignement supérieur, les diplômés d'université doivent faire face à une inadéquation entre les formations et compétences acquises et les opportunités offertes par le marché de l'emploi tunisien. Une étude sur les diplômés de 2004 estime qu'environ 30 % d'entre eux étaient dans des emplois ne correspondant pas aux compétences acquises dans leur cursus post-secondaire. Les diplômés des universités techniques affichent de meilleurs résultats tant pour la recherche d'un emploi que dans leur maintien dans un emploi déterminé.</w:t>
      </w:r>
    </w:p>
    <w:p w:rsidR="00E951DF" w:rsidRPr="00D43673" w:rsidRDefault="00E951DF" w:rsidP="00077A8E">
      <w:pPr>
        <w:pStyle w:val="ListParagraph"/>
        <w:autoSpaceDE w:val="0"/>
        <w:autoSpaceDN w:val="0"/>
        <w:adjustRightInd w:val="0"/>
        <w:ind w:left="0"/>
        <w:jc w:val="both"/>
        <w:rPr>
          <w:rFonts w:ascii="Times New Roman" w:hAnsi="Times New Roman"/>
          <w:sz w:val="16"/>
          <w:szCs w:val="16"/>
        </w:rPr>
      </w:pPr>
    </w:p>
    <w:p w:rsidR="008D0D96" w:rsidRDefault="00F400AF" w:rsidP="007556E0">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 chômage élevé est considéré comme la question socio-économique de la Tunisie la plus urgente à résoudre. </w:t>
      </w:r>
      <w:r>
        <w:rPr>
          <w:rFonts w:ascii="Times New Roman" w:hAnsi="Times New Roman"/>
          <w:sz w:val="22"/>
        </w:rPr>
        <w:t>Le chômage, composante majeure de la frustration des jeunes ayant conduit à la révolution de janvier, a augmenté en 2011 et il est particulièrement élevé chez les jeunes les plus diplômés. Avec le ralentissement économique de l'an dernier, le taux de chômage global devrait avoir augmenté, passant de 13 % en 2010 à 19 % en 2011. Le taux de chômage a été particulièrement élevé chez les jeunes (15-29 ans) hautement qualifiés, à 44 % en 2010, et ce taux a augmenté après la révolution.</w:t>
      </w:r>
    </w:p>
    <w:p w:rsidR="00C4383D" w:rsidRPr="00F400AF" w:rsidRDefault="00C4383D" w:rsidP="00C4383D">
      <w:pPr>
        <w:pStyle w:val="ListParagraph"/>
        <w:ind w:left="0"/>
        <w:jc w:val="both"/>
        <w:rPr>
          <w:rFonts w:ascii="Times New Roman" w:hAnsi="Times New Roman"/>
          <w:sz w:val="22"/>
          <w:szCs w:val="22"/>
        </w:rPr>
      </w:pPr>
    </w:p>
    <w:p w:rsidR="00C4383D" w:rsidRDefault="00AF0ABB"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 chômage affecte de manière disproportionnée les femmes diplômées. </w:t>
      </w:r>
      <w:r>
        <w:rPr>
          <w:rFonts w:ascii="Times New Roman" w:hAnsi="Times New Roman"/>
          <w:sz w:val="22"/>
        </w:rPr>
        <w:t>Cela est dû en grande partie au fait qu'il y a comparativement plus de femmes ayant un niveau d'instruction très élevé et 46 % d'entre elles sont au chômage, comparativement à 33 % pour les hommes (en 2007)</w:t>
      </w:r>
      <w:r>
        <w:rPr>
          <w:rStyle w:val="FootnoteReference"/>
          <w:rFonts w:ascii="Times New Roman" w:hAnsi="Times New Roman"/>
          <w:sz w:val="22"/>
        </w:rPr>
        <w:footnoteReference w:id="12"/>
      </w:r>
      <w:r>
        <w:rPr>
          <w:rFonts w:ascii="Times New Roman" w:hAnsi="Times New Roman"/>
          <w:sz w:val="22"/>
        </w:rPr>
        <w:t>. Le stock de chômeurs peu qualifiés est néanmoins encore plus élevé, estimé à 67 % en 2010. En 2010, environ 34 % des chômeurs ont recherché un emploi sur une période de plus de 12 mois, avec des taux de chômage de longue durée particulièrement élevés au sein des diplômés universitaires (44 %). En outre, la situation du marché du travail, en termes de qualité des emplois, s'est également détériorée, avec plus de 70 % des jeunes âgés de 15 à 24 travaillant sans contrat en 2010.</w:t>
      </w:r>
    </w:p>
    <w:p w:rsidR="00C4383D" w:rsidRPr="00C4383D" w:rsidRDefault="00C4383D" w:rsidP="00C4383D">
      <w:pPr>
        <w:pStyle w:val="ListParagraph"/>
        <w:rPr>
          <w:rFonts w:ascii="Times New Roman" w:eastAsiaTheme="minorHAnsi" w:hAnsi="Times New Roman"/>
          <w:b/>
          <w:sz w:val="22"/>
          <w:szCs w:val="22"/>
        </w:rPr>
      </w:pPr>
    </w:p>
    <w:p w:rsidR="00B828DB" w:rsidRPr="00B0102E" w:rsidRDefault="00B828DB" w:rsidP="0074641A">
      <w:pPr>
        <w:pStyle w:val="ListParagraph"/>
        <w:numPr>
          <w:ilvl w:val="0"/>
          <w:numId w:val="44"/>
        </w:numPr>
        <w:ind w:left="0" w:firstLine="0"/>
        <w:jc w:val="both"/>
        <w:rPr>
          <w:rFonts w:ascii="Times New Roman" w:hAnsi="Times New Roman"/>
          <w:sz w:val="22"/>
          <w:szCs w:val="22"/>
        </w:rPr>
      </w:pPr>
      <w:r>
        <w:rPr>
          <w:rFonts w:ascii="Times New Roman" w:eastAsiaTheme="minorHAnsi" w:hAnsi="Times New Roman"/>
          <w:b/>
          <w:sz w:val="22"/>
        </w:rPr>
        <w:t>Le marché du travail n'a pas suivi le rythme du taux de nouveaux entrants.</w:t>
      </w:r>
      <w:r w:rsidR="006D6057">
        <w:rPr>
          <w:rFonts w:ascii="Times New Roman" w:eastAsiaTheme="minorHAnsi" w:hAnsi="Times New Roman"/>
          <w:sz w:val="22"/>
        </w:rPr>
        <w:t xml:space="preserve"> </w:t>
      </w:r>
      <w:r>
        <w:rPr>
          <w:rFonts w:ascii="Times New Roman" w:eastAsiaTheme="minorHAnsi" w:hAnsi="Times New Roman"/>
          <w:sz w:val="22"/>
        </w:rPr>
        <w:t>Depuis 2005, la création annuelle d'emplois (entre 70 000 et 80 000) n'a pas suivi le rythme des nouveaux demandeurs d'emploi (environ 90 000 par an). La plupart des emplois qui ont été créés dans les industries orientées à l'exportation, telles que les textiles et les vêtements, les services d'accueil et les services de tourisme, le bâtiment et d'autres secteurs, ont dans l'ensemble fait appel à des travailleurs faiblement qualifiés. Ainsi, 93 % des personnes employées dans le secteur manufacturier (textile, mécanique et autres activités manufacturières), qui représentent 20 % de l'emploi, sont peu qualifiées. L'administration publique a été le principal employeur de la plupart des titulaires d'un diplôme : plus de 55 % des personnes hautement qualifiées de la Tunisie sont employées par l'État (principalement dans les secteurs de la santé et de l'éducation).</w:t>
      </w:r>
      <w:r>
        <w:rPr>
          <w:rFonts w:ascii="Times New Roman" w:eastAsiaTheme="minorHAnsi" w:hAnsi="Times New Roman"/>
          <w:color w:val="000000"/>
          <w:sz w:val="22"/>
        </w:rPr>
        <w:t xml:space="preserve"> En 2010, les administrations publiques et les services sociaux représentaient 51 % de tous les emplois du secteur formel et 23 % de l'ensemble des emplois. Les travailleurs du secteur public ont plus de chances d'avoir des contrats à durée indéterminée (87 %), tandis que 60 % des travailleurs du secteur privé sont en situation informelle sans contrat formel. Le secteur public offre également des salaires moyens plus élevés et des avantages sociaux plus généreux. </w:t>
      </w:r>
    </w:p>
    <w:p w:rsidR="00B828DB" w:rsidRDefault="00B828DB">
      <w:pPr>
        <w:rPr>
          <w:rFonts w:ascii="Times New Roman" w:hAnsi="Times New Roman"/>
          <w:b/>
          <w:sz w:val="22"/>
          <w:szCs w:val="22"/>
        </w:rPr>
      </w:pPr>
    </w:p>
    <w:p w:rsidR="00077A8E" w:rsidRPr="00B828DB" w:rsidRDefault="00B828DB" w:rsidP="00D43382">
      <w:pPr>
        <w:pStyle w:val="Caption"/>
        <w:rPr>
          <w:noProof/>
        </w:rPr>
      </w:pPr>
      <w:bookmarkStart w:id="22" w:name="_Toc324857427"/>
      <w:bookmarkStart w:id="23" w:name="_Toc327979023"/>
      <w:r>
        <w:lastRenderedPageBreak/>
        <w:t xml:space="preserve">Figure </w:t>
      </w:r>
      <w:r w:rsidR="00BE3333">
        <w:fldChar w:fldCharType="begin"/>
      </w:r>
      <w:r w:rsidR="00FE2941">
        <w:instrText xml:space="preserve"> SEQ Figure \* ARABIC </w:instrText>
      </w:r>
      <w:r w:rsidR="00BE3333">
        <w:fldChar w:fldCharType="separate"/>
      </w:r>
      <w:r w:rsidR="002D5CED">
        <w:rPr>
          <w:noProof/>
        </w:rPr>
        <w:t>2</w:t>
      </w:r>
      <w:r w:rsidR="00BE3333">
        <w:fldChar w:fldCharType="end"/>
      </w:r>
      <w:r>
        <w:t>. Part de l'emploi par secteurs, 2010</w:t>
      </w:r>
      <w:bookmarkEnd w:id="22"/>
      <w:bookmarkEnd w:id="23"/>
    </w:p>
    <w:p w:rsidR="00820044" w:rsidRDefault="0018763B" w:rsidP="00B828DB">
      <w:pPr>
        <w:jc w:val="center"/>
        <w:rPr>
          <w:rFonts w:ascii="Times New Roman" w:hAnsi="Times New Roman"/>
          <w:sz w:val="23"/>
          <w:szCs w:val="23"/>
        </w:rPr>
      </w:pPr>
      <w:r w:rsidRPr="0018763B">
        <w:rPr>
          <w:rFonts w:ascii="Times New Roman" w:hAnsi="Times New Roman"/>
          <w:noProof/>
          <w:sz w:val="23"/>
          <w:szCs w:val="23"/>
          <w:bdr w:val="double" w:sz="4" w:space="0" w:color="auto"/>
          <w:lang w:val="en-US" w:eastAsia="en-US" w:bidi="ar-SA"/>
        </w:rPr>
        <w:drawing>
          <wp:inline distT="0" distB="0" distL="0" distR="0">
            <wp:extent cx="4524375" cy="2324100"/>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4A3F" w:rsidRDefault="00974A3F" w:rsidP="00B828DB">
      <w:pPr>
        <w:jc w:val="center"/>
        <w:rPr>
          <w:rFonts w:ascii="Times New Roman" w:hAnsi="Times New Roman"/>
          <w:sz w:val="23"/>
          <w:szCs w:val="23"/>
        </w:rPr>
      </w:pPr>
    </w:p>
    <w:p w:rsidR="00D44DE1" w:rsidRPr="0018763B" w:rsidRDefault="00BB566E" w:rsidP="00CB07A5">
      <w:pPr>
        <w:pStyle w:val="Heading2"/>
        <w:rPr>
          <w:rFonts w:ascii="Times New Roman" w:hAnsi="Times New Roman"/>
          <w:i w:val="0"/>
          <w:sz w:val="24"/>
        </w:rPr>
      </w:pPr>
      <w:bookmarkStart w:id="24" w:name="_Toc327979092"/>
      <w:bookmarkStart w:id="25" w:name="_Toc323821459"/>
      <w:r w:rsidRPr="0018763B">
        <w:rPr>
          <w:rFonts w:ascii="Times New Roman" w:hAnsi="Times New Roman"/>
          <w:i w:val="0"/>
          <w:sz w:val="24"/>
        </w:rPr>
        <w:t>F.</w:t>
      </w:r>
      <w:r w:rsidRPr="0018763B">
        <w:rPr>
          <w:rFonts w:ascii="Times New Roman" w:hAnsi="Times New Roman"/>
          <w:i w:val="0"/>
          <w:sz w:val="24"/>
        </w:rPr>
        <w:tab/>
        <w:t>Contexte régional</w:t>
      </w:r>
      <w:bookmarkEnd w:id="24"/>
      <w:r w:rsidRPr="0018763B">
        <w:rPr>
          <w:rFonts w:ascii="Times New Roman" w:hAnsi="Times New Roman"/>
          <w:i w:val="0"/>
          <w:sz w:val="24"/>
        </w:rPr>
        <w:t xml:space="preserve"> </w:t>
      </w:r>
      <w:bookmarkEnd w:id="25"/>
    </w:p>
    <w:p w:rsidR="00BB566E" w:rsidRPr="00E57D57" w:rsidRDefault="00BB566E" w:rsidP="00BB566E">
      <w:pPr>
        <w:jc w:val="both"/>
        <w:rPr>
          <w:rFonts w:ascii="Times New Roman" w:hAnsi="Times New Roman"/>
          <w:sz w:val="22"/>
          <w:szCs w:val="22"/>
        </w:rPr>
      </w:pPr>
    </w:p>
    <w:p w:rsidR="001F3039" w:rsidRPr="00E57D57" w:rsidRDefault="00BB566E" w:rsidP="00BE735C">
      <w:pPr>
        <w:pStyle w:val="ListParagraph"/>
        <w:numPr>
          <w:ilvl w:val="0"/>
          <w:numId w:val="44"/>
        </w:numPr>
        <w:tabs>
          <w:tab w:val="left" w:pos="810"/>
        </w:tabs>
        <w:autoSpaceDE w:val="0"/>
        <w:autoSpaceDN w:val="0"/>
        <w:adjustRightInd w:val="0"/>
        <w:ind w:left="0" w:firstLine="0"/>
        <w:jc w:val="both"/>
        <w:rPr>
          <w:rFonts w:ascii="Times New Roman" w:hAnsi="Times New Roman"/>
          <w:color w:val="000000"/>
          <w:sz w:val="22"/>
          <w:szCs w:val="22"/>
        </w:rPr>
      </w:pPr>
      <w:r>
        <w:rPr>
          <w:rFonts w:ascii="Times New Roman" w:hAnsi="Times New Roman"/>
          <w:b/>
          <w:sz w:val="22"/>
        </w:rPr>
        <w:t xml:space="preserve">La Tunisie est un partenaire commercial de longue date de l'Union européenne et un signataire de nombreux accords avec des pays du Moyen-Orient et de l'Afrique du Nord, et du Maghreb en particulier, et de manière croissante, avec des partenaires du G8. </w:t>
      </w:r>
      <w:r>
        <w:rPr>
          <w:rFonts w:ascii="Times New Roman" w:hAnsi="Times New Roman"/>
          <w:sz w:val="22"/>
        </w:rPr>
        <w:t>La Tunisie a signé en 1995 l'Accord d'Association pour les biens industriels avec l'UE qui a institué une zone de libre-échange au début de 2008. La Tunisie participe également à la politique de voisinage de l'UE qui encadre les efforts coopératifs de promotion des réformes politiques et économiques dans l'intérêt mutuel de la Tunisie et l'UE. L'approbation en 2004 de la Politique européenne de voisinage a abouti à</w:t>
      </w:r>
      <w:r>
        <w:rPr>
          <w:rFonts w:ascii="Times New Roman" w:hAnsi="Times New Roman"/>
          <w:color w:val="000000"/>
          <w:sz w:val="22"/>
        </w:rPr>
        <w:t xml:space="preserve"> l'adoption d'un plan d'action en 2005 abordant des thèmes économiques et non économiques.</w:t>
      </w:r>
      <w:r w:rsidR="006D6057">
        <w:rPr>
          <w:rFonts w:ascii="Times New Roman" w:hAnsi="Times New Roman"/>
          <w:color w:val="000000"/>
          <w:sz w:val="22"/>
        </w:rPr>
        <w:t xml:space="preserve"> </w:t>
      </w:r>
      <w:r>
        <w:rPr>
          <w:rFonts w:ascii="Times New Roman" w:hAnsi="Times New Roman"/>
          <w:sz w:val="22"/>
        </w:rPr>
        <w:t>Des négociations sont en cours depuis 2009 pour la libéralisation des secteurs des services et de l'agriculture, mais elles n'ont pas encore abouti. La Tunisie a également conclu de nombreux accords avec des pays du Moyen-Orient et d'Afrique du Nord. La Tunisie est membre de l'Union du Maghreb arabe depuis 1989, elle est signataire de l'accord d'Agadir</w:t>
      </w:r>
      <w:r>
        <w:rPr>
          <w:rStyle w:val="FootnoteReference"/>
          <w:rFonts w:ascii="Times New Roman" w:hAnsi="Times New Roman"/>
          <w:sz w:val="22"/>
        </w:rPr>
        <w:footnoteReference w:id="13"/>
      </w:r>
      <w:r>
        <w:rPr>
          <w:rFonts w:ascii="Times New Roman" w:hAnsi="Times New Roman"/>
          <w:sz w:val="22"/>
        </w:rPr>
        <w:t xml:space="preserve"> depuis 2004, et membre du Partenariat euro-méditerranéen depuis 2008. Les échanges commerciaux avec l'UE priment encore, bien que la Tunisie ait renforcé ses liens commerciaux avec la Libye avant le conflit.</w:t>
      </w:r>
    </w:p>
    <w:p w:rsidR="00D44DE1" w:rsidRDefault="00BB566E">
      <w:pPr>
        <w:pStyle w:val="ListParagraph"/>
        <w:tabs>
          <w:tab w:val="left" w:pos="810"/>
        </w:tabs>
        <w:autoSpaceDE w:val="0"/>
        <w:autoSpaceDN w:val="0"/>
        <w:adjustRightInd w:val="0"/>
        <w:ind w:left="0"/>
        <w:jc w:val="both"/>
        <w:rPr>
          <w:rFonts w:ascii="Times New Roman" w:hAnsi="Times New Roman"/>
          <w:color w:val="000000"/>
          <w:sz w:val="23"/>
          <w:szCs w:val="23"/>
        </w:rPr>
      </w:pPr>
      <w:r>
        <w:rPr>
          <w:rFonts w:ascii="Times New Roman" w:hAnsi="Times New Roman"/>
          <w:sz w:val="23"/>
        </w:rPr>
        <w:t xml:space="preserve"> </w:t>
      </w:r>
    </w:p>
    <w:p w:rsidR="00A278C7" w:rsidRPr="00974A3F" w:rsidRDefault="00973DC3" w:rsidP="00974A3F">
      <w:pPr>
        <w:pStyle w:val="Heading2"/>
        <w:rPr>
          <w:rFonts w:ascii="Times New Roman" w:hAnsi="Times New Roman"/>
          <w:i w:val="0"/>
          <w:sz w:val="24"/>
          <w:szCs w:val="22"/>
        </w:rPr>
      </w:pPr>
      <w:bookmarkStart w:id="26" w:name="_Toc323821460"/>
      <w:bookmarkStart w:id="27" w:name="_Toc327979093"/>
      <w:r>
        <w:rPr>
          <w:rFonts w:ascii="Times New Roman" w:hAnsi="Times New Roman"/>
          <w:i w:val="0"/>
          <w:sz w:val="24"/>
        </w:rPr>
        <w:t>G.</w:t>
      </w:r>
      <w:r>
        <w:tab/>
      </w:r>
      <w:r>
        <w:rPr>
          <w:rFonts w:ascii="Times New Roman" w:hAnsi="Times New Roman"/>
          <w:i w:val="0"/>
          <w:sz w:val="24"/>
        </w:rPr>
        <w:t>Contexte de gouvernance</w:t>
      </w:r>
      <w:bookmarkEnd w:id="26"/>
      <w:bookmarkEnd w:id="27"/>
    </w:p>
    <w:p w:rsidR="00AE1886" w:rsidRPr="00BB566E" w:rsidRDefault="00AE1886" w:rsidP="00E951DF">
      <w:pPr>
        <w:ind w:left="720" w:hanging="720"/>
        <w:jc w:val="both"/>
        <w:rPr>
          <w:rFonts w:ascii="Times New Roman" w:hAnsi="Times New Roman"/>
          <w:b/>
          <w:sz w:val="16"/>
          <w:szCs w:val="16"/>
        </w:rPr>
      </w:pPr>
    </w:p>
    <w:p w:rsidR="00444240" w:rsidRPr="0018036A" w:rsidRDefault="00DD5513" w:rsidP="003B0382">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Avant la révolution, la Tunisie se caractérisait par de faibles niveaux de transparence et de responsabilité et affichait des résultats médiocres dans la plupart des composantes de gouvernance et de lutte contre la corruption. </w:t>
      </w:r>
      <w:r>
        <w:rPr>
          <w:rFonts w:ascii="Times New Roman" w:hAnsi="Times New Roman"/>
          <w:sz w:val="22"/>
        </w:rPr>
        <w:t>La Tunisie présentait également d'importantes lacunes et défaillances en matière de participation citoyenne et de responsabilité, des processus décisionnels fortement centralisés avec des mécanismes de contrôle et de contrepoids qui pour la plupart n'existaient que sur le papier, et de manière plus générale, une application largement discrétionnaire des lois.</w:t>
      </w:r>
      <w:r w:rsidR="006D6057">
        <w:rPr>
          <w:rFonts w:ascii="Times New Roman" w:hAnsi="Times New Roman"/>
          <w:sz w:val="22"/>
        </w:rPr>
        <w:t xml:space="preserve"> </w:t>
      </w:r>
      <w:r>
        <w:rPr>
          <w:rFonts w:ascii="Times New Roman" w:hAnsi="Times New Roman"/>
          <w:sz w:val="22"/>
        </w:rPr>
        <w:t xml:space="preserve">L'indice d'intégrité 2008 de </w:t>
      </w:r>
      <w:r>
        <w:rPr>
          <w:rFonts w:ascii="Times New Roman" w:hAnsi="Times New Roman"/>
          <w:i/>
          <w:sz w:val="22"/>
        </w:rPr>
        <w:t>Global Integrity</w:t>
      </w:r>
      <w:r>
        <w:rPr>
          <w:rFonts w:ascii="Times New Roman" w:hAnsi="Times New Roman"/>
          <w:sz w:val="22"/>
        </w:rPr>
        <w:t xml:space="preserve"> affiche des résultats de performance « très faibles » pour la Tunisie quant à la responsabilité de l'exécutif, essentiellement en raison de la concentration du pouvoir qui était soumis à peu de mécanismes de contrôle et de contrepoids. Le rapport de </w:t>
      </w:r>
      <w:r>
        <w:rPr>
          <w:rFonts w:ascii="Times New Roman" w:hAnsi="Times New Roman"/>
          <w:i/>
          <w:sz w:val="22"/>
        </w:rPr>
        <w:t>Freedom House</w:t>
      </w:r>
      <w:r>
        <w:rPr>
          <w:rFonts w:ascii="Times New Roman" w:hAnsi="Times New Roman"/>
          <w:sz w:val="22"/>
        </w:rPr>
        <w:t xml:space="preserve"> 2010 classe le pays comme « </w:t>
      </w:r>
      <w:r>
        <w:rPr>
          <w:rFonts w:ascii="Times New Roman" w:hAnsi="Times New Roman"/>
          <w:i/>
          <w:sz w:val="22"/>
        </w:rPr>
        <w:t>not free</w:t>
      </w:r>
      <w:r>
        <w:rPr>
          <w:rFonts w:ascii="Times New Roman" w:hAnsi="Times New Roman"/>
          <w:sz w:val="22"/>
        </w:rPr>
        <w:t xml:space="preserve"> » (sans libertés), ce qui correspond au classement le plus bas. Au plan juridique, les citoyens disposent du droit de vote et sont </w:t>
      </w:r>
      <w:r>
        <w:rPr>
          <w:rFonts w:ascii="Times New Roman" w:hAnsi="Times New Roman"/>
          <w:sz w:val="22"/>
        </w:rPr>
        <w:lastRenderedPageBreak/>
        <w:t xml:space="preserve">éligibles. Dans la réalité cependant, les élections étaient très strictement gérées et aucun organisme ne disposait d'une autorité indépendante permettant de surveiller leur intégrité. En matière d'intégrité des élections, la Tunisie a été classée comme « très faible» par </w:t>
      </w:r>
      <w:r>
        <w:rPr>
          <w:rFonts w:ascii="Times New Roman" w:hAnsi="Times New Roman"/>
          <w:i/>
          <w:sz w:val="22"/>
        </w:rPr>
        <w:t>Global Integrity</w:t>
      </w:r>
      <w:r>
        <w:rPr>
          <w:rFonts w:ascii="Times New Roman" w:hAnsi="Times New Roman"/>
          <w:sz w:val="22"/>
        </w:rPr>
        <w:t xml:space="preserve">. En ce qui concerne les processus budgétaires, la Tunisie a également été jugée « très faible », dans la mesure où le législateur n'avait prévu qu'un nombre limité de mécanismes d'intervention dans la procédure budgétaire nationale. Un comité législatif distinct assurait la supervision des fonds publics, mais son indépendance et son impartialité n'étaient pas incontestables. La note de </w:t>
      </w:r>
      <w:r>
        <w:rPr>
          <w:rFonts w:ascii="Times New Roman" w:hAnsi="Times New Roman"/>
          <w:i/>
          <w:sz w:val="22"/>
        </w:rPr>
        <w:t>Freedom House</w:t>
      </w:r>
      <w:r>
        <w:rPr>
          <w:rFonts w:ascii="Times New Roman" w:hAnsi="Times New Roman"/>
          <w:sz w:val="22"/>
        </w:rPr>
        <w:t xml:space="preserve"> en matière de liberté de la presse a jugé qu'elle n'est « pas libre » en Tunisie et </w:t>
      </w:r>
      <w:r>
        <w:rPr>
          <w:rFonts w:ascii="Times New Roman" w:hAnsi="Times New Roman"/>
          <w:i/>
          <w:sz w:val="22"/>
        </w:rPr>
        <w:t>Global Integrity</w:t>
      </w:r>
      <w:r>
        <w:rPr>
          <w:rFonts w:ascii="Times New Roman" w:hAnsi="Times New Roman"/>
          <w:sz w:val="22"/>
        </w:rPr>
        <w:t xml:space="preserve"> a indiqué que la Tunisie était l'un des régimes les plus répressifs au monde en ce qui concerne la liberté des médias. En outre, alors que la loi anticorruption</w:t>
      </w:r>
      <w:r w:rsidR="006D6057">
        <w:rPr>
          <w:rFonts w:ascii="Times New Roman" w:hAnsi="Times New Roman"/>
          <w:sz w:val="22"/>
        </w:rPr>
        <w:t xml:space="preserve"> </w:t>
      </w:r>
      <w:r>
        <w:rPr>
          <w:rFonts w:ascii="Times New Roman" w:hAnsi="Times New Roman"/>
          <w:sz w:val="22"/>
        </w:rPr>
        <w:t>tunisienne était considérée comme étant de très bonne qualité, sa mise en œuvre a été très médiocre.</w:t>
      </w:r>
    </w:p>
    <w:p w:rsidR="00444240" w:rsidRPr="00D43673" w:rsidRDefault="00444240" w:rsidP="007310BE">
      <w:pPr>
        <w:autoSpaceDE w:val="0"/>
        <w:autoSpaceDN w:val="0"/>
        <w:adjustRightInd w:val="0"/>
        <w:jc w:val="both"/>
        <w:rPr>
          <w:rFonts w:ascii="Times New Roman" w:hAnsi="Times New Roman"/>
          <w:sz w:val="16"/>
          <w:szCs w:val="16"/>
        </w:rPr>
      </w:pPr>
    </w:p>
    <w:p w:rsidR="00444240" w:rsidRPr="0018036A" w:rsidRDefault="00D229C3" w:rsidP="003B0382">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Les insuffisances en matière de participation, transparence et responsabilité ont joué un rôle clé dans le déclenchement de la révolution. </w:t>
      </w:r>
      <w:r>
        <w:rPr>
          <w:rFonts w:ascii="Times New Roman" w:hAnsi="Times New Roman"/>
          <w:sz w:val="22"/>
        </w:rPr>
        <w:t>La culture du secret prévalante interdisait également d'organiser des débats ou des consultations informés sur les politiques, les finances ou les services publics. L'un des mots les plus fréquemment cités par les jeunes qui manifestaient en Tunisie était « dignité ». Ce sentiment d'indignité était dû à l'exclusion sociale et économique découlant de l'absence de perspectives et de participation. Le Gouvernement manquait de légitimité, responsabilité et redevabilité à l'égard de l'Assemblée nationale, qui à son tour manquait de légitimité face aux citoyens.</w:t>
      </w:r>
      <w:r w:rsidR="006D6057">
        <w:rPr>
          <w:rFonts w:ascii="Times New Roman" w:hAnsi="Times New Roman"/>
          <w:sz w:val="22"/>
        </w:rPr>
        <w:t xml:space="preserve"> </w:t>
      </w:r>
      <w:r>
        <w:rPr>
          <w:rFonts w:ascii="Times New Roman" w:hAnsi="Times New Roman"/>
          <w:sz w:val="22"/>
        </w:rPr>
        <w:t>Parvenir à une plus grande redevabilité des pouvoirs publics à l'égard des citoyens et à une plus grande participation et écoute des citoyens dans l'élaboration des politiques exigeait plus de transparence dans les opérations du Gouvernement et des normes plus élevées pour les fonctionnaires.</w:t>
      </w:r>
    </w:p>
    <w:p w:rsidR="00444240" w:rsidRPr="00D43673" w:rsidRDefault="00444240" w:rsidP="0071678A">
      <w:pPr>
        <w:pStyle w:val="ListParagraph"/>
        <w:ind w:left="0"/>
        <w:jc w:val="both"/>
        <w:rPr>
          <w:rFonts w:ascii="Times New Roman" w:hAnsi="Times New Roman"/>
          <w:b/>
          <w:bCs/>
          <w:sz w:val="16"/>
          <w:szCs w:val="16"/>
        </w:rPr>
      </w:pPr>
    </w:p>
    <w:p w:rsidR="0000092C" w:rsidRPr="0018036A" w:rsidRDefault="007310BE" w:rsidP="004D3388">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La faiblesse de la gouvernance pesait également sur le secteur privé national et la création d'emplois ; néanmoins, les aspects principaux des faiblesses de la gouvernance économique n'ont pas été correctement évalué dans les divers classements. </w:t>
      </w:r>
      <w:r>
        <w:rPr>
          <w:rFonts w:ascii="Times New Roman" w:hAnsi="Times New Roman"/>
          <w:sz w:val="22"/>
        </w:rPr>
        <w:t xml:space="preserve">Le classement de </w:t>
      </w:r>
      <w:r>
        <w:rPr>
          <w:rFonts w:ascii="Times New Roman" w:hAnsi="Times New Roman"/>
          <w:i/>
          <w:sz w:val="22"/>
        </w:rPr>
        <w:t>Doing Business</w:t>
      </w:r>
      <w:r>
        <w:rPr>
          <w:rFonts w:ascii="Times New Roman" w:hAnsi="Times New Roman"/>
          <w:sz w:val="22"/>
        </w:rPr>
        <w:t xml:space="preserve"> pour la Tunisie s'est amélioré entre 2008 où elle est 58ème (sur 155 pays) et 2012, où elle arrive en 46ème position (sur 183 pays). En réalité, ces classements reflétaient la relative bonne qualité du cadre de l'activité économique dans le secteur « </w:t>
      </w:r>
      <w:r>
        <w:rPr>
          <w:rFonts w:ascii="Times New Roman" w:hAnsi="Times New Roman"/>
          <w:i/>
          <w:sz w:val="22"/>
        </w:rPr>
        <w:t>offshore</w:t>
      </w:r>
      <w:r>
        <w:rPr>
          <w:rFonts w:ascii="Times New Roman" w:hAnsi="Times New Roman"/>
          <w:sz w:val="22"/>
        </w:rPr>
        <w:t> », mais ils ne captaient pas l'expérience réelle de la plupart des investisseurs nationaux du secteur « </w:t>
      </w:r>
      <w:r>
        <w:rPr>
          <w:rFonts w:ascii="Times New Roman" w:hAnsi="Times New Roman"/>
          <w:i/>
          <w:sz w:val="22"/>
        </w:rPr>
        <w:t>onshore</w:t>
      </w:r>
      <w:r>
        <w:rPr>
          <w:rFonts w:ascii="Times New Roman" w:hAnsi="Times New Roman"/>
          <w:sz w:val="22"/>
        </w:rPr>
        <w:t> ».</w:t>
      </w:r>
      <w:r w:rsidR="006D6057">
        <w:rPr>
          <w:rFonts w:ascii="Times New Roman" w:hAnsi="Times New Roman"/>
          <w:sz w:val="22"/>
        </w:rPr>
        <w:t xml:space="preserve"> </w:t>
      </w:r>
      <w:r>
        <w:rPr>
          <w:rFonts w:ascii="Times New Roman" w:hAnsi="Times New Roman"/>
          <w:sz w:val="22"/>
        </w:rPr>
        <w:t>Les problèmes de gouvernance de la Tunisie tournaient autour de questions telles que l'exercice d'un pouvoir discrétionnaire dans l'application des lois et des règlements, l'inefficacité des procédures de passation des marchés publics, les privatisations truquées, l</w:t>
      </w:r>
      <w:r w:rsidR="006D6057">
        <w:rPr>
          <w:rFonts w:ascii="Times New Roman" w:hAnsi="Times New Roman"/>
          <w:sz w:val="22"/>
        </w:rPr>
        <w:t>e</w:t>
      </w:r>
      <w:r>
        <w:rPr>
          <w:rFonts w:ascii="Times New Roman" w:hAnsi="Times New Roman"/>
          <w:sz w:val="22"/>
        </w:rPr>
        <w:t xml:space="preserve"> déclassement des terres et des actifs publics et l'usage impropre des banques publiques. Un exemple de ce qui précède est illustré par des entreprises publiques qui ont financé leur déficit par des emprunts auprès de banques publiques, lesquelles, à leur tour, étaient pénalisées par un grand nombre de prêts non productifs. Cette situation a intensifié les échecs de gouvernance dans le secteur bancaire. L'intervention lourde et constante de l'État dans l'économie et la lenteur des progrès accomplis pour renforcer le cadre de l'activité économique dans le secteur </w:t>
      </w:r>
      <w:r>
        <w:rPr>
          <w:rFonts w:ascii="Times New Roman" w:hAnsi="Times New Roman"/>
          <w:i/>
          <w:sz w:val="22"/>
        </w:rPr>
        <w:t>onshore</w:t>
      </w:r>
      <w:r>
        <w:rPr>
          <w:rFonts w:ascii="Times New Roman" w:hAnsi="Times New Roman"/>
          <w:sz w:val="22"/>
        </w:rPr>
        <w:t xml:space="preserve"> ont limité la concurrence et l'investissement national privé (15 % du PIB en moyenne), limitant la création d'emplois.</w:t>
      </w:r>
    </w:p>
    <w:p w:rsidR="00872EF4" w:rsidRPr="00D43673" w:rsidRDefault="00872EF4" w:rsidP="00F66F2B">
      <w:pPr>
        <w:autoSpaceDE w:val="0"/>
        <w:autoSpaceDN w:val="0"/>
        <w:adjustRightInd w:val="0"/>
        <w:jc w:val="both"/>
        <w:rPr>
          <w:rFonts w:ascii="Times New Roman" w:hAnsi="Times New Roman"/>
          <w:sz w:val="16"/>
          <w:szCs w:val="16"/>
        </w:rPr>
      </w:pPr>
    </w:p>
    <w:p w:rsidR="00872EF4" w:rsidRPr="00C6794C" w:rsidRDefault="00FC64CF" w:rsidP="00BB5F02">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Après la révolution, les autorités intérimaires ont lancé en 2011 un vaste programme de réformes emblématiques (dans le cadre de leur mandat) afin de renforcer la gouvernance et la responsabilité sociale, incluant :</w:t>
      </w:r>
    </w:p>
    <w:p w:rsidR="00C6794C" w:rsidRPr="00C6794C" w:rsidRDefault="00C6794C" w:rsidP="00C6794C">
      <w:pPr>
        <w:pStyle w:val="ListParagraph"/>
        <w:rPr>
          <w:rFonts w:ascii="Times New Roman" w:hAnsi="Times New Roman"/>
          <w:sz w:val="16"/>
          <w:szCs w:val="16"/>
        </w:rPr>
      </w:pPr>
    </w:p>
    <w:p w:rsidR="002007B6" w:rsidRPr="0018036A" w:rsidRDefault="00FC64CF" w:rsidP="0059013A">
      <w:pPr>
        <w:pStyle w:val="ListParagraph"/>
        <w:numPr>
          <w:ilvl w:val="0"/>
          <w:numId w:val="6"/>
        </w:numPr>
        <w:autoSpaceDE w:val="0"/>
        <w:autoSpaceDN w:val="0"/>
        <w:adjustRightInd w:val="0"/>
        <w:rPr>
          <w:rFonts w:ascii="Times New Roman" w:hAnsi="Times New Roman"/>
          <w:sz w:val="22"/>
          <w:szCs w:val="22"/>
        </w:rPr>
      </w:pPr>
      <w:r>
        <w:rPr>
          <w:rFonts w:ascii="Times New Roman" w:hAnsi="Times New Roman"/>
          <w:sz w:val="22"/>
        </w:rPr>
        <w:t>Une révision de la loi sur la liberté d'association afin de lever tous les principaux obstacles juridiques et de faciliter le développement d'une société civile forte et libre.</w:t>
      </w:r>
    </w:p>
    <w:p w:rsidR="00872EF4" w:rsidRPr="0018036A" w:rsidRDefault="00FC64CF" w:rsidP="0059013A">
      <w:pPr>
        <w:pStyle w:val="ListParagraph"/>
        <w:numPr>
          <w:ilvl w:val="0"/>
          <w:numId w:val="6"/>
        </w:numPr>
        <w:autoSpaceDE w:val="0"/>
        <w:autoSpaceDN w:val="0"/>
        <w:adjustRightInd w:val="0"/>
        <w:rPr>
          <w:rFonts w:ascii="Times New Roman" w:hAnsi="Times New Roman"/>
          <w:sz w:val="22"/>
          <w:szCs w:val="22"/>
        </w:rPr>
      </w:pPr>
      <w:r>
        <w:rPr>
          <w:rFonts w:ascii="Times New Roman" w:hAnsi="Times New Roman"/>
          <w:sz w:val="22"/>
        </w:rPr>
        <w:t>Une révision du cadre juridique pour permettre l'accès du public à l'information et donner au public un droit d'accès à l'information détenue par les organismes publics (et, entre autres, supprimer les obstacles à l'accès du public aux statistiques économiques et sociales, y compris les micro données).</w:t>
      </w:r>
    </w:p>
    <w:p w:rsidR="00872EF4" w:rsidRPr="0018036A" w:rsidRDefault="00FC64CF" w:rsidP="0059013A">
      <w:pPr>
        <w:pStyle w:val="Default"/>
        <w:numPr>
          <w:ilvl w:val="0"/>
          <w:numId w:val="6"/>
        </w:numPr>
        <w:spacing w:after="0"/>
      </w:pPr>
      <w:r>
        <w:t xml:space="preserve">Une modification de la charte des noms de domaine pour l'hébergement des sites Internet, afin de simplifier les procédures d'enregistrement et d'hébergement des sites Internet et d'éliminer la condition selon laquelle l'agent d'enregistrement doit un fournisseur d'accès Internet tunisien (FAI). </w:t>
      </w:r>
    </w:p>
    <w:p w:rsidR="00872EF4" w:rsidRPr="0018036A" w:rsidRDefault="00FC64CF" w:rsidP="0059013A">
      <w:pPr>
        <w:pStyle w:val="Default"/>
        <w:numPr>
          <w:ilvl w:val="0"/>
          <w:numId w:val="6"/>
        </w:numPr>
        <w:spacing w:after="0"/>
      </w:pPr>
      <w:r>
        <w:lastRenderedPageBreak/>
        <w:t>Une révision du cadre juridique de la passation des marchés publics pour améliorer l'efficacité et la transparence des procédures de passation des marchés et raccourcir le processus de décision sans compromettre la qualité.</w:t>
      </w:r>
    </w:p>
    <w:p w:rsidR="00872EF4" w:rsidRPr="0018036A" w:rsidRDefault="00FC64CF" w:rsidP="0059013A">
      <w:pPr>
        <w:pStyle w:val="Default"/>
        <w:numPr>
          <w:ilvl w:val="0"/>
          <w:numId w:val="6"/>
        </w:numPr>
        <w:spacing w:after="0"/>
      </w:pPr>
      <w:r>
        <w:t>Le lancement d'une réforme à caractère systémique, participative, mesurable et visible pour simplifier les procédures administratives et la paperasserie, et réduire les pouvoirs discrétionnaires et l'arbitraire dans les procédures fiscales et douanières.</w:t>
      </w:r>
    </w:p>
    <w:p w:rsidR="002007B6" w:rsidRPr="0018036A" w:rsidRDefault="00FC64CF" w:rsidP="0059013A">
      <w:pPr>
        <w:pStyle w:val="Default"/>
        <w:numPr>
          <w:ilvl w:val="0"/>
          <w:numId w:val="6"/>
        </w:numPr>
        <w:spacing w:after="0"/>
      </w:pPr>
      <w:r>
        <w:t>L'établissement d'un nouveau cadre réglementaire pour le Fonds national de l'emploi, en commençant par sortir sa gestion de la Présidence pour la transférer au Ministère de l'Emploi.</w:t>
      </w:r>
    </w:p>
    <w:p w:rsidR="002007B6" w:rsidRPr="0018036A" w:rsidRDefault="00FC64CF" w:rsidP="0059013A">
      <w:pPr>
        <w:pStyle w:val="Default"/>
        <w:numPr>
          <w:ilvl w:val="0"/>
          <w:numId w:val="6"/>
        </w:numPr>
        <w:spacing w:after="0"/>
      </w:pPr>
      <w:r>
        <w:t>Une révision du cadre réglementaire des pratiques de gouvernance d'entreprise des banques, y compris l'introduction de critères de sélection des cadres supérieurs et des membres du conseil d'administration.</w:t>
      </w:r>
    </w:p>
    <w:p w:rsidR="00C6794C" w:rsidRDefault="00FC64CF" w:rsidP="00C6794C">
      <w:pPr>
        <w:pStyle w:val="Default"/>
        <w:numPr>
          <w:ilvl w:val="0"/>
          <w:numId w:val="6"/>
        </w:numPr>
        <w:spacing w:after="0"/>
      </w:pPr>
      <w:r>
        <w:t>La mise à la disposition des citoyens de mécanismes de suivi et évaluation leur permettant d'évaluer les résultats des programmes sociaux et des services publics (p. ex., fiches d'évaluation communautaires).</w:t>
      </w:r>
    </w:p>
    <w:p w:rsidR="00C6794C" w:rsidRPr="0018036A" w:rsidRDefault="00C6794C" w:rsidP="00C6794C">
      <w:pPr>
        <w:pStyle w:val="Default"/>
        <w:numPr>
          <w:ilvl w:val="0"/>
          <w:numId w:val="0"/>
        </w:numPr>
        <w:spacing w:after="0"/>
        <w:ind w:left="720"/>
      </w:pPr>
    </w:p>
    <w:p w:rsidR="00890F37" w:rsidRPr="0018036A" w:rsidRDefault="00DA7A46"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 Gouvernement intérimaire a créé en 2011 une commission de gouvernance indépendante chargée d'enquêter sur les allégations de corruption et de malversations du régime de Ben Ali</w:t>
      </w:r>
      <w:r>
        <w:rPr>
          <w:rFonts w:ascii="Times New Roman" w:hAnsi="Times New Roman"/>
          <w:sz w:val="22"/>
        </w:rPr>
        <w:t>. Le rapport de la commission publié en novembre 2011 a conclu que la corruption était répandue dans tous les organismes de l'État, ministères, banques et médias, et qu'elle avait envahi l'administration, le système judiciaire, l'immobilier, les travaux publics et les attributions de marchés, les privatisations, les télécommunications et le système fiscal.</w:t>
      </w:r>
      <w:r w:rsidR="006D6057">
        <w:rPr>
          <w:rFonts w:ascii="Times New Roman" w:hAnsi="Times New Roman"/>
          <w:sz w:val="22"/>
        </w:rPr>
        <w:t xml:space="preserve"> </w:t>
      </w:r>
      <w:r>
        <w:rPr>
          <w:rFonts w:ascii="Times New Roman" w:hAnsi="Times New Roman"/>
          <w:sz w:val="22"/>
        </w:rPr>
        <w:t>La commission a formulé des recommandations afin de renforcer le cadre juridique et institutionnel de lutte contre la corruption. À la suite de ce rapport, le Gouvernement a approuvé un décret-loi prévoyant la mise en place d'un cadre permanent de lutte contre la corruption qui contribuera à préparer la voie à la mise en place d'institutions plus solides afin de prévenir et lutter efficacement contre la corruption.</w:t>
      </w:r>
    </w:p>
    <w:p w:rsidR="000C0408" w:rsidRPr="00C6794C" w:rsidRDefault="000C0408" w:rsidP="00D663A5">
      <w:pPr>
        <w:jc w:val="both"/>
        <w:rPr>
          <w:rFonts w:ascii="Times New Roman" w:hAnsi="Times New Roman"/>
          <w:sz w:val="16"/>
          <w:szCs w:val="16"/>
        </w:rPr>
      </w:pPr>
    </w:p>
    <w:p w:rsidR="00522B69" w:rsidRPr="0018036A" w:rsidRDefault="000C0408" w:rsidP="00BE735C">
      <w:pPr>
        <w:pStyle w:val="ListParagraph"/>
        <w:numPr>
          <w:ilvl w:val="0"/>
          <w:numId w:val="44"/>
        </w:numPr>
        <w:ind w:left="0" w:firstLine="0"/>
        <w:jc w:val="both"/>
        <w:rPr>
          <w:rFonts w:ascii="Times New Roman" w:eastAsia="Times New Roman" w:hAnsi="Times New Roman"/>
          <w:color w:val="000000"/>
          <w:sz w:val="22"/>
          <w:szCs w:val="22"/>
        </w:rPr>
      </w:pPr>
      <w:r>
        <w:rPr>
          <w:rFonts w:ascii="Times New Roman" w:hAnsi="Times New Roman"/>
          <w:b/>
          <w:sz w:val="22"/>
        </w:rPr>
        <w:t>L' Initiative pour le recouvrement des avoirs volés (StAR), parrainée conjointement par la Banque mondiale et l'ONU, a appuyé les efforts des autorités tunisiennes de récupération des fonds et des actifs volés</w:t>
      </w:r>
      <w:r>
        <w:rPr>
          <w:rFonts w:ascii="Times New Roman" w:hAnsi="Times New Roman"/>
          <w:sz w:val="22"/>
        </w:rPr>
        <w:t>. Les autorités tunisiennes</w:t>
      </w:r>
      <w:r>
        <w:rPr>
          <w:rFonts w:ascii="Times New Roman" w:hAnsi="Times New Roman"/>
          <w:color w:val="000000"/>
          <w:sz w:val="22"/>
        </w:rPr>
        <w:t xml:space="preserve"> travaillent avec le programme en vue de concevoir et mettre en œuvre une stratégie d'enquête et de former des enquêteurs et des juges tunisiens. StAR facilite également les contacts et la coopération à l'échelle internationale, notamment dans le cadre de la procédure d'entraide mutuelle juridique (</w:t>
      </w:r>
      <w:r>
        <w:rPr>
          <w:rFonts w:ascii="Times New Roman" w:hAnsi="Times New Roman"/>
          <w:i/>
          <w:color w:val="000000"/>
          <w:sz w:val="22"/>
        </w:rPr>
        <w:t>Mutual Legal Assistance</w:t>
      </w:r>
      <w:r>
        <w:rPr>
          <w:rFonts w:ascii="Times New Roman" w:hAnsi="Times New Roman"/>
          <w:color w:val="000000"/>
          <w:sz w:val="22"/>
        </w:rPr>
        <w:t>).</w:t>
      </w:r>
      <w:r w:rsidR="006D6057">
        <w:rPr>
          <w:rFonts w:ascii="Times New Roman" w:hAnsi="Times New Roman"/>
          <w:color w:val="000000"/>
          <w:sz w:val="22"/>
        </w:rPr>
        <w:t xml:space="preserve"> </w:t>
      </w:r>
      <w:r>
        <w:rPr>
          <w:rFonts w:ascii="Times New Roman" w:hAnsi="Times New Roman"/>
          <w:color w:val="000000"/>
          <w:sz w:val="22"/>
        </w:rPr>
        <w:t>Le gouverneur de la Banque centrale de la Tunisie préside le Comité pour le recouvrement des avoirs volés, créé en mars 2011 et chargé de mener les efforts de recouvrement des actifs et de les coordonner avec les organismes concernés (Intérieur, Justice, Finances et autres). Bien que certains actifs matériels aient pu être récupérés, y compris des avions en France et en Suisse qui ont été rendus à la Tunisie, le processus sera long et difficile, mais il va aider à restaurer la confiance dans le Gouvernement.</w:t>
      </w:r>
    </w:p>
    <w:p w:rsidR="008E0372" w:rsidRDefault="008E0372">
      <w:pPr>
        <w:rPr>
          <w:rFonts w:ascii="Times New Roman" w:eastAsia="Times New Roman" w:hAnsi="Times New Roman"/>
          <w:color w:val="000000"/>
          <w:sz w:val="16"/>
          <w:szCs w:val="16"/>
        </w:rPr>
      </w:pPr>
      <w:r>
        <w:br w:type="page"/>
      </w:r>
    </w:p>
    <w:p w:rsidR="00BE59CA" w:rsidRPr="0018036A" w:rsidRDefault="00BE59CA" w:rsidP="00E466FD">
      <w:pPr>
        <w:pStyle w:val="Heading1"/>
        <w:numPr>
          <w:ilvl w:val="0"/>
          <w:numId w:val="41"/>
        </w:numPr>
        <w:rPr>
          <w:rFonts w:ascii="Times New Roman" w:hAnsi="Times New Roman"/>
          <w:sz w:val="24"/>
          <w:szCs w:val="24"/>
        </w:rPr>
      </w:pPr>
      <w:bookmarkStart w:id="28" w:name="_Toc323821461"/>
      <w:bookmarkStart w:id="29" w:name="_Toc327979094"/>
      <w:r>
        <w:rPr>
          <w:rFonts w:ascii="Times New Roman" w:hAnsi="Times New Roman"/>
          <w:sz w:val="24"/>
        </w:rPr>
        <w:lastRenderedPageBreak/>
        <w:t>LE PROGRAMME DU GOUVERNEMENT</w:t>
      </w:r>
      <w:bookmarkEnd w:id="28"/>
      <w:bookmarkEnd w:id="29"/>
    </w:p>
    <w:p w:rsidR="00BE59CA" w:rsidRPr="00C6794C" w:rsidRDefault="00BE59CA" w:rsidP="00BE59CA">
      <w:pPr>
        <w:jc w:val="both"/>
        <w:rPr>
          <w:rFonts w:ascii="Times New Roman" w:hAnsi="Times New Roman"/>
          <w:b/>
          <w:sz w:val="16"/>
          <w:szCs w:val="16"/>
        </w:rPr>
      </w:pPr>
    </w:p>
    <w:p w:rsidR="0027545A" w:rsidRPr="0018036A" w:rsidRDefault="00D36568" w:rsidP="00BE735C">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color w:val="000000"/>
          <w:sz w:val="22"/>
        </w:rPr>
        <w:t>Le Gouvernement de l'Assemblée constituante a préparé au début de 2012 un projet de loi de finances complémentaire et a commencé à travailler sur un programme de relance économique, en mettant l'accent sur les régions accusant du retard.</w:t>
      </w:r>
      <w:r w:rsidR="006D6057">
        <w:rPr>
          <w:rFonts w:ascii="Times New Roman" w:hAnsi="Times New Roman"/>
          <w:b/>
          <w:color w:val="000000"/>
          <w:sz w:val="22"/>
        </w:rPr>
        <w:t xml:space="preserve"> </w:t>
      </w:r>
      <w:r>
        <w:rPr>
          <w:rFonts w:ascii="Times New Roman" w:hAnsi="Times New Roman"/>
          <w:color w:val="000000"/>
          <w:sz w:val="22"/>
        </w:rPr>
        <w:t xml:space="preserve">Le programme présuppose une croissance économique de 3,5 % en 2012 se traduisant par la création de 70 000 nouveaux emplois. Le projet de loi de finances complémentaire pour 2012 a été approuvé par le Conseil des ministres le 30 mars 2012 et devrait être approuvé par l'Assemblée constituante en mai 2012. </w:t>
      </w:r>
    </w:p>
    <w:p w:rsidR="0027545A" w:rsidRPr="00C6794C" w:rsidRDefault="0027545A" w:rsidP="00F52AA3">
      <w:pPr>
        <w:tabs>
          <w:tab w:val="left" w:pos="810"/>
        </w:tabs>
        <w:autoSpaceDE w:val="0"/>
        <w:autoSpaceDN w:val="0"/>
        <w:adjustRightInd w:val="0"/>
        <w:jc w:val="both"/>
        <w:rPr>
          <w:rFonts w:ascii="Times New Roman" w:eastAsia="Times New Roman" w:hAnsi="Times New Roman"/>
          <w:color w:val="000000"/>
          <w:sz w:val="16"/>
          <w:szCs w:val="16"/>
        </w:rPr>
      </w:pPr>
    </w:p>
    <w:p w:rsidR="0027545A" w:rsidRPr="0018036A" w:rsidRDefault="00D36568" w:rsidP="00BE735C">
      <w:pPr>
        <w:pStyle w:val="ListParagraph"/>
        <w:numPr>
          <w:ilvl w:val="0"/>
          <w:numId w:val="44"/>
        </w:numPr>
        <w:ind w:left="0" w:firstLine="0"/>
        <w:jc w:val="both"/>
        <w:rPr>
          <w:rFonts w:ascii="Times New Roman" w:eastAsia="Times New Roman" w:hAnsi="Times New Roman"/>
          <w:color w:val="000000"/>
          <w:sz w:val="22"/>
          <w:szCs w:val="22"/>
        </w:rPr>
      </w:pPr>
      <w:r>
        <w:rPr>
          <w:rFonts w:ascii="Times New Roman" w:hAnsi="Times New Roman"/>
          <w:b/>
          <w:color w:val="000000"/>
          <w:sz w:val="22"/>
        </w:rPr>
        <w:t>À court terme, le principal défi du Gouvernement est de garantir la paix sociale et la sécurité comme condition préalable de restauration de l'activité économique permettant de remettre l'économie sur une trajectoire de croissance.</w:t>
      </w:r>
      <w:r w:rsidR="006D6057">
        <w:rPr>
          <w:rFonts w:ascii="Times New Roman" w:hAnsi="Times New Roman"/>
          <w:b/>
          <w:color w:val="000000"/>
          <w:sz w:val="22"/>
        </w:rPr>
        <w:t xml:space="preserve"> </w:t>
      </w:r>
      <w:r>
        <w:rPr>
          <w:rFonts w:ascii="Times New Roman" w:hAnsi="Times New Roman"/>
          <w:color w:val="000000"/>
          <w:sz w:val="22"/>
        </w:rPr>
        <w:t>Le Gouvernement cherche aussi à créer un environnement propice à des réformes structurelles qui pourraient, en particulier, réduire le chômage et les disparités régionales et améliorer les conditions de vie dans tout le pays. Dorénavant, le Gouvernement cherche à promouvoir la fierté nationale afin de rassembler les citoyens, en mettant de côté les considérations d'ordre religieux et politique.</w:t>
      </w:r>
    </w:p>
    <w:p w:rsidR="0027545A" w:rsidRPr="00C6794C" w:rsidRDefault="0027545A" w:rsidP="0027545A">
      <w:pPr>
        <w:tabs>
          <w:tab w:val="left" w:pos="810"/>
        </w:tabs>
        <w:autoSpaceDE w:val="0"/>
        <w:autoSpaceDN w:val="0"/>
        <w:adjustRightInd w:val="0"/>
        <w:jc w:val="both"/>
        <w:rPr>
          <w:rFonts w:ascii="Times New Roman" w:eastAsia="Times New Roman" w:hAnsi="Times New Roman"/>
          <w:color w:val="000000"/>
          <w:sz w:val="16"/>
          <w:szCs w:val="16"/>
        </w:rPr>
      </w:pPr>
    </w:p>
    <w:p w:rsidR="00D44DE1" w:rsidRDefault="00D36568" w:rsidP="00BE735C">
      <w:pPr>
        <w:pStyle w:val="ListParagraph"/>
        <w:numPr>
          <w:ilvl w:val="0"/>
          <w:numId w:val="44"/>
        </w:numPr>
        <w:ind w:left="0" w:firstLine="0"/>
        <w:jc w:val="both"/>
        <w:rPr>
          <w:rFonts w:ascii="Times New Roman" w:eastAsia="Times New Roman" w:hAnsi="Times New Roman"/>
          <w:color w:val="000000"/>
          <w:sz w:val="22"/>
          <w:szCs w:val="22"/>
        </w:rPr>
      </w:pPr>
      <w:r>
        <w:rPr>
          <w:rFonts w:ascii="Times New Roman" w:hAnsi="Times New Roman"/>
          <w:b/>
          <w:color w:val="000000"/>
          <w:sz w:val="22"/>
        </w:rPr>
        <w:t>Le projet de programme de relance économique communiqué à la Banque et les récentes discussions avec les autorités portent sur les éléments suivants :</w:t>
      </w:r>
      <w:r w:rsidR="006D6057">
        <w:rPr>
          <w:rFonts w:ascii="Times New Roman" w:hAnsi="Times New Roman"/>
          <w:color w:val="000000"/>
          <w:sz w:val="22"/>
        </w:rPr>
        <w:t xml:space="preserve"> </w:t>
      </w:r>
      <w:r>
        <w:rPr>
          <w:rFonts w:ascii="Times New Roman" w:hAnsi="Times New Roman"/>
          <w:color w:val="000000"/>
          <w:sz w:val="22"/>
        </w:rPr>
        <w:t>(i) réformes du secteur financier (bancaire) ; (ii) amélioration de la gouvernance ; (iii) renforcement de la compétitivité et du cadre de l'activité économique ; (iv) intensification des programmes de filets de protection sociale ; (v) promotion du développement régional en utilisant, entre autres, les techniques de développement conduit par les communautés ; (vi) appui à la protection de l'environnement et optimisation des ressources naturelles ; et (vii) création d'opportunités d'emplois à court terme pour le nombre croissant de chômeurs. Les réformes de gouvernance comprennent le renforcement du cadre institutionnel pour lutter contre la corruption, l'amélioration de la transparence, le renforcement de l'accès à l'information et la correction des inefficacités des procédures de passation des marchés et d'attribution des marchés. Concernant les améliorations à apporter au cadre de l'activité économique, le Gouvernement étudie plusieurs options sur la meilleure manière de répondre aux recommandations de la récente évaluation du secteur financier (PESF) afin de renforcer le secteur bancaire, y compris une recapitalisation des banques et une réforme du Code des incitations à l'investissement susceptibles d'attirer des investissements nationaux et internationaux dans les secteurs innovants. En ce qui concerne le développement régional, le Gouvernement envisage de donner aux 24 gouvernorats de la Tunisie la latitude de prendre des décisions en matière de développement et d'allouer les ressources financières correspondantes. En termes de programmes publics pour les chômeurs, le Gouvernement étudie la possibilité de restructurer le programme AMAL</w:t>
      </w:r>
      <w:r w:rsidR="006D6057">
        <w:rPr>
          <w:rFonts w:ascii="Times New Roman" w:hAnsi="Times New Roman"/>
          <w:color w:val="000000"/>
          <w:sz w:val="22"/>
        </w:rPr>
        <w:t xml:space="preserve"> </w:t>
      </w:r>
      <w:r>
        <w:rPr>
          <w:rFonts w:ascii="Times New Roman" w:hAnsi="Times New Roman"/>
          <w:color w:val="000000"/>
          <w:sz w:val="23"/>
        </w:rPr>
        <w:t xml:space="preserve">(transferts monétaires et appui à l'emploi pour les chômeurs) </w:t>
      </w:r>
      <w:r>
        <w:rPr>
          <w:rFonts w:ascii="Times New Roman" w:hAnsi="Times New Roman"/>
          <w:color w:val="000000"/>
          <w:sz w:val="22"/>
        </w:rPr>
        <w:t xml:space="preserve">pour le rendre plus efficace. </w:t>
      </w:r>
    </w:p>
    <w:p w:rsidR="00D44DE1" w:rsidRDefault="00D44DE1">
      <w:pPr>
        <w:pStyle w:val="ListParagraph"/>
        <w:ind w:left="0"/>
        <w:jc w:val="both"/>
        <w:rPr>
          <w:rFonts w:ascii="Times New Roman" w:eastAsia="Times New Roman" w:hAnsi="Times New Roman"/>
          <w:color w:val="000000"/>
          <w:sz w:val="22"/>
          <w:szCs w:val="22"/>
        </w:rPr>
      </w:pPr>
    </w:p>
    <w:p w:rsidR="00040D18" w:rsidRPr="0018036A" w:rsidRDefault="005264CB" w:rsidP="00E466FD">
      <w:pPr>
        <w:pStyle w:val="Heading1"/>
        <w:numPr>
          <w:ilvl w:val="0"/>
          <w:numId w:val="41"/>
        </w:numPr>
        <w:rPr>
          <w:rFonts w:ascii="Times New Roman" w:hAnsi="Times New Roman"/>
          <w:sz w:val="24"/>
          <w:szCs w:val="24"/>
        </w:rPr>
      </w:pPr>
      <w:bookmarkStart w:id="30" w:name="_Toc323821462"/>
      <w:bookmarkStart w:id="31" w:name="_Toc327979095"/>
      <w:r>
        <w:rPr>
          <w:rFonts w:ascii="Times New Roman" w:hAnsi="Times New Roman"/>
          <w:sz w:val="24"/>
        </w:rPr>
        <w:t>STRATÉGIE INTÉRIMAIRE DU GROUPE DE LA BANQUE MONDIALE</w:t>
      </w:r>
      <w:bookmarkEnd w:id="30"/>
      <w:bookmarkEnd w:id="31"/>
    </w:p>
    <w:p w:rsidR="00040D18" w:rsidRPr="0018036A" w:rsidRDefault="00040D18" w:rsidP="00791617">
      <w:pPr>
        <w:pStyle w:val="Heading2"/>
        <w:spacing w:before="120"/>
        <w:rPr>
          <w:rFonts w:ascii="Times New Roman" w:hAnsi="Times New Roman"/>
          <w:i w:val="0"/>
          <w:sz w:val="22"/>
          <w:szCs w:val="22"/>
        </w:rPr>
      </w:pPr>
      <w:bookmarkStart w:id="32" w:name="_Toc323821463"/>
      <w:bookmarkStart w:id="33" w:name="_Toc327979096"/>
      <w:r>
        <w:rPr>
          <w:rFonts w:ascii="Times New Roman" w:hAnsi="Times New Roman"/>
          <w:i w:val="0"/>
          <w:sz w:val="23"/>
        </w:rPr>
        <w:t>A.</w:t>
      </w:r>
      <w:r>
        <w:tab/>
      </w:r>
      <w:r>
        <w:rPr>
          <w:rFonts w:ascii="Times New Roman" w:hAnsi="Times New Roman"/>
          <w:i w:val="0"/>
          <w:sz w:val="22"/>
        </w:rPr>
        <w:t>Engagements récents du Groupe de la Banque mondiale en Tunisie</w:t>
      </w:r>
      <w:bookmarkEnd w:id="32"/>
      <w:bookmarkEnd w:id="33"/>
    </w:p>
    <w:p w:rsidR="00040D18" w:rsidRPr="001254AF" w:rsidRDefault="00040D18" w:rsidP="00040D18">
      <w:pPr>
        <w:pStyle w:val="ListParagraph"/>
        <w:spacing w:after="200" w:line="276" w:lineRule="auto"/>
        <w:ind w:left="0" w:right="-180"/>
        <w:jc w:val="both"/>
        <w:rPr>
          <w:rFonts w:ascii="Times New Roman" w:hAnsi="Times New Roman"/>
          <w:sz w:val="16"/>
          <w:szCs w:val="16"/>
        </w:rPr>
      </w:pPr>
    </w:p>
    <w:p w:rsidR="00F55F63" w:rsidRPr="0018036A" w:rsidRDefault="00040D18" w:rsidP="005D5A97">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L'engagement du Groupe de la Banque mondiale s'est sensiblement intensifié en 2011.</w:t>
      </w:r>
      <w:r>
        <w:rPr>
          <w:rFonts w:ascii="Times New Roman" w:hAnsi="Times New Roman"/>
          <w:sz w:val="22"/>
        </w:rPr>
        <w:t xml:space="preserve"> La demande de financement de la Banque avait régulièrement baissé dans le milieu des années 2000 au moment où la Tunisie obtenait une cote de catégorie investissement et pouvait accéder aux marchés financiers internationaux. En raison de la crise économique mondiale, les prêts de la Banque à la Tunisie ont fortement augmenté, passant de 6 millions de dollars pour l'exercice 2008 à 336 millions de dollars pour l'exercice 2009. La Banque a préparé un Cadre de partenariat stratégique (CPS) pour la Tunisie Ex. 10-13 à l'appui de son Plan </w:t>
      </w:r>
      <w:r>
        <w:br/>
      </w:r>
      <w:r>
        <w:rPr>
          <w:rFonts w:ascii="Times New Roman" w:hAnsi="Times New Roman"/>
          <w:sz w:val="22"/>
        </w:rPr>
        <w:t xml:space="preserve">de développement national 2007-2011. Le CPS s'est attaché à appuyer les efforts de création d'emplois de la Tunisie par le biais d'une économie basée sur les connaissances et d'investissements dans le développement </w:t>
      </w:r>
      <w:r>
        <w:rPr>
          <w:rFonts w:ascii="Times New Roman" w:hAnsi="Times New Roman"/>
          <w:sz w:val="22"/>
        </w:rPr>
        <w:lastRenderedPageBreak/>
        <w:t>humain</w:t>
      </w:r>
      <w:r>
        <w:rPr>
          <w:rStyle w:val="FootnoteReference"/>
          <w:rFonts w:ascii="Times New Roman" w:hAnsi="Times New Roman"/>
          <w:sz w:val="22"/>
        </w:rPr>
        <w:footnoteReference w:id="14"/>
      </w:r>
      <w:r>
        <w:rPr>
          <w:rFonts w:ascii="Times New Roman" w:hAnsi="Times New Roman"/>
          <w:sz w:val="22"/>
        </w:rPr>
        <w:t xml:space="preserve">. Les prêts et AAA proposés portaient essentiellement sur des investissements et des réformes aidant la Tunisie à accélérer ses transformations structurelles pour instaurer une économie à plus forte valeur ajoutée, intensive en connaissance, renforçant sa compétitivité et permettant de créer plus d'emplois pour le nombre élevé de chômeurs diplômés. Ils comprenaient également un appui à l'éducation et aux services de santé, aux services d'infrastructures de base, au développement rural et municipal et à l'énergie. La Banque a relevé le statut de son Bureau de liaison de Tunis en Représentation de la Banque mondiale et a nommé un Représentant résident au début de 2011. </w:t>
      </w:r>
    </w:p>
    <w:p w:rsidR="00040D18" w:rsidRPr="001254AF" w:rsidRDefault="00040D18" w:rsidP="000E1D0D">
      <w:pPr>
        <w:pStyle w:val="ListParagraph"/>
        <w:tabs>
          <w:tab w:val="left" w:pos="810"/>
        </w:tabs>
        <w:autoSpaceDE w:val="0"/>
        <w:autoSpaceDN w:val="0"/>
        <w:adjustRightInd w:val="0"/>
        <w:ind w:left="0"/>
        <w:jc w:val="both"/>
        <w:rPr>
          <w:rFonts w:ascii="Times New Roman" w:hAnsi="Times New Roman"/>
          <w:sz w:val="16"/>
          <w:szCs w:val="16"/>
        </w:rPr>
      </w:pPr>
    </w:p>
    <w:p w:rsidR="007D507D" w:rsidRPr="0018036A" w:rsidRDefault="007D507D" w:rsidP="00BE735C">
      <w:pPr>
        <w:pStyle w:val="ListParagraph"/>
        <w:numPr>
          <w:ilvl w:val="0"/>
          <w:numId w:val="44"/>
        </w:numPr>
        <w:ind w:left="0" w:firstLine="0"/>
        <w:jc w:val="both"/>
        <w:rPr>
          <w:rFonts w:ascii="Times New Roman" w:hAnsi="Times New Roman"/>
          <w:i/>
          <w:sz w:val="22"/>
          <w:szCs w:val="22"/>
        </w:rPr>
      </w:pPr>
      <w:r>
        <w:rPr>
          <w:rFonts w:ascii="Times New Roman" w:hAnsi="Times New Roman"/>
          <w:b/>
          <w:sz w:val="22"/>
        </w:rPr>
        <w:t>L'appui de la Banque à la Tunisie avant la révolution était considéré comme insuffisamment audacieux en matière de gouvernance et de transparence.</w:t>
      </w:r>
      <w:r>
        <w:rPr>
          <w:rFonts w:ascii="Times New Roman" w:hAnsi="Times New Roman"/>
          <w:sz w:val="22"/>
        </w:rPr>
        <w:t xml:space="preserve"> La Banque a mis en évidence les limites du modèle de développement de la Tunisie dans la Revue de la politique de développement 2010 (DPR) qui a inspiré le CPS Ex.10-13. La DPR a mis en évidence les réformes essentielles nécessaires pour renforcer la concurrence et l'équité à l'égard du secteur privé national ; stimuler la productivité et améliorer la capacité du secteur privé (y compris le secteur agricole) d'absorption des employés hautement qualifiés ; renforcer l'intégration commerciale ; fortifier le secteur financier, adapter l'éducation, améliorer le fonctionnement du marché de l'emploi, renforcer les performances des municipalités et moderniser les administrations publiques, mais aussi accroître l'ouverture et remédier sans délai aux faiblesses des mécanismes de passation des marchés publics.</w:t>
      </w:r>
      <w:r w:rsidR="006D6057">
        <w:rPr>
          <w:rFonts w:ascii="Times New Roman" w:hAnsi="Times New Roman"/>
          <w:sz w:val="22"/>
        </w:rPr>
        <w:t xml:space="preserve"> </w:t>
      </w:r>
      <w:r>
        <w:rPr>
          <w:rFonts w:ascii="Times New Roman" w:hAnsi="Times New Roman"/>
          <w:sz w:val="22"/>
        </w:rPr>
        <w:t>En revanche, les réformes visant à créer une économie plus ouverte et des règles du jeu plus équitables ont progressé très lentement et la Banque a été jugée comme n'ayant pas suffisamment insisté sur certains problèmes graves de gouvernance, de transparence et de responsabilité qui ont affaibli la participation citoyenne et compromis les performances économiques et les perspectives de renforcement de la participation à l'activité économique pour les Tunisiens. Un enseignement peut être tiré de la brève période de mise en œuvre du CPS et du printemps arabe, selon lequel la transparence, la représentativité et la responsabilité sont fondamentales en matière de croissance durable et partagée et de réduction de la pauvreté.</w:t>
      </w:r>
    </w:p>
    <w:p w:rsidR="007D507D" w:rsidRPr="001254AF" w:rsidRDefault="007D507D" w:rsidP="007D507D">
      <w:pPr>
        <w:pStyle w:val="ListParagraph"/>
        <w:tabs>
          <w:tab w:val="left" w:pos="810"/>
        </w:tabs>
        <w:autoSpaceDE w:val="0"/>
        <w:autoSpaceDN w:val="0"/>
        <w:adjustRightInd w:val="0"/>
        <w:ind w:left="0"/>
        <w:jc w:val="both"/>
        <w:rPr>
          <w:rFonts w:ascii="Times New Roman" w:hAnsi="Times New Roman"/>
          <w:i/>
          <w:sz w:val="16"/>
          <w:szCs w:val="16"/>
        </w:rPr>
      </w:pPr>
    </w:p>
    <w:p w:rsidR="004458F0" w:rsidRDefault="004458F0" w:rsidP="003B0382">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Avant janvier 2011, la SFI n'avait qu'un rôle limité en Tunisie lié à un cadre de l'activité économique difficile et à la difficulté de l'identification des partenaires adéquats.</w:t>
      </w:r>
      <w:r w:rsidR="006D6057">
        <w:rPr>
          <w:rFonts w:ascii="Times New Roman" w:hAnsi="Times New Roman"/>
          <w:b/>
          <w:sz w:val="22"/>
        </w:rPr>
        <w:t xml:space="preserve"> </w:t>
      </w:r>
      <w:r>
        <w:rPr>
          <w:rFonts w:ascii="Times New Roman" w:hAnsi="Times New Roman"/>
          <w:sz w:val="22"/>
        </w:rPr>
        <w:t>L'engagement de la SFI en Tunisie s'est manifesté principalement dans les infrastructures et dans le secteur financier, avec un accent sur ​​le financement des</w:t>
      </w:r>
      <w:r w:rsidR="006D6057">
        <w:rPr>
          <w:rFonts w:ascii="Times New Roman" w:hAnsi="Times New Roman"/>
          <w:sz w:val="22"/>
        </w:rPr>
        <w:t xml:space="preserve"> </w:t>
      </w:r>
      <w:r>
        <w:rPr>
          <w:rFonts w:ascii="Times New Roman" w:hAnsi="Times New Roman"/>
          <w:sz w:val="22"/>
        </w:rPr>
        <w:t xml:space="preserve">micro, petites et moyennes entreprises (MPME). Ceci inclut la première concession d'aéroport en Afrique du Nord, des fonds de PME, des fonds ciblés sur les petites et moyennes entreprises (PME), des opérations de microfinance ciblant des femmes emprunteurs, et des engagements sélectifs dans des industries à forte valeur ajoutée (électronique). </w:t>
      </w:r>
    </w:p>
    <w:p w:rsidR="004458F0" w:rsidRPr="004458F0" w:rsidRDefault="004458F0" w:rsidP="004458F0">
      <w:pPr>
        <w:pStyle w:val="ListParagraph"/>
        <w:rPr>
          <w:rFonts w:ascii="Times New Roman" w:hAnsi="Times New Roman"/>
          <w:sz w:val="22"/>
          <w:szCs w:val="22"/>
        </w:rPr>
      </w:pPr>
    </w:p>
    <w:p w:rsidR="00F55F63" w:rsidRPr="007E13F4" w:rsidRDefault="004458F0" w:rsidP="003B506F">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Depuis janvier 2011, la SFI a intensifié son engagement et établi une présence sur le terrain à Tunis pour la première fois</w:t>
      </w:r>
      <w:r>
        <w:rPr>
          <w:rFonts w:ascii="Times New Roman" w:hAnsi="Times New Roman"/>
          <w:sz w:val="22"/>
        </w:rPr>
        <w:t xml:space="preserve"> .</w:t>
      </w:r>
      <w:r w:rsidR="006D6057">
        <w:rPr>
          <w:rFonts w:ascii="Times New Roman" w:hAnsi="Times New Roman"/>
          <w:sz w:val="22"/>
        </w:rPr>
        <w:t xml:space="preserve"> </w:t>
      </w:r>
      <w:r>
        <w:rPr>
          <w:rFonts w:ascii="Times New Roman" w:hAnsi="Times New Roman"/>
          <w:sz w:val="22"/>
        </w:rPr>
        <w:t xml:space="preserve">La SFI a engagé quatre nouveaux investissements s'élevant à 50 millions de dollars depuis janvier 2011 (comparativement à un total de cinq au cours des dix années précédentes) dans les secteurs des soins de santé, financier/fonds et du pétrole et du gaz naturel. En parallèle, la SFI s'est engagée, avec des services de conseil conséquents, dans les domaines du climat des investissements, de l'éducation pour l'emploi (e4e) en mettant l'accent sur l'emploi des jeunes, la promotion de la bonne gouvernance d'entreprise et l'appui à la micro-finance. Les nouveaux investissements de la SFI incluent une prise de participation de 8,2 millions de dollars pour aider à élargir l'accès de groupes à faible revenu et de personnes résidant dans des régions mal desservies à des soins de santé privés de qualité. Le projet permettra de créer plus de 1 000 emplois et de renforcer les compétences et l'employabilité des diplômés dans le secteur de la santé privé. La SFI a aussi engagé 22 millions de dollars à l'appui d'un fonds régional d'Afrique du Nord axé sur l'investissement dans les PME en Tunisie ; elle a fourni 10 millions de dollars de capitaux propres à une petite entreprise pétrolière et gazière ayant des actifs dans des régions frontalières accusant du retard ; et 10 millions </w:t>
      </w:r>
      <w:r>
        <w:rPr>
          <w:rFonts w:ascii="Times New Roman" w:hAnsi="Times New Roman"/>
          <w:sz w:val="22"/>
        </w:rPr>
        <w:lastRenderedPageBreak/>
        <w:t>de dollars de facilité de financement du commerce à une banque commerciale pour appuyer les exportations tunisiennes. La SFI a nommé en janvier 2012 un Représentant résident à Tunis installé dans les bureaux de la représentation de la Banque mondiale, et a l'intention de nommer des consultants pour assurer la mise en œuvre de son programme de conseil en pleine expansion.</w:t>
      </w:r>
    </w:p>
    <w:p w:rsidR="00680135" w:rsidRPr="006B68F6" w:rsidRDefault="00680135" w:rsidP="000E1D0D">
      <w:pPr>
        <w:tabs>
          <w:tab w:val="left" w:pos="810"/>
        </w:tabs>
        <w:autoSpaceDE w:val="0"/>
        <w:autoSpaceDN w:val="0"/>
        <w:adjustRightInd w:val="0"/>
        <w:jc w:val="both"/>
        <w:rPr>
          <w:rFonts w:ascii="Times New Roman" w:hAnsi="Times New Roman"/>
          <w:sz w:val="22"/>
          <w:szCs w:val="22"/>
        </w:rPr>
      </w:pPr>
    </w:p>
    <w:p w:rsidR="00F55F63" w:rsidRPr="0018036A" w:rsidRDefault="004C4CA3" w:rsidP="00BE735C">
      <w:pPr>
        <w:pStyle w:val="ListParagraph"/>
        <w:numPr>
          <w:ilvl w:val="0"/>
          <w:numId w:val="44"/>
        </w:numPr>
        <w:ind w:left="0" w:firstLine="0"/>
        <w:jc w:val="both"/>
        <w:rPr>
          <w:rFonts w:ascii="Times New Roman" w:hAnsi="Times New Roman"/>
          <w:bCs/>
          <w:sz w:val="22"/>
          <w:szCs w:val="22"/>
        </w:rPr>
      </w:pPr>
      <w:r>
        <w:rPr>
          <w:rFonts w:ascii="Times New Roman" w:hAnsi="Times New Roman"/>
          <w:b/>
          <w:color w:val="000000"/>
          <w:sz w:val="22"/>
        </w:rPr>
        <w:t>Le rôle de la MIGA est relativement limité en Tunisie.</w:t>
      </w:r>
      <w:r>
        <w:rPr>
          <w:rFonts w:ascii="Times New Roman" w:hAnsi="Times New Roman"/>
          <w:color w:val="000000"/>
          <w:sz w:val="22"/>
        </w:rPr>
        <w:t xml:space="preserve"> Son unique investissement le plus récent a été une garantie d'un montant de 240 millions de dollars, approuvée par le Conseil le 30 juin 2011, à l'appui du financement d'un ferry passagers/véhicules acquis par la Compagnie tunisienne de navigation. La MIGA a également des projets en cours dans le secteur manufacturier dans son portefeuille tunisien.</w:t>
      </w:r>
    </w:p>
    <w:p w:rsidR="004C4CA3" w:rsidRPr="001254AF" w:rsidRDefault="004C4CA3" w:rsidP="000E1D0D">
      <w:pPr>
        <w:pStyle w:val="ListParagraph"/>
        <w:spacing w:after="200"/>
        <w:ind w:left="0" w:right="-180"/>
        <w:jc w:val="both"/>
        <w:rPr>
          <w:rFonts w:ascii="Times New Roman" w:hAnsi="Times New Roman"/>
          <w:sz w:val="16"/>
          <w:szCs w:val="16"/>
        </w:rPr>
      </w:pPr>
    </w:p>
    <w:p w:rsidR="00F55F63" w:rsidRPr="0018036A" w:rsidRDefault="00EF2994"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Juste après la révolution de janvier 2011, la Banque a répondu rapidement à la demande du Gouvernement intérimaire d'aide à la définition d'actions prioritaires permettant de rompre avec le passé et d'appui à leur réalisation.</w:t>
      </w:r>
      <w:r>
        <w:rPr>
          <w:rFonts w:ascii="Times New Roman" w:hAnsi="Times New Roman"/>
          <w:sz w:val="22"/>
        </w:rPr>
        <w:t xml:space="preserve"> Des opérations de prêt et des travaux d'analyse en cours de préparation ont été suspendus tandis que la Banque engageait une collaboration avec le Gouvernement intérimaire afin d'appuyer les priorités post-révolution. Un nouvel ensemble d'activités de la Banque mondiale a été convenu, axé sur des mesures de réforme pour promouvoir la gouvernance, la transparence et la responsabilité et atténuer l'impact social du ralentissement économique. Le nouveau programme de 2011 comprend un Prêt à l’appui de la politique de développement pour la gouvernance et les opportunités, à tranche unique, d'un montant de 500 millions de dollars (PPD GO) appuyant des réformes visant à (i) améliorer la transparence et la responsabilité de manière visible afin de répondre aux aspirations de la population ; (ii) envoyer un signal aux investisseurs en leur démontrant que la Tunisie est en train de mettre en place des règles du jeu favorables à une croissance dirigée par le secteur privé ; et (iii) prendre des mesures immédiates pour soulager le sort des chômeurs et des groupes les plus pauvres et les plus vulnérables. Le programme PPD a été élaboré conjointement avec la BAD, l'UE et l'Agence française de développement (AFD), qui ont versé au total des contributions supplémentaires d'un montant de 800 millions de dollars, pour un montant total de prêts de 1,3 milliard de dollars. Les engagements de la Banque approuvés au cours de l'Ex. 11 ont atteint un montant record de 590 millions de dollars.</w:t>
      </w:r>
    </w:p>
    <w:p w:rsidR="00040D18" w:rsidRPr="001254AF" w:rsidRDefault="00040D18" w:rsidP="000E1D0D">
      <w:pPr>
        <w:autoSpaceDE w:val="0"/>
        <w:autoSpaceDN w:val="0"/>
        <w:adjustRightInd w:val="0"/>
        <w:jc w:val="both"/>
        <w:rPr>
          <w:rFonts w:ascii="Times New Roman" w:hAnsi="Times New Roman"/>
          <w:sz w:val="16"/>
          <w:szCs w:val="16"/>
        </w:rPr>
      </w:pPr>
    </w:p>
    <w:p w:rsidR="004A5C8D" w:rsidRDefault="00040D18"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et les autorités intérimaires ont fait également le point sur ​​le portefeuille d'investissements en cours pour s'assurer de leur pertinence à la suite de la révolution.</w:t>
      </w:r>
      <w:r w:rsidR="006D6057">
        <w:rPr>
          <w:rFonts w:ascii="Times New Roman" w:hAnsi="Times New Roman"/>
          <w:b/>
          <w:sz w:val="22"/>
        </w:rPr>
        <w:t xml:space="preserve"> </w:t>
      </w:r>
      <w:r>
        <w:rPr>
          <w:rFonts w:ascii="Times New Roman" w:hAnsi="Times New Roman"/>
          <w:sz w:val="22"/>
        </w:rPr>
        <w:t>Les opérations de prêts d'investissements et les projets du FEM qui étaient en cours avant la révolution continuent d'être mis en œuvre et des efforts ont été entrepris pour accélérer la mise en œuvre de deux opérations de développement conduit par les communautés (CDD) dans la mesure où elles portent sur l'amélioration des conditions socio-économiques des communautés pauvres et vulnérables dans les régions accusant du retard (le deuxième Projet de gestion des ressources naturelles, approuvé en juin 2010 et le quatrième Projet de développement des zones montagneuses et forestières du nord-ouest, approuvé en décembre 2010)</w:t>
      </w:r>
      <w:r>
        <w:rPr>
          <w:rStyle w:val="FootnoteReference"/>
          <w:rFonts w:ascii="Times New Roman" w:hAnsi="Times New Roman"/>
          <w:sz w:val="22"/>
        </w:rPr>
        <w:footnoteReference w:id="15"/>
      </w:r>
      <w:r>
        <w:rPr>
          <w:rFonts w:ascii="Times New Roman" w:hAnsi="Times New Roman"/>
          <w:sz w:val="22"/>
        </w:rPr>
        <w:t>. Des fonds fiduciaires ont été également mobilisés pour piloter des approches novatrices dans le domaine de l'emploi et des services de base (</w:t>
      </w:r>
      <w:r>
        <w:rPr>
          <w:rFonts w:ascii="Times New Roman" w:hAnsi="Times New Roman"/>
          <w:i/>
          <w:sz w:val="22"/>
        </w:rPr>
        <w:t>paragraphe 68</w:t>
      </w:r>
      <w:r>
        <w:rPr>
          <w:rFonts w:ascii="Times New Roman" w:hAnsi="Times New Roman"/>
          <w:sz w:val="22"/>
        </w:rPr>
        <w:t xml:space="preserve">). </w:t>
      </w:r>
    </w:p>
    <w:p w:rsidR="004A5C8D" w:rsidRPr="004A5C8D" w:rsidRDefault="004A5C8D" w:rsidP="004A5C8D">
      <w:pPr>
        <w:pStyle w:val="ListParagraph"/>
        <w:rPr>
          <w:rFonts w:ascii="Times New Roman" w:hAnsi="Times New Roman"/>
          <w:b/>
          <w:sz w:val="22"/>
          <w:szCs w:val="22"/>
        </w:rPr>
      </w:pPr>
    </w:p>
    <w:p w:rsidR="00535A4B" w:rsidRDefault="004A5C8D"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Le portefeuille de la Banque en Tunisie a été affecté par la révolution et la mise en œuvre de certaines activités a été retardée en 2011. </w:t>
      </w:r>
      <w:r>
        <w:rPr>
          <w:rFonts w:ascii="Times New Roman" w:hAnsi="Times New Roman"/>
          <w:sz w:val="22"/>
        </w:rPr>
        <w:t xml:space="preserve">Le portefeuille en cours comprend des financements de projets d'infrastructures, services sociaux, développement rural et gestion des ressources naturelles de la BIRD et du FEM. Les engagements réels sont estimés à 539 millions de dollars (comprenant un don de 29 millions de dollars du FEM) avec un solde non décaissé de 353 millions de dollars au 30 avril 2012. </w:t>
      </w:r>
      <w:r>
        <w:rPr>
          <w:rFonts w:ascii="Times New Roman" w:hAnsi="Times New Roman"/>
          <w:color w:val="000000"/>
          <w:sz w:val="22"/>
        </w:rPr>
        <w:t xml:space="preserve">Le ratio de décaissement des prêts à l'investissement a baissé, passant de 28 % au cours de l'Ex. 2010 à 20 % pour l'Ex. </w:t>
      </w:r>
      <w:r>
        <w:rPr>
          <w:rFonts w:ascii="Times New Roman" w:hAnsi="Times New Roman"/>
          <w:color w:val="000000"/>
          <w:sz w:val="22"/>
        </w:rPr>
        <w:lastRenderedPageBreak/>
        <w:t xml:space="preserve">2011, dépassant encore ainsi la moyenne régionale établie à 14 %. Le ralentissement du taux de décaissement des prêts d'investissement et certaines difficultés de mise en œuvre peuvent être attribués aux perturbations dues à la révolution et à la transition politique, y compris des retards du côté des entités décentralisées et des attributions des marchés de projets exigeant la participation d'investisseurs (secteur de l'énergie). </w:t>
      </w:r>
      <w:r>
        <w:rPr>
          <w:rFonts w:ascii="Times New Roman" w:hAnsi="Times New Roman"/>
          <w:sz w:val="22"/>
        </w:rPr>
        <w:t>Trois opérations d'investissement de la BIRD sont classées comme « projets à problèmes » : Le deuxième Projet de gestion des ressources naturelles, qui a connu un démarrage lent lié à la situation sociopolitique et à la transition politique, ce qui a retardé les décaissements ; le Projet d'investissement efficience énergétique et énergies renouvelables, qui comprend des activités visant à attirer les investissements privés dans le secteur de l'énergie, mais les investisseurs ont été peu enclins à se manifester dans la période précédant et suivant la révolution, ce qui a retardé la mise en œuvre ; et le Projet de gestion durable des déchets solides, qui a également été touché par les troubles politiques entraînant des retards dans les appels d'offres. La Banque examine les options qui permettraient de restructurer ces opérations.</w:t>
      </w:r>
    </w:p>
    <w:p w:rsidR="004E65A2" w:rsidRPr="00535A4B" w:rsidRDefault="004E65A2" w:rsidP="004E65A2">
      <w:pPr>
        <w:pStyle w:val="ListParagraph"/>
        <w:tabs>
          <w:tab w:val="left" w:pos="810"/>
        </w:tabs>
        <w:autoSpaceDE w:val="0"/>
        <w:autoSpaceDN w:val="0"/>
        <w:adjustRightInd w:val="0"/>
        <w:ind w:left="0"/>
        <w:jc w:val="both"/>
        <w:rPr>
          <w:rFonts w:ascii="Times New Roman" w:hAnsi="Times New Roman"/>
          <w:sz w:val="22"/>
          <w:szCs w:val="22"/>
        </w:rPr>
      </w:pPr>
    </w:p>
    <w:p w:rsidR="00F55F63" w:rsidRPr="0018036A" w:rsidRDefault="007957DA" w:rsidP="00BE735C">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La Banque prépare pour l'avenir des filtres de préparation à la mise en œuvre afin d'améliorer les taux de décaissement des projets après leur entrée en vigueur.</w:t>
      </w:r>
      <w:r>
        <w:rPr>
          <w:rFonts w:ascii="Times New Roman" w:hAnsi="Times New Roman"/>
          <w:color w:val="000000"/>
          <w:sz w:val="22"/>
        </w:rPr>
        <w:t xml:space="preserve"> L'équipe en charge de la gestion financière de la Banque collaborera également avec les équipes sectorielles pour intégrer dans les opérations des mesures permettant de renforcer les résultats en matière de gouvernance et de lutte contre la corruption de la Tunisie et de s'assurer que les fonds de la Banque sont utilisés conformément aux objectifs de développement des projets.</w:t>
      </w:r>
      <w:r>
        <w:rPr>
          <w:rFonts w:ascii="Times New Roman" w:hAnsi="Times New Roman"/>
          <w:sz w:val="22"/>
        </w:rPr>
        <w:t xml:space="preserve"> </w:t>
      </w:r>
      <w:r>
        <w:rPr>
          <w:rFonts w:ascii="Times New Roman" w:hAnsi="Times New Roman"/>
          <w:color w:val="000000"/>
          <w:sz w:val="22"/>
        </w:rPr>
        <w:t xml:space="preserve">En termes de progression vers une utilisation renforcée des mécanismes nationaux, </w:t>
      </w:r>
      <w:r>
        <w:rPr>
          <w:rFonts w:ascii="Times New Roman" w:hAnsi="Times New Roman"/>
          <w:sz w:val="22"/>
        </w:rPr>
        <w:t>la Banque pourra apporter un appui en vue de renforcer la fonction d'audit interne du Ministère des Finances et des ministères sectoriels afin de donner des assurances quant à la solidité et au respect des contrôles internes et d'améliorer progressivement l'équilibre entre les contrôles ex-ante et ex-post et d'instaurer une plus grande redevabilité des gestionnaires du secteur public. En outre, la Banque devra gérer avec soin la mobilisation des ressources d'un certain nombre de nouveaux fonds fiduciaires, y compris</w:t>
      </w:r>
      <w:r>
        <w:rPr>
          <w:rFonts w:ascii="Times New Roman" w:hAnsi="Times New Roman"/>
          <w:color w:val="000000"/>
          <w:sz w:val="22"/>
        </w:rPr>
        <w:t xml:space="preserve"> du Fonds japonais de développement social (JSDF) et du Fonds pour le renforcement de l'État et de la paix (SPF) finançant diverses activités pilotes afin de s'assurer de l'efficacité de leur mise en œuvre.</w:t>
      </w:r>
      <w:r w:rsidR="006D6057">
        <w:rPr>
          <w:rFonts w:ascii="Times New Roman" w:hAnsi="Times New Roman"/>
          <w:color w:val="000000"/>
          <w:sz w:val="22"/>
        </w:rPr>
        <w:t xml:space="preserve"> </w:t>
      </w:r>
      <w:r>
        <w:rPr>
          <w:rFonts w:ascii="Times New Roman" w:hAnsi="Times New Roman"/>
          <w:color w:val="000000"/>
          <w:sz w:val="22"/>
        </w:rPr>
        <w:t>Les opérations des nouveaux fonds fiduciaires devront être clairement liées aux activités des prêts de la BIRD afin de renforcer les synergies et les gains d'efficacité.</w:t>
      </w:r>
    </w:p>
    <w:p w:rsidR="00040D18" w:rsidRPr="0053713E" w:rsidRDefault="00040D18" w:rsidP="000E1D0D">
      <w:pPr>
        <w:tabs>
          <w:tab w:val="left" w:pos="0"/>
        </w:tabs>
        <w:jc w:val="both"/>
        <w:rPr>
          <w:sz w:val="16"/>
          <w:szCs w:val="16"/>
        </w:rPr>
      </w:pPr>
    </w:p>
    <w:p w:rsidR="003F750C" w:rsidRPr="006B68F6" w:rsidRDefault="006B68F6" w:rsidP="00BE735C">
      <w:pPr>
        <w:pStyle w:val="ListParagraph"/>
        <w:numPr>
          <w:ilvl w:val="0"/>
          <w:numId w:val="44"/>
        </w:numPr>
        <w:ind w:left="0" w:firstLine="0"/>
        <w:jc w:val="both"/>
        <w:rPr>
          <w:rFonts w:ascii="Times New Roman" w:hAnsi="Times New Roman"/>
          <w:bCs/>
          <w:sz w:val="22"/>
          <w:szCs w:val="22"/>
        </w:rPr>
      </w:pPr>
      <w:r>
        <w:rPr>
          <w:rFonts w:ascii="Times New Roman" w:hAnsi="Times New Roman"/>
          <w:b/>
          <w:sz w:val="22"/>
        </w:rPr>
        <w:t>Le portefeuille d'investissement engagé de la SFI en Tunisie s'est développé passant de 56 millions de dollars en 2006 à environ 250 millions de dollars à l'heure actuelle investis dans neuf sociétés</w:t>
      </w:r>
      <w:r>
        <w:rPr>
          <w:rFonts w:ascii="Times New Roman" w:hAnsi="Times New Roman"/>
          <w:sz w:val="22"/>
        </w:rPr>
        <w:t>. Le portefeuille de la SFI porte principalement sur les infrastructures (70 %) et les marchés financiers (23 %).</w:t>
      </w:r>
      <w:r w:rsidR="006D6057">
        <w:rPr>
          <w:rFonts w:ascii="Times New Roman" w:hAnsi="Times New Roman"/>
          <w:sz w:val="22"/>
        </w:rPr>
        <w:t xml:space="preserve"> </w:t>
      </w:r>
      <w:r>
        <w:rPr>
          <w:rFonts w:ascii="Times New Roman" w:hAnsi="Times New Roman"/>
          <w:sz w:val="22"/>
        </w:rPr>
        <w:t>L'investissement le plus important de la SFI dans</w:t>
      </w:r>
      <w:r w:rsidR="006D6057">
        <w:rPr>
          <w:rFonts w:ascii="Times New Roman" w:hAnsi="Times New Roman"/>
          <w:sz w:val="22"/>
        </w:rPr>
        <w:t xml:space="preserve"> </w:t>
      </w:r>
      <w:r>
        <w:rPr>
          <w:rFonts w:ascii="Times New Roman" w:hAnsi="Times New Roman"/>
          <w:sz w:val="22"/>
        </w:rPr>
        <w:t xml:space="preserve">TAV </w:t>
      </w:r>
      <w:r>
        <w:rPr>
          <w:rFonts w:ascii="Times New Roman" w:hAnsi="Times New Roman"/>
          <w:i/>
          <w:sz w:val="22"/>
        </w:rPr>
        <w:t>Tunisia Airports</w:t>
      </w:r>
      <w:r>
        <w:rPr>
          <w:rFonts w:ascii="Times New Roman" w:hAnsi="Times New Roman"/>
          <w:sz w:val="22"/>
        </w:rPr>
        <w:t xml:space="preserve"> qui représente 65 % du portefeuille engagé de la SFI, a été pénalisé par la contraction brutale du tourisme dans le pays. </w:t>
      </w:r>
    </w:p>
    <w:p w:rsidR="00EA0F6F" w:rsidRPr="001254AF" w:rsidRDefault="00EA0F6F" w:rsidP="005913FE">
      <w:pPr>
        <w:pStyle w:val="ListParagraph"/>
        <w:tabs>
          <w:tab w:val="left" w:pos="1252"/>
        </w:tabs>
        <w:ind w:left="0"/>
        <w:rPr>
          <w:rFonts w:ascii="Times New Roman" w:hAnsi="Times New Roman"/>
          <w:bCs/>
          <w:sz w:val="16"/>
          <w:szCs w:val="16"/>
        </w:rPr>
      </w:pPr>
    </w:p>
    <w:p w:rsidR="00040D18" w:rsidRPr="0018036A" w:rsidRDefault="00040D18" w:rsidP="005913FE">
      <w:pPr>
        <w:pStyle w:val="Heading2"/>
        <w:spacing w:before="0" w:after="0"/>
        <w:rPr>
          <w:rFonts w:ascii="Times New Roman" w:hAnsi="Times New Roman"/>
          <w:bCs w:val="0"/>
          <w:i w:val="0"/>
          <w:sz w:val="22"/>
          <w:szCs w:val="22"/>
        </w:rPr>
      </w:pPr>
      <w:bookmarkStart w:id="34" w:name="_Toc327979097"/>
      <w:bookmarkStart w:id="35" w:name="_Toc323821464"/>
      <w:r>
        <w:rPr>
          <w:rFonts w:ascii="Times New Roman" w:hAnsi="Times New Roman"/>
          <w:i w:val="0"/>
          <w:sz w:val="22"/>
        </w:rPr>
        <w:t>B.</w:t>
      </w:r>
      <w:r>
        <w:tab/>
      </w:r>
      <w:r>
        <w:rPr>
          <w:rFonts w:ascii="Times New Roman" w:hAnsi="Times New Roman"/>
          <w:i w:val="0"/>
          <w:sz w:val="22"/>
        </w:rPr>
        <w:t>Justification de la NSI et principes d'engagement</w:t>
      </w:r>
      <w:bookmarkEnd w:id="34"/>
      <w:r>
        <w:rPr>
          <w:rFonts w:ascii="Times New Roman" w:hAnsi="Times New Roman"/>
          <w:i w:val="0"/>
          <w:sz w:val="22"/>
        </w:rPr>
        <w:t xml:space="preserve"> </w:t>
      </w:r>
      <w:bookmarkEnd w:id="35"/>
    </w:p>
    <w:p w:rsidR="00040D18" w:rsidRPr="001254AF" w:rsidRDefault="00040D18" w:rsidP="000E1D0D">
      <w:pPr>
        <w:pStyle w:val="ListParagraph"/>
        <w:ind w:left="0"/>
        <w:jc w:val="both"/>
        <w:rPr>
          <w:rFonts w:ascii="Times New Roman" w:hAnsi="Times New Roman"/>
          <w:bCs/>
          <w:sz w:val="16"/>
          <w:szCs w:val="16"/>
        </w:rPr>
      </w:pPr>
    </w:p>
    <w:p w:rsidR="005913FE" w:rsidRDefault="003A0F65" w:rsidP="00BE735C">
      <w:pPr>
        <w:pStyle w:val="ListParagraph"/>
        <w:numPr>
          <w:ilvl w:val="0"/>
          <w:numId w:val="44"/>
        </w:numPr>
        <w:ind w:left="0" w:firstLine="0"/>
        <w:jc w:val="both"/>
        <w:rPr>
          <w:rFonts w:ascii="Times New Roman" w:hAnsi="Times New Roman"/>
          <w:color w:val="000000"/>
          <w:sz w:val="22"/>
          <w:szCs w:val="22"/>
        </w:rPr>
      </w:pPr>
      <w:r>
        <w:rPr>
          <w:rFonts w:ascii="Times New Roman" w:hAnsi="Times New Roman"/>
          <w:color w:val="000000"/>
          <w:sz w:val="22"/>
        </w:rPr>
        <w:t>La préparation d'une NSI se justifie par : (i) le changement significatif des priorités du Gouvernement après la révolution, exigeant un changement correspondant des priorités de la Banque afin d'appuyer la Tunisie dans le contexte post-révolution ; et (ii) l'horizon temporel de courte durée du Gouvernement de l'Assemblée constituante dont le mandat devrait prendre fin en 2013.</w:t>
      </w:r>
    </w:p>
    <w:p w:rsidR="001254AF" w:rsidRPr="00C6794C" w:rsidRDefault="001254AF" w:rsidP="001254AF">
      <w:pPr>
        <w:pStyle w:val="ListParagraph"/>
        <w:tabs>
          <w:tab w:val="left" w:pos="810"/>
        </w:tabs>
        <w:autoSpaceDE w:val="0"/>
        <w:autoSpaceDN w:val="0"/>
        <w:adjustRightInd w:val="0"/>
        <w:ind w:left="0"/>
        <w:jc w:val="both"/>
        <w:rPr>
          <w:rFonts w:ascii="Times New Roman" w:hAnsi="Times New Roman"/>
          <w:color w:val="000000"/>
          <w:sz w:val="16"/>
          <w:szCs w:val="16"/>
        </w:rPr>
      </w:pPr>
    </w:p>
    <w:p w:rsidR="00A278C7" w:rsidRPr="009D3F39" w:rsidRDefault="00EC5E03" w:rsidP="00D43382">
      <w:pPr>
        <w:pStyle w:val="Caption"/>
      </w:pPr>
      <w:bookmarkStart w:id="36" w:name="_Toc320743946"/>
      <w:bookmarkStart w:id="37" w:name="_Toc327978952"/>
      <w:r>
        <w:lastRenderedPageBreak/>
        <w:t xml:space="preserve">Encadré </w:t>
      </w:r>
      <w:fldSimple w:instr=" SEQ Box \* ARABIC ">
        <w:r w:rsidR="002D5CED">
          <w:rPr>
            <w:noProof/>
          </w:rPr>
          <w:t>1</w:t>
        </w:r>
      </w:fldSimple>
      <w:r>
        <w:t>. Quatre principes d'engagement en vertu de la NSI</w:t>
      </w:r>
      <w:bookmarkEnd w:id="36"/>
      <w:bookmarkEnd w:id="37"/>
    </w:p>
    <w:p w:rsidR="00A2788A" w:rsidRPr="00C87C91" w:rsidRDefault="00BE3333" w:rsidP="00C832D6">
      <w:pPr>
        <w:tabs>
          <w:tab w:val="left" w:pos="810"/>
        </w:tabs>
        <w:autoSpaceDE w:val="0"/>
        <w:autoSpaceDN w:val="0"/>
        <w:adjustRightInd w:val="0"/>
        <w:ind w:left="90"/>
        <w:jc w:val="both"/>
        <w:rPr>
          <w:sz w:val="22"/>
          <w:szCs w:val="22"/>
        </w:rPr>
      </w:pPr>
      <w:r w:rsidRPr="00BE3333">
        <w:rPr>
          <w:noProof/>
          <w:lang w:val="en-US" w:eastAsia="en-US" w:bidi="ar-SA"/>
        </w:rPr>
      </w:r>
      <w:r w:rsidRPr="00BE3333">
        <w:rPr>
          <w:noProof/>
          <w:lang w:val="en-US" w:eastAsia="en-US" w:bidi="ar-SA"/>
        </w:rPr>
        <w:pict>
          <v:shape id="Text Box 106" o:spid="_x0000_s1351" type="#_x0000_t202" style="width:472.75pt;height:4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V4NgIAAGg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" strokeweight="3pt">
            <v:stroke linestyle="thinThin"/>
            <v:textbox>
              <w:txbxContent>
                <w:p w:rsidR="006E6192" w:rsidRPr="001254AF" w:rsidRDefault="006E6192" w:rsidP="00401EDE">
                  <w:pPr>
                    <w:spacing w:after="60"/>
                    <w:ind w:left="86"/>
                    <w:jc w:val="both"/>
                    <w:rPr>
                      <w:rFonts w:ascii="Times New Roman" w:hAnsi="Times New Roman"/>
                      <w:sz w:val="21"/>
                      <w:szCs w:val="21"/>
                    </w:rPr>
                  </w:pPr>
                  <w:r>
                    <w:rPr>
                      <w:rFonts w:ascii="Times New Roman" w:hAnsi="Times New Roman"/>
                      <w:b/>
                      <w:sz w:val="21"/>
                    </w:rPr>
                    <w:t>Flexibilité.</w:t>
                  </w:r>
                  <w:r>
                    <w:rPr>
                      <w:rFonts w:ascii="Times New Roman" w:hAnsi="Times New Roman"/>
                      <w:sz w:val="21"/>
                    </w:rPr>
                    <w:t xml:space="preserve"> La Banque a fait preuve de flexibilité en 2011 pour assurer la mise à disposition d'instruments de prêt et de niveaux de financement adéquats en réponse aux besoins financiers pressants de la Tunisie. L'encours de prêt a été consolidé et rationalisé en un PPD Gouvernance et opportunités (PPD GO) à décaissement rapide afin de répondre rapidement aux contraintes de ressources des autorités intérimaires tout en appuyant des priorités de réforme démontrant une rupture avec le passé. La Banque a mobilisé une expertise internationale et a considérablement intensifié son assistance technique pour appuyer le nouveau programme de réformes, en particulier dans les domaines de l'accès à l'information et pour des programmes d'emploi à court terme, et a mobilisé des fonds fiduciaires pour piloter de nouveaux programmes d'emploi et de services sociaux dans les régions accusant du retard. La Banque et la SFI s'efforceront de conserver une approche flexible adaptée au contexte fluctuant du pays.</w:t>
                  </w:r>
                </w:p>
                <w:p w:rsidR="006E6192" w:rsidRPr="001254AF" w:rsidRDefault="006E6192" w:rsidP="00401EDE">
                  <w:pPr>
                    <w:spacing w:after="60"/>
                    <w:ind w:left="86"/>
                    <w:jc w:val="both"/>
                    <w:rPr>
                      <w:rFonts w:ascii="Times New Roman" w:hAnsi="Times New Roman"/>
                      <w:sz w:val="21"/>
                      <w:szCs w:val="21"/>
                    </w:rPr>
                  </w:pPr>
                  <w:r>
                    <w:rPr>
                      <w:rFonts w:ascii="Times New Roman" w:hAnsi="Times New Roman"/>
                      <w:b/>
                      <w:sz w:val="21"/>
                    </w:rPr>
                    <w:t>Sélectivité.</w:t>
                  </w:r>
                  <w:r>
                    <w:rPr>
                      <w:rFonts w:ascii="Times New Roman" w:hAnsi="Times New Roman"/>
                      <w:sz w:val="21"/>
                    </w:rPr>
                    <w:t xml:space="preserve"> Avec un environnement politique fluctuant et évolutif, le Groupe de la Banque mondiale devra, pendant la durée de la NSI, adopter une approche sélective quant à la portée de son engagement dans les différents secteurs où il interviendra et aux résultats que souhaite obtenir la Tunisie pour lesquels il s'engage à l'aider. En particulier, compte tenu de l'horizon temporel de courte durée de la NSI, les nouvelles activités seront centrées sur les priorités à court terme les plus importantes pouvant aboutir à des résultats à court terme ou ouvrir la voie à des résultats à moyen terme. Ainsi, par exemple, le soutien au dialogue social de cette année pouvant à terme contribuer à favoriser un consensus sur les réformes du code du travail.</w:t>
                  </w:r>
                </w:p>
                <w:p w:rsidR="006E6192" w:rsidRPr="001254AF" w:rsidRDefault="006E6192" w:rsidP="00401EDE">
                  <w:pPr>
                    <w:spacing w:after="60"/>
                    <w:ind w:left="86"/>
                    <w:jc w:val="both"/>
                    <w:rPr>
                      <w:rFonts w:ascii="Times New Roman" w:hAnsi="Times New Roman"/>
                      <w:b/>
                      <w:bCs/>
                      <w:sz w:val="21"/>
                      <w:szCs w:val="21"/>
                    </w:rPr>
                  </w:pPr>
                  <w:r>
                    <w:rPr>
                      <w:rFonts w:ascii="Times New Roman" w:hAnsi="Times New Roman"/>
                      <w:b/>
                      <w:color w:val="000000"/>
                      <w:sz w:val="21"/>
                    </w:rPr>
                    <w:t>Intégration d'une approche différenciée selon les sexes dans de nouvelles activités.</w:t>
                  </w:r>
                  <w:r>
                    <w:rPr>
                      <w:rFonts w:ascii="Times New Roman" w:hAnsi="Times New Roman"/>
                      <w:color w:val="000000"/>
                      <w:sz w:val="21"/>
                    </w:rPr>
                    <w:t xml:space="preserve"> Le maintien et la promotion du rôle de la femme en Tunisie, par le biais de la transition politique, est une priorité pour le Groupe de la Banque mondiale. La Banque a l'intention d'appuyer des études analytiques et diagnostiques permettant d'élaborer des politiques de genre (une enquête sur l'inclusion des jeunes et une évaluation sociale), d'intégrer l'analyse selon le genre dans les projets appuyés par la Banque portant sur le développement humain, l'emploi et le marché du travail, projets et d'appuyer des réformes favorisant l'inclusion sociale et économique des femmes (PPD). Des indicateurs de résultats ventilés par genre et sexospécifiques continueront à être insérés dans les projets concernés. Pour la SFI, il s'agira notamment de renforcer l'accès des femmes au crédit, à l'éducation et aux opportunités d'affaires.</w:t>
                  </w:r>
                </w:p>
                <w:p w:rsidR="006E6192" w:rsidRPr="001254AF" w:rsidRDefault="006E6192" w:rsidP="00401EDE">
                  <w:pPr>
                    <w:spacing w:after="60"/>
                    <w:ind w:left="86"/>
                    <w:jc w:val="both"/>
                    <w:rPr>
                      <w:rFonts w:ascii="Times New Roman" w:hAnsi="Times New Roman"/>
                      <w:sz w:val="21"/>
                      <w:szCs w:val="21"/>
                    </w:rPr>
                  </w:pPr>
                  <w:r>
                    <w:rPr>
                      <w:rFonts w:ascii="Times New Roman" w:hAnsi="Times New Roman"/>
                      <w:b/>
                      <w:sz w:val="21"/>
                    </w:rPr>
                    <w:t xml:space="preserve">Élargir les consultations pour y associer de nouvelles parties prenantes. </w:t>
                  </w:r>
                  <w:r>
                    <w:rPr>
                      <w:rFonts w:ascii="Times New Roman" w:hAnsi="Times New Roman"/>
                      <w:sz w:val="21"/>
                    </w:rPr>
                    <w:t>Bien que les consultations avec la société civile et le secteur privé ne soient pas des activités nouvelles pour la Banque en Tunisie, les publics avec lesquels la Banque dialoguait précédemment étaient soumis à l'influence étroite des autorités. Après la révolution, la Banque a été en mesure d'approcher de nouvelles parties prenantes qui ont fourni une manne considérable d'informations, grâce à quelques 26-30 consultations, incluant des fonctionnaires locaux, des organisations de la société civile, des groupes de jeunes et de femmes, le secteur privé, des parlementaires et d'autres encore, sur les priorités en matière de développement et les thèmes de l'emploi des jeunes, de la gouvernance, de la santé et de l'éducation, et pour la préparation de travaux d'analyse et d'opérations, telles que le PPD GO.</w:t>
                  </w:r>
                </w:p>
              </w:txbxContent>
            </v:textbox>
            <w10:wrap type="none"/>
            <w10:anchorlock/>
          </v:shape>
        </w:pict>
      </w:r>
    </w:p>
    <w:p w:rsidR="00B2051E" w:rsidRDefault="00B2051E" w:rsidP="00015DC0">
      <w:pPr>
        <w:pStyle w:val="Heading2"/>
        <w:spacing w:before="120"/>
        <w:rPr>
          <w:rFonts w:ascii="Times New Roman" w:hAnsi="Times New Roman"/>
          <w:i w:val="0"/>
          <w:sz w:val="23"/>
        </w:rPr>
      </w:pPr>
      <w:bookmarkStart w:id="38" w:name="_Toc323821465"/>
    </w:p>
    <w:p w:rsidR="00040D18" w:rsidRPr="0018036A" w:rsidRDefault="00040D18" w:rsidP="00015DC0">
      <w:pPr>
        <w:pStyle w:val="Heading2"/>
        <w:spacing w:before="120"/>
        <w:rPr>
          <w:rFonts w:ascii="Times New Roman" w:hAnsi="Times New Roman"/>
          <w:i w:val="0"/>
          <w:sz w:val="22"/>
          <w:szCs w:val="22"/>
        </w:rPr>
      </w:pPr>
      <w:bookmarkStart w:id="39" w:name="_Toc327979098"/>
      <w:r>
        <w:rPr>
          <w:rFonts w:ascii="Times New Roman" w:hAnsi="Times New Roman"/>
          <w:i w:val="0"/>
          <w:sz w:val="23"/>
        </w:rPr>
        <w:t>C.</w:t>
      </w:r>
      <w:r w:rsidR="00B2051E">
        <w:rPr>
          <w:rFonts w:ascii="Times New Roman" w:hAnsi="Times New Roman"/>
          <w:i w:val="0"/>
          <w:sz w:val="22"/>
        </w:rPr>
        <w:tab/>
      </w:r>
      <w:r>
        <w:rPr>
          <w:rFonts w:ascii="Times New Roman" w:hAnsi="Times New Roman"/>
          <w:i w:val="0"/>
          <w:sz w:val="22"/>
        </w:rPr>
        <w:t>Domaines d'engagement et objectifs d'action de la NSI</w:t>
      </w:r>
      <w:bookmarkEnd w:id="39"/>
      <w:r>
        <w:rPr>
          <w:rFonts w:ascii="Times New Roman" w:hAnsi="Times New Roman"/>
          <w:i w:val="0"/>
          <w:sz w:val="22"/>
        </w:rPr>
        <w:t xml:space="preserve"> </w:t>
      </w:r>
      <w:bookmarkEnd w:id="38"/>
    </w:p>
    <w:p w:rsidR="00040D18" w:rsidRPr="0018036A" w:rsidRDefault="00040D18" w:rsidP="00040D18">
      <w:pPr>
        <w:jc w:val="both"/>
        <w:rPr>
          <w:rFonts w:ascii="Times New Roman" w:hAnsi="Times New Roman"/>
          <w:sz w:val="22"/>
          <w:szCs w:val="22"/>
        </w:rPr>
      </w:pPr>
    </w:p>
    <w:p w:rsidR="00F55F63" w:rsidRDefault="007B5323" w:rsidP="00BE735C">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color w:val="000000"/>
          <w:sz w:val="22"/>
        </w:rPr>
        <w:t>Cette NSI présente un programme du Groupe de la Banque mondiale centré sur une contribution directe et indirecte à l'objectif du Gouvernement de création d'emplois à court et moyen termes.</w:t>
      </w:r>
      <w:r w:rsidR="006D6057">
        <w:rPr>
          <w:rFonts w:ascii="Times New Roman" w:hAnsi="Times New Roman"/>
          <w:b/>
          <w:color w:val="000000"/>
          <w:sz w:val="22"/>
        </w:rPr>
        <w:t xml:space="preserve"> </w:t>
      </w:r>
      <w:r>
        <w:rPr>
          <w:rFonts w:ascii="Times New Roman" w:hAnsi="Times New Roman"/>
          <w:b/>
          <w:color w:val="000000"/>
          <w:sz w:val="22"/>
        </w:rPr>
        <w:t>Le programme visera à promouvoir une relance pilotée par le secteur privé et la création d'emplois, en mettant l'accent sur la transparence, les opportunités et la responsabilité.</w:t>
      </w:r>
      <w:r w:rsidR="006D6057">
        <w:rPr>
          <w:rFonts w:ascii="Times New Roman" w:hAnsi="Times New Roman"/>
          <w:color w:val="000000"/>
          <w:sz w:val="22"/>
        </w:rPr>
        <w:t xml:space="preserve"> </w:t>
      </w:r>
      <w:r>
        <w:rPr>
          <w:rFonts w:ascii="Times New Roman" w:hAnsi="Times New Roman"/>
          <w:color w:val="000000"/>
          <w:sz w:val="22"/>
        </w:rPr>
        <w:t>À cette fin, le Groupe de la Banque mondiale ciblera son appui sur trois Domaines d'engagement : i) jeter les bases assurant la relance d'une croissance durable et la création d'emplois ; ii) promotion de l'inclusion sociale et économique ; et iii) renforcement de la gouvernance : participation citoyenne, transparence et responsabilité</w:t>
      </w:r>
    </w:p>
    <w:p w:rsidR="00524046" w:rsidRPr="0018036A" w:rsidRDefault="00524046" w:rsidP="00524046">
      <w:pPr>
        <w:pStyle w:val="ListParagraph"/>
        <w:autoSpaceDE w:val="0"/>
        <w:autoSpaceDN w:val="0"/>
        <w:adjustRightInd w:val="0"/>
        <w:ind w:left="0"/>
        <w:jc w:val="both"/>
        <w:rPr>
          <w:rFonts w:ascii="Times New Roman" w:eastAsia="Times New Roman" w:hAnsi="Times New Roman"/>
          <w:sz w:val="22"/>
          <w:szCs w:val="22"/>
        </w:rPr>
      </w:pPr>
    </w:p>
    <w:p w:rsidR="00A21EF3" w:rsidRPr="0018036A" w:rsidRDefault="00C232FC" w:rsidP="00BE735C">
      <w:pPr>
        <w:pStyle w:val="ListParagraph"/>
        <w:numPr>
          <w:ilvl w:val="0"/>
          <w:numId w:val="44"/>
        </w:numPr>
        <w:ind w:left="0" w:firstLine="0"/>
        <w:jc w:val="both"/>
        <w:rPr>
          <w:rFonts w:ascii="Times New Roman" w:hAnsi="Times New Roman"/>
          <w:b/>
          <w:sz w:val="22"/>
          <w:szCs w:val="22"/>
        </w:rPr>
      </w:pPr>
      <w:r>
        <w:rPr>
          <w:rFonts w:ascii="Times New Roman" w:hAnsi="Times New Roman"/>
          <w:sz w:val="22"/>
        </w:rPr>
        <w:lastRenderedPageBreak/>
        <w:t>Compte tenu des perspectives économiques médiocres (</w:t>
      </w:r>
      <w:r>
        <w:rPr>
          <w:rFonts w:ascii="Times New Roman" w:hAnsi="Times New Roman"/>
          <w:i/>
          <w:sz w:val="22"/>
        </w:rPr>
        <w:t>voir la Section II.C</w:t>
      </w:r>
      <w:r>
        <w:rPr>
          <w:rFonts w:ascii="Times New Roman" w:hAnsi="Times New Roman"/>
          <w:sz w:val="22"/>
        </w:rPr>
        <w:t>), les prêts de la Banque à la Tunisie au cours de la période de la NSI risquent d'être essentiellement des opérations à décaissement rapide d'appui budgétaire à des réformes dans les trois domaines d'engagement.</w:t>
      </w:r>
    </w:p>
    <w:p w:rsidR="00A2788A" w:rsidRPr="0053713E" w:rsidRDefault="00A2788A" w:rsidP="00A2788A">
      <w:pPr>
        <w:rPr>
          <w:rFonts w:ascii="Times New Roman" w:hAnsi="Times New Roman"/>
          <w:b/>
          <w:smallCaps/>
          <w:sz w:val="16"/>
          <w:szCs w:val="16"/>
        </w:rPr>
      </w:pPr>
    </w:p>
    <w:p w:rsidR="00040D18" w:rsidRPr="001302BD" w:rsidRDefault="00FC64CF" w:rsidP="001302BD">
      <w:pPr>
        <w:pStyle w:val="Heading3"/>
        <w:ind w:firstLine="720"/>
        <w:rPr>
          <w:rFonts w:ascii="Times New Roman" w:hAnsi="Times New Roman"/>
          <w:bCs w:val="0"/>
          <w:smallCaps/>
          <w:sz w:val="22"/>
          <w:szCs w:val="22"/>
        </w:rPr>
      </w:pPr>
      <w:bookmarkStart w:id="40" w:name="_Toc323821466"/>
      <w:bookmarkStart w:id="41" w:name="_Toc327979099"/>
      <w:r>
        <w:rPr>
          <w:rFonts w:ascii="Times New Roman" w:hAnsi="Times New Roman"/>
          <w:smallCaps/>
          <w:sz w:val="22"/>
        </w:rPr>
        <w:t>Domaine 1 :</w:t>
      </w:r>
      <w:r w:rsidR="006D6057">
        <w:rPr>
          <w:rFonts w:ascii="Times New Roman" w:hAnsi="Times New Roman"/>
          <w:smallCaps/>
          <w:sz w:val="22"/>
        </w:rPr>
        <w:t xml:space="preserve"> </w:t>
      </w:r>
      <w:r>
        <w:rPr>
          <w:rFonts w:ascii="Times New Roman" w:hAnsi="Times New Roman"/>
          <w:smallCaps/>
          <w:sz w:val="22"/>
        </w:rPr>
        <w:t>Jeter les bases d'une croissance durable et création d'emplois</w:t>
      </w:r>
      <w:bookmarkEnd w:id="40"/>
      <w:bookmarkEnd w:id="41"/>
    </w:p>
    <w:p w:rsidR="0053713E" w:rsidRPr="0053713E" w:rsidRDefault="0053713E" w:rsidP="0053713E">
      <w:pPr>
        <w:rPr>
          <w:sz w:val="16"/>
          <w:szCs w:val="16"/>
        </w:rPr>
      </w:pPr>
    </w:p>
    <w:p w:rsidR="00015402" w:rsidRPr="0018036A" w:rsidRDefault="00FC64CF" w:rsidP="00015402">
      <w:pPr>
        <w:pStyle w:val="ListParagraph"/>
        <w:ind w:left="0"/>
        <w:rPr>
          <w:rFonts w:ascii="Times New Roman" w:hAnsi="Times New Roman"/>
          <w:i/>
          <w:color w:val="000000"/>
          <w:sz w:val="22"/>
          <w:szCs w:val="22"/>
        </w:rPr>
      </w:pPr>
      <w:r>
        <w:rPr>
          <w:rFonts w:ascii="Times New Roman" w:hAnsi="Times New Roman"/>
          <w:i/>
          <w:sz w:val="22"/>
        </w:rPr>
        <w:t>Objectifs d'action : i) Appui à la stabilité macroéconomique et à la relance de l'économie ; (ii) renforcement du cadre de l'activité économique et approfondissement de l'intégration ; (iii) création d'un environnement propice aux réformes du marché de l'emploi et (iv) amélioration des programmes de politique active d'emploi pour les chômeurs</w:t>
      </w:r>
    </w:p>
    <w:p w:rsidR="00804B60" w:rsidRPr="0053713E" w:rsidRDefault="00804B60" w:rsidP="000B6383">
      <w:pPr>
        <w:pStyle w:val="ListParagraph"/>
        <w:ind w:left="0"/>
        <w:jc w:val="both"/>
        <w:rPr>
          <w:rFonts w:ascii="Times New Roman" w:hAnsi="Times New Roman"/>
          <w:b/>
          <w:i/>
          <w:iCs/>
          <w:sz w:val="16"/>
          <w:szCs w:val="16"/>
        </w:rPr>
      </w:pPr>
    </w:p>
    <w:p w:rsidR="00A070A5" w:rsidRPr="0018036A" w:rsidRDefault="00F52AA3" w:rsidP="00D04F04">
      <w:pPr>
        <w:jc w:val="both"/>
        <w:rPr>
          <w:rFonts w:ascii="Times New Roman" w:hAnsi="Times New Roman"/>
          <w:b/>
          <w:i/>
          <w:iCs/>
          <w:sz w:val="22"/>
          <w:szCs w:val="22"/>
        </w:rPr>
      </w:pPr>
      <w:r>
        <w:rPr>
          <w:rFonts w:ascii="Times New Roman" w:hAnsi="Times New Roman"/>
          <w:b/>
          <w:i/>
          <w:sz w:val="22"/>
        </w:rPr>
        <w:t>(i) 0bjectif d'action 1 : Appui à la stabilité macroéconomique et à la relance de l'économie</w:t>
      </w:r>
    </w:p>
    <w:p w:rsidR="00A070A5" w:rsidRPr="002D61A8" w:rsidRDefault="00A070A5" w:rsidP="00D04F04">
      <w:pPr>
        <w:jc w:val="both"/>
        <w:rPr>
          <w:rFonts w:ascii="Times New Roman" w:hAnsi="Times New Roman"/>
          <w:b/>
          <w:iCs/>
          <w:sz w:val="16"/>
          <w:szCs w:val="16"/>
        </w:rPr>
      </w:pPr>
    </w:p>
    <w:p w:rsidR="00F55F63" w:rsidRPr="0018036A" w:rsidRDefault="00F70E3A" w:rsidP="00BB5F02">
      <w:pPr>
        <w:pStyle w:val="ListParagraph"/>
        <w:numPr>
          <w:ilvl w:val="0"/>
          <w:numId w:val="44"/>
        </w:numPr>
        <w:ind w:left="0" w:firstLine="0"/>
        <w:jc w:val="both"/>
        <w:rPr>
          <w:rFonts w:ascii="Times New Roman" w:hAnsi="Times New Roman"/>
          <w:bCs/>
          <w:sz w:val="22"/>
          <w:szCs w:val="22"/>
        </w:rPr>
      </w:pPr>
      <w:r>
        <w:rPr>
          <w:rFonts w:ascii="Times New Roman" w:hAnsi="Times New Roman"/>
          <w:b/>
          <w:sz w:val="22"/>
        </w:rPr>
        <w:t>L'un des principales priorités du Gouvernement en 2012 est d'assurer la stabilité macroéconomique et de prendre des mesures pour relancer l'économie tout en faisant avancer la transition politique</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 xml:space="preserve">Alors que les Tunisiens sont impatients de constater des progrès et souhaitent récolter les fruits de la révolution, le pays a dû également faire face à un ralentissement économique depuis 2011, provoqué par des facteurs échappant au contrôle du Gouvernement, et cette période ne sera probablement suivie que d'une reprise progressive. Les tensions sociales demeurent élevées et le Gouvernement a pris des mesures pour maintenir la stabilité sociale, politique et juridique afin d'accélérer la reprise économique. La politique macroéconomique va jouer un rôle crucial pour faciliter la reprise économique. Après avoir sensiblement assoupli la politique monétaire en 2011, le Gouvernement va sans doute recourir à des mesures budgétaires pour stimuler la reprise en 2012 et 2013. </w:t>
      </w:r>
    </w:p>
    <w:p w:rsidR="00F55F63" w:rsidRPr="002D61A8" w:rsidRDefault="00F55F63" w:rsidP="00072C02">
      <w:pPr>
        <w:pStyle w:val="ListParagraph"/>
        <w:ind w:left="0"/>
        <w:jc w:val="both"/>
        <w:rPr>
          <w:rFonts w:ascii="Times New Roman" w:hAnsi="Times New Roman"/>
          <w:bCs/>
          <w:sz w:val="16"/>
          <w:szCs w:val="16"/>
        </w:rPr>
      </w:pPr>
    </w:p>
    <w:p w:rsidR="00F55F63" w:rsidRPr="0018036A" w:rsidRDefault="00FC64CF" w:rsidP="00BE735C">
      <w:pPr>
        <w:pStyle w:val="ListParagraph"/>
        <w:numPr>
          <w:ilvl w:val="0"/>
          <w:numId w:val="44"/>
        </w:numPr>
        <w:ind w:left="0" w:firstLine="0"/>
        <w:jc w:val="both"/>
        <w:rPr>
          <w:rFonts w:ascii="Times New Roman" w:hAnsi="Times New Roman"/>
          <w:bCs/>
          <w:sz w:val="22"/>
          <w:szCs w:val="22"/>
        </w:rPr>
      </w:pPr>
      <w:r>
        <w:rPr>
          <w:rFonts w:ascii="Times New Roman" w:hAnsi="Times New Roman"/>
          <w:b/>
          <w:sz w:val="22"/>
        </w:rPr>
        <w:t>L'amélioration de l'exécution budgétaire est une priorité immédiate.</w:t>
      </w:r>
      <w:r w:rsidR="006D6057">
        <w:rPr>
          <w:rFonts w:ascii="Times New Roman" w:hAnsi="Times New Roman"/>
          <w:sz w:val="22"/>
        </w:rPr>
        <w:t xml:space="preserve"> </w:t>
      </w:r>
      <w:r>
        <w:rPr>
          <w:rFonts w:ascii="Times New Roman" w:hAnsi="Times New Roman"/>
          <w:sz w:val="22"/>
        </w:rPr>
        <w:t>L'expérience en 2011 (et au cours des années précédentes) montre qu'il existe des goulets d'étranglement importants dans l'exécution du budget, y compris dans les procédures de passation des marchés, ce qui a entravé l'efficacité de la relance budgétaire. À la mi-2011, la Banque a collaboré avec le Gouvernement pour simplifier les procédures de passation des marchés des projets d'investissements publics et améliorer leur transparence. Quelles que soient les fluctuations de l'environnement politique en 2012, la Banque examinera les options et les opportunités pour continuer à aider le Gouvernement à affiner et appliquer de nouvelles procédures de passation des marchés d'urgence afin d'accélérer l'exécution du programme d'investissement public.</w:t>
      </w:r>
    </w:p>
    <w:p w:rsidR="00227436" w:rsidRPr="002D61A8" w:rsidRDefault="00227436" w:rsidP="00072C02">
      <w:pPr>
        <w:jc w:val="both"/>
        <w:rPr>
          <w:rFonts w:ascii="Times New Roman" w:hAnsi="Times New Roman"/>
          <w:bCs/>
          <w:sz w:val="16"/>
          <w:szCs w:val="16"/>
        </w:rPr>
      </w:pPr>
    </w:p>
    <w:p w:rsidR="003A1DCD" w:rsidRPr="0018036A" w:rsidRDefault="00FC64CF" w:rsidP="00BE735C">
      <w:pPr>
        <w:pStyle w:val="ListParagraph"/>
        <w:numPr>
          <w:ilvl w:val="0"/>
          <w:numId w:val="44"/>
        </w:numPr>
        <w:ind w:left="0" w:firstLine="0"/>
        <w:jc w:val="both"/>
        <w:rPr>
          <w:rFonts w:ascii="Times New Roman" w:hAnsi="Times New Roman"/>
          <w:bCs/>
          <w:sz w:val="22"/>
          <w:szCs w:val="22"/>
        </w:rPr>
      </w:pPr>
      <w:r>
        <w:rPr>
          <w:rFonts w:ascii="Times New Roman" w:hAnsi="Times New Roman"/>
          <w:b/>
          <w:sz w:val="22"/>
        </w:rPr>
        <w:t xml:space="preserve">La Banque fournira des financements à décaissement rapide permettant d'appuyer les réformes jetant les bases assurant la relance d'une croissance durable et la création d'emplois. </w:t>
      </w:r>
      <w:r>
        <w:rPr>
          <w:rFonts w:ascii="Times New Roman" w:hAnsi="Times New Roman"/>
          <w:sz w:val="22"/>
        </w:rPr>
        <w:t>En attendant que ses conditions d'emprunt commercial sur les marchés internationaux s'améliorent, le Gouvernement continuera à avoir besoin d'un appui budgétaire des partenaires internationaux, notamment de la BIRD, pour stimuler la reprise et financer les programmes sociaux. À cet égard, le financement de la Banque s'effectuera par le biais de Prêts à l'appui de politiques de développement (PPD). La Banque examine également les options d'utilisation de Garanties sur base de politique (PBG) en appui aux efforts déployés par la Tunisie pour lever des financements additionnels sur les marchés financiers internationaux. Comme avec le PPD GO de 2011, un prêt avec une garantie sur base de politique de la Banque permettra de mobiliser l'appui d'autres partenaires du développement, dont la BAD, l'UE et le Gouvernement américain.</w:t>
      </w:r>
      <w:r w:rsidR="006D6057">
        <w:rPr>
          <w:rFonts w:ascii="Times New Roman" w:hAnsi="Times New Roman"/>
          <w:sz w:val="22"/>
        </w:rPr>
        <w:t xml:space="preserve"> </w:t>
      </w:r>
      <w:r>
        <w:rPr>
          <w:rFonts w:ascii="Times New Roman" w:hAnsi="Times New Roman"/>
          <w:sz w:val="22"/>
        </w:rPr>
        <w:t>Le programme de réforme 2012, qui sera appuyé par des instruments de prêt sur base de politique, est en cours de discussion avec les nouvelles autorités et s'inscrira probablement dans le prolongement du PPD GO de 2011 en incluant des réformes pour accélérer la croissance inclusive et la création d'emplois.</w:t>
      </w:r>
      <w:r w:rsidR="006D6057">
        <w:rPr>
          <w:rFonts w:ascii="Times New Roman" w:hAnsi="Times New Roman"/>
          <w:sz w:val="22"/>
        </w:rPr>
        <w:t xml:space="preserve"> </w:t>
      </w:r>
    </w:p>
    <w:p w:rsidR="00F55F63" w:rsidRPr="002D61A8" w:rsidRDefault="00F55F63" w:rsidP="00072C02">
      <w:pPr>
        <w:pStyle w:val="ListParagraph"/>
        <w:ind w:left="0"/>
        <w:jc w:val="both"/>
        <w:rPr>
          <w:rFonts w:ascii="Times New Roman" w:hAnsi="Times New Roman"/>
          <w:bCs/>
          <w:sz w:val="16"/>
          <w:szCs w:val="16"/>
        </w:rPr>
      </w:pPr>
    </w:p>
    <w:p w:rsidR="006439F9" w:rsidRPr="00C832D6" w:rsidRDefault="0045207E"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réalisation de la viabilité budgétaire est un paramètre essentiel de la réponse politique à la récession économique.</w:t>
      </w:r>
      <w:r w:rsidR="006D6057">
        <w:rPr>
          <w:rFonts w:ascii="Times New Roman" w:hAnsi="Times New Roman"/>
          <w:sz w:val="22"/>
        </w:rPr>
        <w:t xml:space="preserve"> </w:t>
      </w:r>
      <w:r>
        <w:rPr>
          <w:rFonts w:ascii="Times New Roman" w:hAnsi="Times New Roman"/>
          <w:sz w:val="22"/>
        </w:rPr>
        <w:t xml:space="preserve">Alors que la Tunisie s'est engagée dans la crise avec un niveau raisonnablement bas de dette publique et de dette extérieure, il sera crucial d'aider les autorités intérimaires à faire en sorte que la réponse de politique macro-économique à court terme à la récession économique reste compatible avec une </w:t>
      </w:r>
      <w:r>
        <w:rPr>
          <w:rFonts w:ascii="Times New Roman" w:hAnsi="Times New Roman"/>
          <w:sz w:val="22"/>
        </w:rPr>
        <w:lastRenderedPageBreak/>
        <w:t>démarche budgétaire durable. Dans ce contexte, la Banque collabore également avec les autorités sur une analyse de la viabilité du budget et de la dette (devant être achevée en mai 2012) qui envisagera l'espace budgétaire du Gouvernement dans une perspective à moyen terme.</w:t>
      </w:r>
    </w:p>
    <w:p w:rsidR="004D00A7" w:rsidRPr="002D61A8" w:rsidRDefault="004D00A7" w:rsidP="00C832D6">
      <w:pPr>
        <w:jc w:val="both"/>
        <w:rPr>
          <w:rFonts w:ascii="Times New Roman" w:hAnsi="Times New Roman"/>
          <w:sz w:val="16"/>
          <w:szCs w:val="16"/>
        </w:rPr>
      </w:pPr>
    </w:p>
    <w:p w:rsidR="001B6EFC" w:rsidRDefault="000F2FFA" w:rsidP="00BE735C">
      <w:pPr>
        <w:pStyle w:val="ListParagraph"/>
        <w:numPr>
          <w:ilvl w:val="0"/>
          <w:numId w:val="44"/>
        </w:numPr>
        <w:ind w:left="0" w:firstLine="0"/>
        <w:jc w:val="both"/>
        <w:rPr>
          <w:rFonts w:ascii="Times New Roman" w:hAnsi="Times New Roman"/>
          <w:bCs/>
          <w:sz w:val="22"/>
          <w:szCs w:val="22"/>
        </w:rPr>
      </w:pPr>
      <w:r>
        <w:rPr>
          <w:rFonts w:ascii="Times New Roman" w:hAnsi="Times New Roman"/>
          <w:b/>
          <w:color w:val="000000"/>
          <w:sz w:val="22"/>
        </w:rPr>
        <w:t>Afin d'appuyer les objectifs de la NSI de création d'emplois et de reprise économique, la SFI mettra l'accent sur la restauration de la confiance des investisseurs à court terme et la stimulation de l'activité du secteur privé sur le long terme.</w:t>
      </w:r>
      <w:r w:rsidR="006D6057">
        <w:rPr>
          <w:rFonts w:ascii="Times New Roman" w:hAnsi="Times New Roman"/>
          <w:color w:val="000000"/>
          <w:sz w:val="22"/>
        </w:rPr>
        <w:t xml:space="preserve"> </w:t>
      </w:r>
      <w:r>
        <w:rPr>
          <w:rFonts w:ascii="Times New Roman" w:hAnsi="Times New Roman"/>
          <w:color w:val="000000"/>
          <w:sz w:val="22"/>
        </w:rPr>
        <w:t>À court terme, les domaines d'engagement comprennent notamment : des financements du commerce ; l'accès au financement des segments défavorisés tels que les MPME ; le climat des investissements et la gouvernance d'entreprise. Pour répondre aux défis à long terme de création d'emplois et de compétitivité économique, les investissements de la SFI cibleront les secteurs à forte valeur ajoutée et les MPME, qui représentent environ 80 % des entreprises en Tunisie et jouent un rôle clé dans la création d'emplois. Les investissements favoriseront également l'inclusion en ciblant : i) les femmes et les jeunes entrepreneurs ; ii) les secteurs manufacturiers à forte intensité de main-d'œuvre et forte valeur ajoutée (c.-à-d. les industries électroniques, électriques et mécaniques, les industries agro-alimentaires, les TI et la délocalisation) ; et iii) l'amélioration de la qualité et de l'accès aux infrastructures et aux services sociaux dans les régions accusant du retard.</w:t>
      </w:r>
    </w:p>
    <w:p w:rsidR="000F2FFA" w:rsidRDefault="000F2FFA" w:rsidP="000F2FFA">
      <w:pPr>
        <w:tabs>
          <w:tab w:val="left" w:pos="810"/>
        </w:tabs>
        <w:autoSpaceDE w:val="0"/>
        <w:autoSpaceDN w:val="0"/>
        <w:adjustRightInd w:val="0"/>
        <w:jc w:val="both"/>
        <w:rPr>
          <w:rFonts w:ascii="Times New Roman" w:hAnsi="Times New Roman"/>
          <w:color w:val="000000"/>
          <w:sz w:val="22"/>
          <w:szCs w:val="22"/>
        </w:rPr>
      </w:pPr>
      <w:r>
        <w:rPr>
          <w:rFonts w:ascii="Times New Roman" w:hAnsi="Times New Roman"/>
          <w:color w:val="000000"/>
          <w:sz w:val="22"/>
        </w:rPr>
        <w:t xml:space="preserve"> </w:t>
      </w:r>
    </w:p>
    <w:p w:rsidR="000F2FFA" w:rsidRPr="00264D12" w:rsidRDefault="000F2FFA" w:rsidP="000F2FFA">
      <w:pPr>
        <w:pStyle w:val="ListParagraph"/>
        <w:numPr>
          <w:ilvl w:val="0"/>
          <w:numId w:val="44"/>
        </w:numPr>
        <w:ind w:left="0" w:firstLine="0"/>
        <w:jc w:val="both"/>
        <w:rPr>
          <w:rFonts w:ascii="Times New Roman" w:hAnsi="Times New Roman"/>
          <w:bCs/>
          <w:sz w:val="22"/>
          <w:szCs w:val="22"/>
        </w:rPr>
      </w:pPr>
      <w:r>
        <w:rPr>
          <w:rFonts w:ascii="Times New Roman" w:hAnsi="Times New Roman"/>
          <w:color w:val="000000"/>
          <w:sz w:val="22"/>
        </w:rPr>
        <w:t>La SFI prévoit de renforcer ses programmes d'investissement et de mobilisation au cours des deux prochaines années, en engageant cinq à huit investissements sur la période couverte par la NSI. Le programme de conseil de la SFI jouera un rôle clé dans l'appui aux efforts d'amélioration du cadre de l'activité économique, de renforcement des marchés financiers, de traitement de l'inadéquation des qualifications par rapport au marché de l'emploi et d'appui aux PPP dans les infrastructures. La SFI veillera à intégrer ses investissements et ses programmes de conseil et viendra compléter les initiatives régionales avec d'autres institutions financières internationales (IFI). Elle continuera de travailler en étroite collaboration avec la Banque mondiale et d'autres bailleurs de fonds dans le cadre du processus du Partenariat de Deauville et dans le contexte des initiatives conjointes de la région MENA. Ces initiatives régionales appuieront la Facilité en faveur des PME, le programme Éducation pour l'emploi dans le monde arabe (e4e), le Fonds MENA et la Facilité de financement des infrastructures des États arabes.</w:t>
      </w:r>
      <w:r w:rsidR="006D6057">
        <w:rPr>
          <w:rFonts w:ascii="Times New Roman" w:hAnsi="Times New Roman"/>
          <w:color w:val="000000"/>
          <w:sz w:val="22"/>
        </w:rPr>
        <w:t xml:space="preserve"> </w:t>
      </w:r>
      <w:r>
        <w:rPr>
          <w:rFonts w:ascii="Times New Roman" w:hAnsi="Times New Roman"/>
          <w:color w:val="000000"/>
          <w:sz w:val="22"/>
        </w:rPr>
        <w:t>En outre, la SFI examinera les modalités d'appui aux pré-privatisations, au commerce de gros et envisagera des prises de participations dans des actifs nationalisés, dans les secteurs clés tels que les banques, les télécommunications et le secteur manufacturier.</w:t>
      </w:r>
    </w:p>
    <w:p w:rsidR="007F3FFB" w:rsidRDefault="007F3FFB" w:rsidP="007F3FFB">
      <w:pPr>
        <w:pStyle w:val="ListParagraph"/>
        <w:ind w:left="0"/>
        <w:jc w:val="both"/>
        <w:rPr>
          <w:rFonts w:ascii="Times New Roman" w:hAnsi="Times New Roman"/>
          <w:bCs/>
          <w:sz w:val="22"/>
          <w:szCs w:val="22"/>
        </w:rPr>
      </w:pPr>
    </w:p>
    <w:p w:rsidR="006439F9" w:rsidRPr="0018036A" w:rsidRDefault="00AE1C06" w:rsidP="00072C02">
      <w:pPr>
        <w:tabs>
          <w:tab w:val="left" w:pos="720"/>
        </w:tabs>
        <w:jc w:val="both"/>
        <w:rPr>
          <w:rFonts w:ascii="Times New Roman" w:hAnsi="Times New Roman"/>
          <w:b/>
          <w:i/>
          <w:iCs/>
          <w:sz w:val="22"/>
          <w:szCs w:val="22"/>
        </w:rPr>
      </w:pPr>
      <w:r>
        <w:rPr>
          <w:rFonts w:ascii="Times New Roman" w:hAnsi="Times New Roman"/>
          <w:b/>
          <w:i/>
          <w:sz w:val="22"/>
        </w:rPr>
        <w:t>(ii) 0bjectif d'action 2 : Renforcement du cadre de l'activité économique et approfondissement de l'intégration</w:t>
      </w:r>
    </w:p>
    <w:p w:rsidR="006439F9" w:rsidRPr="0018036A" w:rsidRDefault="006439F9" w:rsidP="00072C02">
      <w:pPr>
        <w:tabs>
          <w:tab w:val="left" w:pos="720"/>
        </w:tabs>
        <w:jc w:val="both"/>
        <w:rPr>
          <w:rFonts w:ascii="Times New Roman" w:hAnsi="Times New Roman"/>
          <w:i/>
          <w:iCs/>
          <w:sz w:val="22"/>
          <w:szCs w:val="22"/>
        </w:rPr>
      </w:pPr>
    </w:p>
    <w:p w:rsidR="006439F9" w:rsidRPr="0018036A" w:rsidRDefault="006439F9" w:rsidP="00072C02">
      <w:pPr>
        <w:tabs>
          <w:tab w:val="left" w:pos="720"/>
        </w:tabs>
        <w:jc w:val="both"/>
        <w:rPr>
          <w:rFonts w:ascii="Times New Roman" w:hAnsi="Times New Roman"/>
          <w:i/>
          <w:iCs/>
          <w:sz w:val="22"/>
          <w:szCs w:val="22"/>
        </w:rPr>
      </w:pPr>
      <w:r>
        <w:rPr>
          <w:rFonts w:ascii="Times New Roman" w:hAnsi="Times New Roman"/>
          <w:i/>
          <w:sz w:val="22"/>
        </w:rPr>
        <w:t>Cadre de l'activité économique et intégration commerciale</w:t>
      </w:r>
    </w:p>
    <w:p w:rsidR="006439F9" w:rsidRPr="0018036A" w:rsidRDefault="006439F9" w:rsidP="00072C02">
      <w:pPr>
        <w:tabs>
          <w:tab w:val="left" w:pos="720"/>
        </w:tabs>
        <w:jc w:val="both"/>
        <w:rPr>
          <w:rFonts w:ascii="Times New Roman" w:hAnsi="Times New Roman"/>
          <w:i/>
          <w:iCs/>
          <w:sz w:val="22"/>
          <w:szCs w:val="22"/>
        </w:rPr>
      </w:pPr>
    </w:p>
    <w:p w:rsidR="00160E81" w:rsidRPr="0018036A" w:rsidRDefault="00160E81"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Une priorité fondamentale de la Tunisie post-révolution est de mettre en place des réformes qui améliorent le cadre de l'activité économique pour permettre au secteur privé de prospérer et de commencer à créer des emplois.</w:t>
      </w:r>
      <w:r>
        <w:rPr>
          <w:rFonts w:ascii="Times New Roman" w:hAnsi="Times New Roman"/>
          <w:sz w:val="22"/>
        </w:rPr>
        <w:t xml:space="preserve"> L'adoption de réformes améliorant le cadre de l'activité des entreprises — en réduisant les exigences et les restrictions bureaucratiques, en renforçant la transparence et la contestabilité des marchés, et en réduisant les mesures discrétionnaires et les privilèges — enverra un signal fort aux investisseurs privés en montrant que les affaires ont repris en Tunisie, mais cette fois avec un environnement plus transparent et concurrentiel.</w:t>
      </w:r>
      <w:r w:rsidR="006D6057">
        <w:rPr>
          <w:rFonts w:ascii="Times New Roman" w:hAnsi="Times New Roman"/>
          <w:sz w:val="22"/>
        </w:rPr>
        <w:t xml:space="preserve"> </w:t>
      </w:r>
      <w:r>
        <w:rPr>
          <w:rFonts w:ascii="Times New Roman" w:hAnsi="Times New Roman"/>
          <w:sz w:val="22"/>
        </w:rPr>
        <w:t xml:space="preserve">Une des réformes politiques prioritaires sera de simplifier le code des investissements pour réduire la dichotomie </w:t>
      </w:r>
      <w:r>
        <w:rPr>
          <w:rFonts w:ascii="Times New Roman" w:hAnsi="Times New Roman"/>
          <w:i/>
          <w:sz w:val="22"/>
        </w:rPr>
        <w:t>onshore-offshore</w:t>
      </w:r>
      <w:r>
        <w:rPr>
          <w:rFonts w:ascii="Times New Roman" w:hAnsi="Times New Roman"/>
          <w:sz w:val="22"/>
        </w:rPr>
        <w:t xml:space="preserve"> et établir des règles du jeu équitables dans tous les secteurs de l'économie. Il sera aussi important d'aider les autorités, dans le prolongement du PPD GO de 2011, à simplifier les procédures administratives de délivrance des licences d'exploitation et les transactions, et à réduire la marge de pouvoir discrétionnaire dans leur application. En outre, des réformes importantes sont nécessaires pour favoriser l'ouverture et une relance de la croissance dans des secteurs clés tels que le tourisme. Les services de conseil de la SFI en Tunisie appuieront également ce programme, en aidant les autorités à rationaliser les réglementations des affaires, à améliorer les réglementations relatives à la concurrence et l'investissement, et à mettre en œuvre des réformes de la réglementation.</w:t>
      </w:r>
    </w:p>
    <w:p w:rsidR="00160E81" w:rsidRPr="0018036A" w:rsidRDefault="00160E81" w:rsidP="00072C02">
      <w:pPr>
        <w:tabs>
          <w:tab w:val="left" w:pos="720"/>
        </w:tabs>
        <w:jc w:val="both"/>
        <w:rPr>
          <w:rFonts w:ascii="Times New Roman" w:hAnsi="Times New Roman"/>
          <w:sz w:val="22"/>
          <w:szCs w:val="22"/>
        </w:rPr>
      </w:pPr>
    </w:p>
    <w:p w:rsidR="00160E81" w:rsidRPr="00112BE8" w:rsidRDefault="00160E81" w:rsidP="00BE735C">
      <w:pPr>
        <w:pStyle w:val="ListParagraph"/>
        <w:numPr>
          <w:ilvl w:val="0"/>
          <w:numId w:val="44"/>
        </w:numPr>
        <w:ind w:left="0" w:firstLine="0"/>
        <w:jc w:val="both"/>
        <w:rPr>
          <w:rFonts w:ascii="Times New Roman" w:hAnsi="Times New Roman"/>
          <w:iCs/>
          <w:sz w:val="22"/>
          <w:szCs w:val="22"/>
        </w:rPr>
      </w:pPr>
      <w:r>
        <w:rPr>
          <w:rFonts w:ascii="Times New Roman" w:hAnsi="Times New Roman"/>
          <w:b/>
          <w:sz w:val="22"/>
        </w:rPr>
        <w:t xml:space="preserve">La Tunisie a également besoin d'une nouvelle stratégie de croissance qui tienne compte de manière réaliste de la création d'emplois et des défis du développement régional. </w:t>
      </w:r>
      <w:r>
        <w:rPr>
          <w:rFonts w:ascii="Times New Roman" w:hAnsi="Times New Roman"/>
          <w:sz w:val="22"/>
        </w:rPr>
        <w:t>L'économie tunisienne a été marquée par la faiblesse des investissements, la lenteur de la croissance de la productivité et l'insuffisance (et la qualité médiocre) des créations d'emplois. Sous les pressions fortes en faveur d'une augmentation des salaires dans la Tunisie post-révolution, l'avantage concurrentiel qu'offraient antérieurement les salaires modérés tunisiens pourrait disparaître. Le défi pour la Tunisie est de permettre aux gains de productivité de produire une accélération de la croissance stimulée par le secteur privé et la création d'emplois, tout en assurant une sécurité d'emploi adéquate et une protection sociale efficace et bien ciblée pour les pauvres.</w:t>
      </w:r>
      <w:r w:rsidR="006D6057">
        <w:rPr>
          <w:rFonts w:ascii="Times New Roman" w:hAnsi="Times New Roman"/>
          <w:sz w:val="22"/>
        </w:rPr>
        <w:t xml:space="preserve"> </w:t>
      </w:r>
      <w:r>
        <w:rPr>
          <w:rFonts w:ascii="Times New Roman" w:hAnsi="Times New Roman"/>
          <w:sz w:val="22"/>
        </w:rPr>
        <w:t>La Banque préparera un Revue des politiques de développement (DPR) afin d'aider les autorités à réfléchir à ce programme et d'aider le Gouvernement à élaborer sa vision d'une croissance plus rapide et largement partagée, en mettant l'accent sur la création d'emplois et en définissant des politiques de croissance adaptées au contexte des régions. Dans le cadre du DPR, la Banque préparera une série de notes de politique sur une sélection de défis politiques.</w:t>
      </w:r>
      <w:r w:rsidR="006D6057">
        <w:rPr>
          <w:rFonts w:ascii="Times New Roman" w:hAnsi="Times New Roman"/>
          <w:sz w:val="22"/>
        </w:rPr>
        <w:t xml:space="preserve"> </w:t>
      </w:r>
    </w:p>
    <w:p w:rsidR="00112BE8" w:rsidRPr="004D3388" w:rsidRDefault="00112BE8" w:rsidP="00112BE8">
      <w:pPr>
        <w:pStyle w:val="ListParagraph"/>
        <w:ind w:left="0"/>
        <w:jc w:val="both"/>
        <w:rPr>
          <w:rFonts w:ascii="Times New Roman" w:hAnsi="Times New Roman"/>
          <w:iCs/>
          <w:sz w:val="22"/>
          <w:szCs w:val="22"/>
        </w:rPr>
      </w:pPr>
    </w:p>
    <w:p w:rsidR="00160E81" w:rsidRPr="0018036A" w:rsidRDefault="00160E81" w:rsidP="00BE735C">
      <w:pPr>
        <w:pStyle w:val="ListParagraph"/>
        <w:numPr>
          <w:ilvl w:val="0"/>
          <w:numId w:val="44"/>
        </w:numPr>
        <w:ind w:left="0" w:firstLine="0"/>
        <w:jc w:val="both"/>
        <w:rPr>
          <w:rFonts w:ascii="Times New Roman" w:hAnsi="Times New Roman"/>
          <w:iCs/>
          <w:sz w:val="22"/>
          <w:szCs w:val="22"/>
        </w:rPr>
      </w:pPr>
      <w:r>
        <w:rPr>
          <w:rFonts w:ascii="Times New Roman" w:hAnsi="Times New Roman"/>
          <w:b/>
          <w:sz w:val="22"/>
        </w:rPr>
        <w:t>La Banque et la SFI appuient des travaux d'analyse complémentaires visant à promouvoir des politiques de croissance durable et à renforcer le secteur privé</w:t>
      </w:r>
      <w:r>
        <w:rPr>
          <w:rFonts w:ascii="Times New Roman" w:hAnsi="Times New Roman"/>
          <w:sz w:val="22"/>
        </w:rPr>
        <w:t xml:space="preserve"> .</w:t>
      </w:r>
      <w:r w:rsidR="006D6057">
        <w:rPr>
          <w:rFonts w:ascii="Times New Roman" w:hAnsi="Times New Roman"/>
          <w:sz w:val="22"/>
        </w:rPr>
        <w:t xml:space="preserve"> </w:t>
      </w:r>
      <w:r>
        <w:rPr>
          <w:rFonts w:ascii="Times New Roman" w:hAnsi="Times New Roman"/>
          <w:sz w:val="22"/>
        </w:rPr>
        <w:t xml:space="preserve">La Banque et la SFI sont en train de préparer une Enquête de motivation des investisseurs et une Évaluation du climat des investissements afin de mieux comprendre le secteur privé et de répondre à ses contraintes. En ce qui concerne l'agriculture, qui représente 18% des emplois, la Banque a étudié diverses options d'amélioration de l'accès au financement rural et de création de mesures d'incitation appropriées pour assurer l'essor de ce secteur. </w:t>
      </w:r>
    </w:p>
    <w:p w:rsidR="00160E81" w:rsidRPr="0018036A" w:rsidRDefault="00160E81" w:rsidP="00072C02">
      <w:pPr>
        <w:pStyle w:val="ListParagraph"/>
        <w:ind w:left="0"/>
        <w:rPr>
          <w:rFonts w:ascii="Times New Roman" w:hAnsi="Times New Roman"/>
          <w:iCs/>
          <w:sz w:val="22"/>
          <w:szCs w:val="22"/>
        </w:rPr>
      </w:pPr>
    </w:p>
    <w:p w:rsidR="00CE1543" w:rsidRPr="00CE1543" w:rsidRDefault="00160E81" w:rsidP="00CE1543">
      <w:pPr>
        <w:pStyle w:val="ListParagraph"/>
        <w:numPr>
          <w:ilvl w:val="0"/>
          <w:numId w:val="44"/>
        </w:numPr>
        <w:ind w:left="0" w:firstLine="0"/>
        <w:jc w:val="both"/>
        <w:rPr>
          <w:rFonts w:ascii="Times New Roman" w:hAnsi="Times New Roman"/>
          <w:iCs/>
          <w:sz w:val="22"/>
          <w:szCs w:val="22"/>
        </w:rPr>
      </w:pPr>
      <w:r>
        <w:rPr>
          <w:rFonts w:ascii="Times New Roman" w:hAnsi="Times New Roman"/>
          <w:b/>
          <w:sz w:val="22"/>
        </w:rPr>
        <w:t xml:space="preserve">Un aspect essentiel de toute stratégie de croissance restera la poursuite d'une plus grande intégration économique mondiale. </w:t>
      </w:r>
      <w:r>
        <w:rPr>
          <w:rFonts w:ascii="Times New Roman" w:hAnsi="Times New Roman"/>
          <w:sz w:val="22"/>
        </w:rPr>
        <w:t>Avec le marché unique européen qui représente le quart du commerce mondial et des investissements extérieurs, l'intégration dans l'UE a été un élément central de la stratégie d'intégration mondiale de la Tunisie.</w:t>
      </w:r>
      <w:r w:rsidR="006D6057">
        <w:rPr>
          <w:rFonts w:ascii="Times New Roman" w:hAnsi="Times New Roman"/>
          <w:sz w:val="22"/>
        </w:rPr>
        <w:t xml:space="preserve"> </w:t>
      </w:r>
      <w:r>
        <w:rPr>
          <w:rFonts w:ascii="Times New Roman" w:hAnsi="Times New Roman"/>
          <w:sz w:val="22"/>
        </w:rPr>
        <w:t>Au-delà de l'Union européenne, la Tunisie a beaucoup à gagner d'un approfondissement de l'intégration avec le reste du monde, en particulier au sein de la région. En outre, le nouveau Gouvernement de l'Assemblée constituante a audacieusement réaffirmé son engagement en faveur d'une intégration régionale et mondiale, et dans le Maghreb. La Banque va préparer une étude analytique (EES Intégration programmatique internationale) pour évaluer l'impact des différentes options d'intégration commerciale et pour identifier les obstacles réglementaires et institutionnels à une intégration plus poussée, ainsi que les avantages potentiels commerciaux et économiques.</w:t>
      </w:r>
      <w:r>
        <w:rPr>
          <w:rFonts w:ascii="Times New Roman" w:hAnsi="Times New Roman"/>
          <w:b/>
          <w:sz w:val="22"/>
        </w:rPr>
        <w:t xml:space="preserve"> </w:t>
      </w:r>
      <w:r>
        <w:rPr>
          <w:rFonts w:ascii="Times New Roman" w:hAnsi="Times New Roman"/>
          <w:sz w:val="22"/>
        </w:rPr>
        <w:t>Ces recommandations pourraient informer les options politiques à appuyer dans le cadre d'un futur PPD.</w:t>
      </w:r>
      <w:r>
        <w:rPr>
          <w:rFonts w:ascii="Times New Roman" w:hAnsi="Times New Roman"/>
          <w:b/>
          <w:sz w:val="22"/>
        </w:rPr>
        <w:t xml:space="preserve"> </w:t>
      </w:r>
      <w:r>
        <w:rPr>
          <w:rFonts w:ascii="Times New Roman" w:hAnsi="Times New Roman"/>
          <w:sz w:val="22"/>
        </w:rPr>
        <w:t>La Banque prépare également un troisième Projet de développement des exportations (EDP III) qui continuera à soutenir les PME exportatrices. La Banque et les autorités examinent quelles sont les options d'adaptation ou d'élargissement de la conception de l'EDP III pour fournir éventuellement un appui à d'autres priorités du secteur privé, telles que l'accélération des procédures de dédouanement.</w:t>
      </w:r>
    </w:p>
    <w:p w:rsidR="00C43BE5" w:rsidRDefault="00C43BE5">
      <w:pPr>
        <w:pStyle w:val="ListParagraph"/>
        <w:ind w:left="0"/>
        <w:jc w:val="both"/>
        <w:rPr>
          <w:rFonts w:ascii="Times New Roman" w:hAnsi="Times New Roman"/>
          <w:iCs/>
          <w:sz w:val="22"/>
          <w:szCs w:val="22"/>
        </w:rPr>
      </w:pPr>
    </w:p>
    <w:p w:rsidR="00F55F63" w:rsidRPr="00CE1543" w:rsidRDefault="004D00A7" w:rsidP="00CE1543">
      <w:pPr>
        <w:pStyle w:val="ListParagraph"/>
        <w:numPr>
          <w:ilvl w:val="0"/>
          <w:numId w:val="44"/>
        </w:numPr>
        <w:ind w:left="0" w:firstLine="0"/>
        <w:jc w:val="both"/>
        <w:rPr>
          <w:rFonts w:ascii="Times New Roman" w:hAnsi="Times New Roman"/>
          <w:iCs/>
          <w:sz w:val="22"/>
          <w:szCs w:val="22"/>
        </w:rPr>
      </w:pPr>
      <w:r>
        <w:rPr>
          <w:rFonts w:ascii="Times New Roman" w:hAnsi="Times New Roman"/>
          <w:b/>
          <w:sz w:val="22"/>
        </w:rPr>
        <w:t>En ce qui concerne la dette du secteur du tourisme, la Banque et la SFI ont réalisé en 2011 une analyse de la restructuration de la dette du secteur touristique.</w:t>
      </w:r>
      <w:r>
        <w:rPr>
          <w:rFonts w:ascii="Times New Roman" w:hAnsi="Times New Roman"/>
          <w:sz w:val="22"/>
        </w:rPr>
        <w:t xml:space="preserve"> Le secteur du tourisme, qui a été touché par le niveau élevé de la dette et des prêts non productifs, est en très mauvaise posture en raison de la forte baisse des recettes touristiques en 2011. D'après le diagnostic établi par la SFI, si des actions de grande envergure ne sont pas engagées dans le secteur, il y a un risque que le ralentissement de l'activité économique accentue les coûts économiques, financiers et sociaux dans le secteur. La Banque propose un plan d'action qui recommande, </w:t>
      </w:r>
      <w:r>
        <w:rPr>
          <w:rFonts w:ascii="Times New Roman" w:hAnsi="Times New Roman"/>
          <w:i/>
          <w:sz w:val="22"/>
        </w:rPr>
        <w:t xml:space="preserve">entre autres, </w:t>
      </w:r>
      <w:r>
        <w:rPr>
          <w:rFonts w:ascii="Times New Roman" w:hAnsi="Times New Roman"/>
          <w:sz w:val="22"/>
        </w:rPr>
        <w:t>la création d'une « </w:t>
      </w:r>
      <w:r>
        <w:rPr>
          <w:rFonts w:ascii="Times New Roman" w:hAnsi="Times New Roman"/>
          <w:i/>
          <w:sz w:val="22"/>
        </w:rPr>
        <w:t>bad bank</w:t>
      </w:r>
      <w:r>
        <w:rPr>
          <w:rFonts w:ascii="Times New Roman" w:hAnsi="Times New Roman"/>
          <w:sz w:val="22"/>
        </w:rPr>
        <w:t xml:space="preserve"> » pour les actifs surendettés de la Société tunisienne de banque (STB) ou le transfert de tous les actifs surendettés du secteur bancaire relatifs au secteur du tourisme à des sociétés de gestion d'actifs, ainsi que des réformes visant à améliorer le régime de l'insolvabilité et les droits des créanciers, à mettre en œuvre une stratégie de diversification, à ouvrir le secteur du transport aérien et à améliorer la gouvernance du secteur du tourisme. </w:t>
      </w:r>
    </w:p>
    <w:p w:rsidR="00C67222" w:rsidRPr="0018036A" w:rsidRDefault="00C67222">
      <w:pPr>
        <w:rPr>
          <w:rFonts w:ascii="Times New Roman" w:hAnsi="Times New Roman"/>
          <w:sz w:val="22"/>
          <w:szCs w:val="22"/>
        </w:rPr>
      </w:pPr>
    </w:p>
    <w:p w:rsidR="006439F9" w:rsidRPr="0018036A" w:rsidRDefault="006439F9" w:rsidP="00072C02">
      <w:pPr>
        <w:pStyle w:val="ListParagraph"/>
        <w:tabs>
          <w:tab w:val="left" w:pos="720"/>
          <w:tab w:val="left" w:pos="810"/>
        </w:tabs>
        <w:autoSpaceDE w:val="0"/>
        <w:autoSpaceDN w:val="0"/>
        <w:adjustRightInd w:val="0"/>
        <w:ind w:left="0"/>
        <w:jc w:val="both"/>
        <w:rPr>
          <w:rFonts w:ascii="Times New Roman" w:hAnsi="Times New Roman"/>
          <w:i/>
          <w:sz w:val="22"/>
          <w:szCs w:val="22"/>
        </w:rPr>
      </w:pPr>
      <w:r>
        <w:rPr>
          <w:rFonts w:ascii="Times New Roman" w:hAnsi="Times New Roman"/>
          <w:i/>
          <w:sz w:val="22"/>
        </w:rPr>
        <w:t>Secteur financier</w:t>
      </w:r>
    </w:p>
    <w:p w:rsidR="006439F9" w:rsidRPr="0018036A" w:rsidRDefault="006439F9" w:rsidP="00072C02">
      <w:pPr>
        <w:pStyle w:val="ListParagraph"/>
        <w:tabs>
          <w:tab w:val="left" w:pos="720"/>
          <w:tab w:val="left" w:pos="810"/>
        </w:tabs>
        <w:autoSpaceDE w:val="0"/>
        <w:autoSpaceDN w:val="0"/>
        <w:adjustRightInd w:val="0"/>
        <w:ind w:left="0"/>
        <w:jc w:val="both"/>
        <w:rPr>
          <w:rFonts w:ascii="Times New Roman" w:hAnsi="Times New Roman"/>
          <w:b/>
          <w:sz w:val="22"/>
          <w:szCs w:val="22"/>
        </w:rPr>
      </w:pPr>
    </w:p>
    <w:p w:rsidR="00F55F63" w:rsidRDefault="004D00A7"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et le FMI ont réalisé un PESF au début de 2012 qui recommande des réformes structurelles permettant d'améliorer le fonctionnement et la stabilité du secteur financier et de renforcer sa résistance aux chocs économiques.</w:t>
      </w:r>
      <w:r>
        <w:rPr>
          <w:rFonts w:ascii="Times New Roman" w:hAnsi="Times New Roman"/>
          <w:sz w:val="22"/>
        </w:rPr>
        <w:t xml:space="preserve"> Le PESF a confirmé que dans le contexte de faiblesse de l'économie nationale, le secteur bancaire — déjà compromis par des provisions pour risques insuffisantes, un taux élevé de prêts non productifs (NPL) et des insuffisances en matière de pratiques de gouvernance pendant le régime de Ben Ali — était confronté à une détérioration de la rentabilité, de la solvabilité et de la qualité de ses prêts. Le manque de liquidité en 2011 est devenu une nouvelle source de vulnérabilité dans le secteur bancaire et une menace pour les entreprises qui dépendent de financements extérieurs pour soutenir leur activité économique. Parallèlement à l'analyse de la restructuration de la dette touristique, le PESF</w:t>
      </w:r>
      <w:r w:rsidR="006D6057">
        <w:rPr>
          <w:rFonts w:ascii="Times New Roman" w:hAnsi="Times New Roman"/>
          <w:sz w:val="22"/>
        </w:rPr>
        <w:t xml:space="preserve"> </w:t>
      </w:r>
      <w:r>
        <w:rPr>
          <w:rFonts w:ascii="Times New Roman" w:hAnsi="Times New Roman"/>
          <w:color w:val="000000"/>
          <w:sz w:val="22"/>
        </w:rPr>
        <w:t>procure les fondements analytiques d'une assistance technique et des réformes politiques que la Banque, la SFI et le FMI appuieront pour aider le Gouvernement à renforcer le secteur financier.</w:t>
      </w:r>
      <w:r w:rsidR="006D6057">
        <w:rPr>
          <w:rFonts w:ascii="Times New Roman" w:hAnsi="Times New Roman"/>
          <w:color w:val="000000"/>
          <w:sz w:val="22"/>
        </w:rPr>
        <w:t xml:space="preserve"> </w:t>
      </w:r>
      <w:r>
        <w:rPr>
          <w:rFonts w:ascii="Times New Roman" w:hAnsi="Times New Roman"/>
          <w:sz w:val="22"/>
        </w:rPr>
        <w:t xml:space="preserve">Les réformes prioritaires incluent la restructuration et la recapitalisation des banques publiques, l'introduction d'exigences réglementaires plus strictes, le renforcement des procédures de supervision bancaire et la mise en place d'un cadre de suivi de la préparation en cas de crise financière. Suite à l'identification et la mise en œuvre de réformes initiales dans le cadre du PPD Ex. 13, la Banque pourra continuer d'appuyer le secteur par l'intermédiaire d'un prêt d'appui au secteur financier. </w:t>
      </w:r>
      <w:r>
        <w:rPr>
          <w:rFonts w:ascii="Times New Roman" w:hAnsi="Times New Roman"/>
          <w:color w:val="000000"/>
          <w:sz w:val="22"/>
        </w:rPr>
        <w:t>En coordination avec la Banque mondiale et le FMI, la SFI a</w:t>
      </w:r>
      <w:r>
        <w:rPr>
          <w:rFonts w:ascii="Times New Roman" w:hAnsi="Times New Roman"/>
          <w:sz w:val="22"/>
        </w:rPr>
        <w:t xml:space="preserve"> procuré des services de formation et de conseil afin de promouvoir des pratiques saines de gouvernance bancaire dans le secteur bancaire permettant d'améliorer les performances et d'attirer des investissements.</w:t>
      </w:r>
      <w:r w:rsidR="006D6057">
        <w:rPr>
          <w:rFonts w:ascii="Times New Roman" w:hAnsi="Times New Roman"/>
          <w:sz w:val="22"/>
        </w:rPr>
        <w:t xml:space="preserve"> </w:t>
      </w:r>
      <w:r>
        <w:rPr>
          <w:rFonts w:ascii="Times New Roman" w:hAnsi="Times New Roman"/>
          <w:sz w:val="22"/>
        </w:rPr>
        <w:t>La Banque pourrait fournir des services de formation et de conseil à la Direction de la supervision bancaire de la Banque centrale afin de mieux surveiller la mise en œuvre des nouvelles règles de gouvernance d'entreprise établies en 2011.</w:t>
      </w:r>
    </w:p>
    <w:p w:rsidR="00C43BE5" w:rsidRDefault="00C43BE5">
      <w:pPr>
        <w:pStyle w:val="ListParagraph"/>
        <w:ind w:left="0"/>
        <w:jc w:val="both"/>
        <w:rPr>
          <w:rFonts w:ascii="Times New Roman" w:hAnsi="Times New Roman"/>
          <w:sz w:val="22"/>
          <w:szCs w:val="22"/>
        </w:rPr>
      </w:pPr>
    </w:p>
    <w:p w:rsidR="00553FA1" w:rsidRPr="00553FA1" w:rsidRDefault="00B90817"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En outre, la SFI cherchera à développer un programme relativement important d'investissements (prêts et fonds propres) et de services de conseil afin de renforcer les institutions financières (fonds d'investissement, banques, institutions de microfinance) et les capacité d'octroi de prêts aux MPME.</w:t>
      </w:r>
      <w:r w:rsidR="006D6057">
        <w:rPr>
          <w:rFonts w:ascii="Times New Roman" w:hAnsi="Times New Roman"/>
          <w:b/>
          <w:sz w:val="22"/>
        </w:rPr>
        <w:t xml:space="preserve"> </w:t>
      </w:r>
      <w:r>
        <w:rPr>
          <w:rFonts w:ascii="Times New Roman" w:hAnsi="Times New Roman"/>
          <w:sz w:val="22"/>
        </w:rPr>
        <w:t>La SFI s'est engagée à poursuivre l'élargissement de son engagement dans le secteur financier par l'intermédiaire de prises de participation dans le capital des banques, en particulier en accompagnement de la restructuration du secteur bancaire qu'engagera le Gouvernement. Le programme pourrait inclure un examen des réglementations des institutions de microfinance et promouvoir la mise en place d'un Bureau de crédit, conjointement avec la Banque. La SFI crée également un Fonds régional MENA qui va mobiliser des opportunités d'investissement dans la région, appuyer les marchés des capitaux et aider à intensifier l'accès au financement. Le Fonds devrait être principalement un fonds de participation d'environ 300 millions de dollars qui co-investira avec la SFI dans tous les secteurs. Enfin, la SFI se tournera de plus en plus vers les femmes et les jeunes en matière d'accès à la microfinance, de services bancaires aux PME, de gouvernance d'entreprise, et de formation des femmes entrepreneurs.</w:t>
      </w:r>
    </w:p>
    <w:p w:rsidR="00FE7473" w:rsidRPr="0018036A" w:rsidRDefault="00FE7473" w:rsidP="00072C02">
      <w:pPr>
        <w:jc w:val="both"/>
        <w:rPr>
          <w:rFonts w:ascii="Times New Roman" w:hAnsi="Times New Roman"/>
          <w:b/>
          <w:i/>
          <w:iCs/>
          <w:sz w:val="22"/>
          <w:szCs w:val="22"/>
        </w:rPr>
      </w:pPr>
    </w:p>
    <w:p w:rsidR="0020672A" w:rsidRPr="0018036A" w:rsidRDefault="00F52AA3" w:rsidP="00072C02">
      <w:pPr>
        <w:jc w:val="both"/>
        <w:rPr>
          <w:rFonts w:ascii="Times New Roman" w:hAnsi="Times New Roman"/>
          <w:b/>
          <w:i/>
          <w:iCs/>
          <w:sz w:val="22"/>
          <w:szCs w:val="22"/>
        </w:rPr>
      </w:pPr>
      <w:r>
        <w:rPr>
          <w:rFonts w:ascii="Times New Roman" w:hAnsi="Times New Roman"/>
          <w:b/>
          <w:i/>
          <w:sz w:val="22"/>
        </w:rPr>
        <w:t>(iii) 0bjectif d'action 3 : Créer un environnement propice aux réformes du marché du travail</w:t>
      </w:r>
    </w:p>
    <w:p w:rsidR="0020672A" w:rsidRPr="00C87C91" w:rsidRDefault="0020672A" w:rsidP="00072C02">
      <w:pPr>
        <w:pStyle w:val="ListParagraph"/>
        <w:ind w:left="0"/>
        <w:jc w:val="both"/>
        <w:rPr>
          <w:rFonts w:ascii="Times New Roman" w:hAnsi="Times New Roman"/>
          <w:bCs/>
          <w:iCs/>
          <w:sz w:val="16"/>
          <w:szCs w:val="16"/>
        </w:rPr>
      </w:pPr>
    </w:p>
    <w:p w:rsidR="0020672A" w:rsidRPr="00172263" w:rsidRDefault="002E682E" w:rsidP="00BE735C">
      <w:pPr>
        <w:pStyle w:val="ListParagraph"/>
        <w:numPr>
          <w:ilvl w:val="0"/>
          <w:numId w:val="44"/>
        </w:numPr>
        <w:ind w:left="0" w:firstLine="0"/>
        <w:jc w:val="both"/>
        <w:rPr>
          <w:rFonts w:ascii="Times New Roman" w:hAnsi="Times New Roman"/>
          <w:bCs/>
          <w:iCs/>
          <w:sz w:val="22"/>
          <w:szCs w:val="22"/>
        </w:rPr>
      </w:pPr>
      <w:r>
        <w:rPr>
          <w:rFonts w:ascii="Times New Roman" w:hAnsi="Times New Roman"/>
          <w:b/>
          <w:sz w:val="22"/>
        </w:rPr>
        <w:t>Il y a une nouvelle conjoncture favorable permettant au Gouvernement de jeter les bases d'une restructuration du marché du travail, désorganisé depuis des années.</w:t>
      </w:r>
      <w:r w:rsidR="006D6057">
        <w:rPr>
          <w:rFonts w:ascii="Times New Roman" w:hAnsi="Times New Roman"/>
          <w:sz w:val="22"/>
        </w:rPr>
        <w:t xml:space="preserve"> </w:t>
      </w:r>
      <w:r>
        <w:rPr>
          <w:rFonts w:ascii="Times New Roman" w:hAnsi="Times New Roman"/>
          <w:sz w:val="22"/>
        </w:rPr>
        <w:t>Les réglementations du travail en Tunisie sont rigides, complexes, difficiles à appliquer et dépassées (quasiment inchangées depuis leur création en 1966) et sont devenues un élément dissuasif pour la création d'emplois dans le secteur formel. Il est largement admis que la réglementation du marché du travail représente une contrainte importante pour la croissance et la création d'emplois. En dépit de l'environnement politique fragile, le Gouvernement, les employeurs et les syndicats sont plus réceptifs que jamais à la mise en œuvre de réformes qui l'assoupliraient</w:t>
      </w:r>
      <w:r>
        <w:rPr>
          <w:rStyle w:val="FootnoteReference"/>
          <w:rFonts w:ascii="Times New Roman" w:hAnsi="Times New Roman"/>
          <w:sz w:val="22"/>
        </w:rPr>
        <w:footnoteReference w:id="16"/>
      </w:r>
      <w:r>
        <w:rPr>
          <w:rFonts w:ascii="Times New Roman" w:hAnsi="Times New Roman"/>
          <w:sz w:val="22"/>
        </w:rPr>
        <w:t xml:space="preserve">. </w:t>
      </w:r>
      <w:r>
        <w:rPr>
          <w:rFonts w:ascii="Times New Roman" w:hAnsi="Times New Roman"/>
          <w:sz w:val="22"/>
        </w:rPr>
        <w:lastRenderedPageBreak/>
        <w:t xml:space="preserve">Des options politiques spécifiques pourraient être définies dans le cadre d'un processus de Dialogue social national avec les autorités, les syndicats, les représentants de la communauté des affaires et la société civile au sens large. </w:t>
      </w:r>
      <w:r>
        <w:rPr>
          <w:rFonts w:ascii="Times New Roman" w:hAnsi="Times New Roman"/>
          <w:color w:val="000000"/>
          <w:sz w:val="22"/>
        </w:rPr>
        <w:t xml:space="preserve">L'AT programmatique de la Banque sur l'emploi </w:t>
      </w:r>
      <w:r>
        <w:rPr>
          <w:rFonts w:ascii="Times New Roman" w:hAnsi="Times New Roman"/>
          <w:sz w:val="22"/>
        </w:rPr>
        <w:t>va examiner les options d'appui au processus de dialogue national pour parvenir à un consensus social sur des options adaptées et concrètes de réforme du travail. Les options de réformes pourront notamment promouvoir une plus grande participation des femmes au marché du travail, par le biais, notamment, de réglementations donnant plus de flexibilité aux horaires de travail du secteur public.</w:t>
      </w:r>
    </w:p>
    <w:p w:rsidR="009E56F9" w:rsidRPr="00C87C91" w:rsidRDefault="009E56F9" w:rsidP="00072C02">
      <w:pPr>
        <w:pStyle w:val="ListParagraph"/>
        <w:tabs>
          <w:tab w:val="left" w:pos="810"/>
        </w:tabs>
        <w:autoSpaceDE w:val="0"/>
        <w:autoSpaceDN w:val="0"/>
        <w:adjustRightInd w:val="0"/>
        <w:ind w:left="0"/>
        <w:jc w:val="both"/>
        <w:rPr>
          <w:rFonts w:ascii="Times New Roman" w:hAnsi="Times New Roman"/>
          <w:color w:val="000000"/>
          <w:sz w:val="16"/>
          <w:szCs w:val="16"/>
        </w:rPr>
      </w:pPr>
    </w:p>
    <w:p w:rsidR="006439F9" w:rsidRPr="0018036A" w:rsidRDefault="00F52AA3" w:rsidP="00072C02">
      <w:pPr>
        <w:pStyle w:val="ListParagraph"/>
        <w:tabs>
          <w:tab w:val="left" w:pos="810"/>
        </w:tabs>
        <w:autoSpaceDE w:val="0"/>
        <w:autoSpaceDN w:val="0"/>
        <w:adjustRightInd w:val="0"/>
        <w:ind w:left="0"/>
        <w:jc w:val="both"/>
        <w:rPr>
          <w:rFonts w:ascii="Times New Roman" w:hAnsi="Times New Roman"/>
          <w:b/>
          <w:i/>
          <w:iCs/>
          <w:sz w:val="22"/>
          <w:szCs w:val="22"/>
        </w:rPr>
      </w:pPr>
      <w:r>
        <w:rPr>
          <w:rFonts w:ascii="Times New Roman" w:hAnsi="Times New Roman"/>
          <w:b/>
          <w:i/>
          <w:sz w:val="22"/>
        </w:rPr>
        <w:t>(iv) 0bjectif d'action 4 : Amélioration des programmes de politique active d'emploi pour les chômeurs</w:t>
      </w:r>
    </w:p>
    <w:p w:rsidR="006439F9" w:rsidRPr="00C87C91" w:rsidRDefault="006439F9" w:rsidP="00072C02">
      <w:pPr>
        <w:pStyle w:val="ListParagraph"/>
        <w:tabs>
          <w:tab w:val="left" w:pos="810"/>
        </w:tabs>
        <w:autoSpaceDE w:val="0"/>
        <w:autoSpaceDN w:val="0"/>
        <w:adjustRightInd w:val="0"/>
        <w:ind w:left="0"/>
        <w:jc w:val="both"/>
        <w:rPr>
          <w:rFonts w:ascii="Times New Roman" w:hAnsi="Times New Roman"/>
          <w:b/>
          <w:i/>
          <w:iCs/>
          <w:sz w:val="16"/>
          <w:szCs w:val="16"/>
        </w:rPr>
      </w:pPr>
    </w:p>
    <w:p w:rsidR="00E62A75" w:rsidRPr="00B66029" w:rsidRDefault="00945900"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La prise en charge d'un stock important et croissant de jeunes chômeurs (estimés à 44 % pour les diplômés universitaires) représente un défi essentiel pour le Gouvernement tunisien. </w:t>
      </w:r>
      <w:r>
        <w:rPr>
          <w:rFonts w:ascii="Times New Roman" w:hAnsi="Times New Roman"/>
          <w:sz w:val="22"/>
        </w:rPr>
        <w:t>La Banque étudie avec le Gouvernement une série d'options politiques à court terme afin de mieux aider le grand nombre de chômeurs. Il faut, par exemple, mettre en place un cadre juridique et institutionnel pour assurer un suivi-évaluation basé sur les résultats des dépenses publiques consacrées aux programmes actifs d'emploi (PAE, programmes de chômage) qui collectera des données ventilées par sexes. La réforme du Fonds national de l'emploi (FNE), principale source de financement des PAE du pays, est devenue une priorité du secteur, et la Banque mondiale pourrait aussi travailler sur l'identification des options de réforme des programmes régionaux d'emploi financés par le FNE. Le</w:t>
      </w:r>
      <w:r>
        <w:rPr>
          <w:rFonts w:ascii="Times New Roman" w:hAnsi="Times New Roman"/>
          <w:color w:val="000000"/>
          <w:sz w:val="22"/>
        </w:rPr>
        <w:t xml:space="preserve"> programme AMAL qui offre un appui financier limité aux diplômés chômeurs, n'a pas répondu aux attentes et doit être réformé et/ou disparaître progressivement</w:t>
      </w:r>
      <w:r>
        <w:rPr>
          <w:rStyle w:val="FootnoteReference"/>
          <w:rFonts w:ascii="Times New Roman" w:hAnsi="Times New Roman"/>
          <w:color w:val="000000"/>
          <w:sz w:val="22"/>
        </w:rPr>
        <w:footnoteReference w:id="17"/>
      </w:r>
      <w:r>
        <w:rPr>
          <w:rFonts w:ascii="Times New Roman" w:hAnsi="Times New Roman"/>
          <w:color w:val="000000"/>
          <w:sz w:val="22"/>
        </w:rPr>
        <w:t xml:space="preserve">. </w:t>
      </w:r>
      <w:r>
        <w:rPr>
          <w:rFonts w:ascii="Times New Roman" w:hAnsi="Times New Roman"/>
          <w:sz w:val="22"/>
        </w:rPr>
        <w:t>Le Gouvernement pourrait également étudier des options de partenariats public-privé pour dispenser une formation professionnelle et des services à l'emploi. Dans ce contexte, les services de placement de l'Agence nationale pour l'emploi et le travail indépendant de la Tunisie (ANETI) devront être renforcés par le biais, notamment, de partenariats avec le secteur privé. La Banque pourrait identifier des options de réforme des programmes régionaux pour l'emploi du FNE, qui disposent d'importantes allocations budgétaires, mais manquent de cadres de gouvernance et de redevabilité. Enfin, l'exécution, le ciblage et la gouvernance des travaux publics à forte intensité de main d'œuvre et d'autres programmes d'emploi régionaux doivent également être réformés. Alors que ces options de réforme sont explorées, la Banque identifiera les opportunités d'inclusion des femmes, en particulier des femmes jeunes, dans les PAE, suivra les progrès accomplis et orientera les politiques. Certaines parties de ce programme de réforme pourraient être appuyées par une AT de politique de l'emploi de la Banque.</w:t>
      </w:r>
    </w:p>
    <w:p w:rsidR="00F55F63" w:rsidRPr="00B66029" w:rsidRDefault="00F55F63" w:rsidP="00072C02">
      <w:pPr>
        <w:pStyle w:val="ListParagraph"/>
        <w:ind w:left="0"/>
        <w:jc w:val="both"/>
        <w:rPr>
          <w:rFonts w:ascii="Times New Roman" w:hAnsi="Times New Roman"/>
          <w:sz w:val="16"/>
          <w:szCs w:val="16"/>
        </w:rPr>
      </w:pPr>
    </w:p>
    <w:p w:rsidR="00E460D3" w:rsidRDefault="001F2FE8" w:rsidP="00E460D3">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La Banque explorera également la possibilité d'un projet d'investissement en Formation pour l'emploi qui permettrait d'élargir le rôle du secteur privé en matière de formation et de certification des compétences, dans un effort pour réduire l'inadéquation entre l'offre de compétences et la demande de main-d'œuvre.</w:t>
      </w:r>
      <w:r>
        <w:rPr>
          <w:rFonts w:ascii="Times New Roman" w:hAnsi="Times New Roman"/>
          <w:color w:val="000000"/>
          <w:sz w:val="22"/>
        </w:rPr>
        <w:t xml:space="preserve"> </w:t>
      </w:r>
      <w:r>
        <w:rPr>
          <w:rFonts w:ascii="Times New Roman" w:hAnsi="Times New Roman"/>
          <w:sz w:val="22"/>
        </w:rPr>
        <w:t xml:space="preserve">L'opération pourrait notamment se concentrer sur la promotion d'accords entre des prestataires de formation professionnelle et des entreprises pour donner à des chômeurs diplômés les compétences nécessaires correspondant à des emplois pré-identifiés dans des secteurs à fort potentiel, tels que les activités offshore. Tirant parti de l'Initiative Éducation pour l'emploi dans le monde arabe (e4e), la SFI va mettre en œuvre un projet pilote SFI/Forum économique mondial (WEF) axé sur l'inadéquation entre la demande de </w:t>
      </w:r>
      <w:r>
        <w:rPr>
          <w:rFonts w:ascii="Times New Roman" w:hAnsi="Times New Roman"/>
          <w:sz w:val="22"/>
        </w:rPr>
        <w:lastRenderedPageBreak/>
        <w:t>travail et les compétences professionnelles. Le programme pilote vise à améliorer l'employabilité des jeunes grâce à de nouveaux modèles de partenariats entre le secteur public et le secteur privé et entre les fournisseurs de services d'éducation et les employeurs. Le programme de la Tunisie comprend trois volets : 1) établir une plateforme publique-privée pour établir un pont structuré entre le secteur privé (la demande de jeunes qualifiés) et les établissements d'enseignement, les bailleurs de fonds et le Gouvernement (l'offre), qui ciblera les secteurs à haut potentiel de création d'emplois ; 2) catalyser les investissements au bénéfice des fournisseurs du secteur privé d'enseignement supérieur, de formation professionnelle et d'éducation et formation adaptées au marché du travail, et 3) potentiellement investir dans un fonds de capital risque aux côtés d'autres investisseurs locaux et internationaux pour accroître l'offre de capitaux à long terme pour les entreprises afin de stimuler la croissance et de créer des emplois.</w:t>
      </w:r>
    </w:p>
    <w:p w:rsidR="00E460D3" w:rsidRDefault="00E460D3" w:rsidP="00E460D3">
      <w:pPr>
        <w:pStyle w:val="ListParagraph"/>
        <w:ind w:left="0"/>
        <w:jc w:val="both"/>
        <w:rPr>
          <w:rFonts w:ascii="Times New Roman" w:hAnsi="Times New Roman"/>
          <w:sz w:val="22"/>
          <w:szCs w:val="22"/>
        </w:rPr>
      </w:pPr>
    </w:p>
    <w:p w:rsidR="00C43BE5" w:rsidRPr="00E460D3" w:rsidRDefault="00774A55" w:rsidP="00E460D3">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La Banque mondiale a mobilisé des financements de fonds fiduciaires pour piloter des approches novatrices de l'emploi des jeunes, de la formation et des services sociaux.</w:t>
      </w:r>
      <w:r>
        <w:rPr>
          <w:rFonts w:ascii="Times New Roman" w:hAnsi="Times New Roman"/>
          <w:color w:val="000000"/>
          <w:sz w:val="22"/>
        </w:rPr>
        <w:t xml:space="preserve"> Deux dons JSDF ont été mobilisés pour financer des travaux publics à forte intensité de main d'œuvre à Jendouba (USD 3 millions) et des revenus d'urgence et des emplois de courte durée pour des jeunes ruraux à Sidi Bouzid et Kasserine (USD 3 millions), tous deux approuvés en 2011, dont la mise en œuvre interviendra en 2012. Le deuxième projet du JSDF permettra de recueillir des données ventilées par sexe, et prévoit une représentation égale des bénéficiaires féminins et masculins. Le projet pilote d'emplois pour des jeunes ruraux du JSDF permettra de recueillir des données ventilées par sexe, et prévoit une représentation égale des bénéficiaires féminins et masculins. Un don du SPF (USD 5 millions), approuvé en 2011, permettra d'aider des populations vulnérables, et notamment des Tunisiens revenus de Libye en raison du conflit et leur fournira des emplois dans des activités de prestations de services de base et de formation. Ces opérations comprennent des indicateurs de genre spécifiques pour contrôler les résultats en termes de participation active des femmes dans l'identification des sous-projets, leur mise en œuvre et leur supervision. Ces opérations permettront aussi de tirer des enseignements pour les programmes d'emploi et pourront être répliquées à plus grande échelle.</w:t>
      </w:r>
      <w:r>
        <w:rPr>
          <w:color w:val="000000"/>
          <w:sz w:val="22"/>
        </w:rPr>
        <w:t xml:space="preserve"> </w:t>
      </w:r>
    </w:p>
    <w:p w:rsidR="00640163" w:rsidRDefault="001302BD" w:rsidP="00072C02">
      <w:pPr>
        <w:pStyle w:val="ListParagraph"/>
        <w:tabs>
          <w:tab w:val="left" w:pos="720"/>
        </w:tabs>
        <w:ind w:left="0"/>
        <w:outlineLvl w:val="2"/>
        <w:rPr>
          <w:rFonts w:ascii="Times New Roman" w:hAnsi="Times New Roman"/>
          <w:b/>
          <w:smallCaps/>
          <w:sz w:val="22"/>
          <w:szCs w:val="22"/>
        </w:rPr>
      </w:pPr>
      <w:r>
        <w:tab/>
      </w:r>
      <w:bookmarkStart w:id="42" w:name="_Toc323821467"/>
    </w:p>
    <w:p w:rsidR="00F55F63" w:rsidRPr="00B959D3" w:rsidRDefault="00FC64CF" w:rsidP="00B959D3">
      <w:pPr>
        <w:pStyle w:val="Heading3"/>
        <w:ind w:firstLine="720"/>
        <w:rPr>
          <w:rFonts w:ascii="Times New Roman" w:hAnsi="Times New Roman"/>
          <w:smallCaps/>
          <w:sz w:val="22"/>
        </w:rPr>
      </w:pPr>
      <w:bookmarkStart w:id="43" w:name="_Toc327979100"/>
      <w:r w:rsidRPr="00B959D3">
        <w:rPr>
          <w:rFonts w:ascii="Times New Roman" w:hAnsi="Times New Roman"/>
          <w:smallCaps/>
          <w:sz w:val="22"/>
        </w:rPr>
        <w:t>Domaine 2 :</w:t>
      </w:r>
      <w:r w:rsidR="006D6057" w:rsidRPr="00B959D3">
        <w:rPr>
          <w:rFonts w:ascii="Times New Roman" w:hAnsi="Times New Roman"/>
          <w:smallCaps/>
          <w:sz w:val="22"/>
        </w:rPr>
        <w:t xml:space="preserve"> </w:t>
      </w:r>
      <w:r w:rsidRPr="00B959D3">
        <w:rPr>
          <w:rFonts w:ascii="Times New Roman" w:hAnsi="Times New Roman"/>
          <w:smallCaps/>
          <w:sz w:val="22"/>
        </w:rPr>
        <w:t>Promotion de l'inclusion sociale et économique</w:t>
      </w:r>
      <w:bookmarkEnd w:id="42"/>
      <w:bookmarkEnd w:id="43"/>
    </w:p>
    <w:p w:rsidR="0053713E" w:rsidRPr="0053713E" w:rsidRDefault="0053713E" w:rsidP="00413627">
      <w:pPr>
        <w:pStyle w:val="ListParagraph"/>
        <w:tabs>
          <w:tab w:val="left" w:pos="720"/>
        </w:tabs>
        <w:ind w:left="0"/>
        <w:jc w:val="both"/>
        <w:rPr>
          <w:rFonts w:ascii="Times New Roman" w:hAnsi="Times New Roman"/>
          <w:sz w:val="16"/>
          <w:szCs w:val="16"/>
        </w:rPr>
      </w:pPr>
    </w:p>
    <w:p w:rsidR="00F55F63" w:rsidRPr="0018036A" w:rsidRDefault="00FC64CF" w:rsidP="00413627">
      <w:pPr>
        <w:pStyle w:val="ListParagraph"/>
        <w:tabs>
          <w:tab w:val="left" w:pos="720"/>
        </w:tabs>
        <w:ind w:left="0"/>
        <w:jc w:val="both"/>
        <w:rPr>
          <w:rFonts w:ascii="Times New Roman" w:hAnsi="Times New Roman"/>
          <w:bCs/>
          <w:i/>
          <w:iCs/>
          <w:sz w:val="22"/>
          <w:szCs w:val="22"/>
        </w:rPr>
      </w:pPr>
      <w:r>
        <w:rPr>
          <w:rFonts w:ascii="Times New Roman" w:hAnsi="Times New Roman"/>
          <w:i/>
          <w:sz w:val="22"/>
        </w:rPr>
        <w:t xml:space="preserve">Objectifs d'action : (i) Amélioration de l'accès aux services de base des communautés mal desservies ; et (ii) amélioration de l'efficacité des programmes de filets de protection sociale. </w:t>
      </w:r>
    </w:p>
    <w:p w:rsidR="00F55F63" w:rsidRPr="0053713E" w:rsidRDefault="00F55F63" w:rsidP="00072C02">
      <w:pPr>
        <w:tabs>
          <w:tab w:val="left" w:pos="720"/>
        </w:tabs>
        <w:jc w:val="both"/>
        <w:rPr>
          <w:rFonts w:ascii="Times New Roman" w:hAnsi="Times New Roman"/>
          <w:b/>
          <w:sz w:val="16"/>
          <w:szCs w:val="16"/>
        </w:rPr>
      </w:pPr>
    </w:p>
    <w:p w:rsidR="00F55F63" w:rsidRPr="0018036A" w:rsidRDefault="00DA1DAE" w:rsidP="00072C02">
      <w:pPr>
        <w:pStyle w:val="ListParagraph"/>
        <w:tabs>
          <w:tab w:val="left" w:pos="720"/>
        </w:tabs>
        <w:ind w:left="0"/>
        <w:jc w:val="both"/>
        <w:rPr>
          <w:rFonts w:ascii="Times New Roman" w:hAnsi="Times New Roman"/>
          <w:b/>
          <w:bCs/>
          <w:i/>
          <w:iCs/>
          <w:sz w:val="22"/>
          <w:szCs w:val="22"/>
        </w:rPr>
      </w:pPr>
      <w:r>
        <w:rPr>
          <w:rFonts w:ascii="Times New Roman" w:hAnsi="Times New Roman"/>
          <w:b/>
          <w:i/>
          <w:sz w:val="22"/>
        </w:rPr>
        <w:t xml:space="preserve">(i) 0bjectif d'action 5 : Amélioration de l'accès aux services de base des communautés mal desservies </w:t>
      </w:r>
    </w:p>
    <w:p w:rsidR="00F55F63" w:rsidRPr="00C87C91" w:rsidRDefault="00F55F63" w:rsidP="00072C02">
      <w:pPr>
        <w:pStyle w:val="ListParagraph"/>
        <w:tabs>
          <w:tab w:val="left" w:pos="720"/>
        </w:tabs>
        <w:ind w:left="0"/>
        <w:jc w:val="both"/>
        <w:rPr>
          <w:rFonts w:ascii="Times New Roman" w:hAnsi="Times New Roman"/>
          <w:color w:val="000000"/>
          <w:sz w:val="16"/>
          <w:szCs w:val="16"/>
        </w:rPr>
      </w:pPr>
    </w:p>
    <w:p w:rsidR="0030516F" w:rsidRPr="0018036A" w:rsidRDefault="0030516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La révolution a mis en évidence la nécessité d'une plus forte participation des autorités locales et des communautés locales dans la conception des politiques économiques, la prise de décisions et la prestation de services publics.</w:t>
      </w:r>
      <w:r>
        <w:rPr>
          <w:rFonts w:ascii="Times New Roman" w:hAnsi="Times New Roman"/>
          <w:color w:val="000000"/>
          <w:sz w:val="22"/>
        </w:rPr>
        <w:t xml:space="preserve"> Depuis 2011, un programme de fiches d'évaluation communautaires a été piloté qui a suscité des réunions municipales très animées</w:t>
      </w:r>
      <w:r w:rsidR="006D6057">
        <w:rPr>
          <w:rFonts w:ascii="Times New Roman" w:hAnsi="Times New Roman"/>
          <w:color w:val="000000"/>
          <w:sz w:val="22"/>
        </w:rPr>
        <w:t xml:space="preserve"> </w:t>
      </w:r>
      <w:r>
        <w:rPr>
          <w:rFonts w:ascii="Times New Roman" w:hAnsi="Times New Roman"/>
          <w:color w:val="000000"/>
          <w:sz w:val="22"/>
        </w:rPr>
        <w:t>(avec une participation active des femmes) au cours desquelles les autorités locales et les citoyens ont évalué les services de santé, d'éducation et d'emploi et ont fait des recommandations sur la façon de les améliorer. En se référant à ce modèle, la Banque appuiera des efforts supplémentaires tant au niveau des communautés rurales qu'au niveau municipal urbain/périurbain pour améliorer l'accès aux services de base en s'inspirant des remontées d'informations concrètes locales et en favorisant une gouvernance locale renforcée.</w:t>
      </w:r>
    </w:p>
    <w:p w:rsidR="006314C4" w:rsidRPr="00C87C91" w:rsidRDefault="006314C4" w:rsidP="00072C02">
      <w:pPr>
        <w:pStyle w:val="ListParagraph"/>
        <w:tabs>
          <w:tab w:val="left" w:pos="720"/>
        </w:tabs>
        <w:ind w:left="0"/>
        <w:jc w:val="both"/>
        <w:rPr>
          <w:rFonts w:ascii="Times New Roman" w:hAnsi="Times New Roman"/>
          <w:sz w:val="16"/>
          <w:szCs w:val="16"/>
        </w:rPr>
      </w:pPr>
    </w:p>
    <w:p w:rsidR="00A852B1" w:rsidRDefault="00034377" w:rsidP="00034377">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 xml:space="preserve">Des opérations en cours de la BIRD contribueront aussi à cet objectif d'action au niveau des communautés rurales pendant la durée de la NSI : </w:t>
      </w:r>
      <w:r>
        <w:rPr>
          <w:rFonts w:ascii="Times New Roman" w:hAnsi="Times New Roman"/>
          <w:sz w:val="22"/>
        </w:rPr>
        <w:t xml:space="preserve">Le </w:t>
      </w:r>
      <w:r>
        <w:rPr>
          <w:rFonts w:ascii="Times New Roman" w:hAnsi="Times New Roman"/>
          <w:b/>
          <w:sz w:val="22"/>
        </w:rPr>
        <w:t xml:space="preserve">deuxième Projet de gestion des ressources naturelles </w:t>
      </w:r>
      <w:r>
        <w:rPr>
          <w:rFonts w:ascii="Times New Roman" w:hAnsi="Times New Roman"/>
          <w:sz w:val="22"/>
        </w:rPr>
        <w:t>, approuvé en juin 2010, qui vise à améliorer les conditions de vie des communautés rurales — avec un ciblage spécifique sur les femmes sans emploi et les groupes de jeunes — grâce à un meilleur accès aux infrastructures et services de base, à une meilleure gestion des ressources naturelles et à une approche intégrée en matière de développement à base communautaire ; le</w:t>
      </w:r>
      <w:r>
        <w:rPr>
          <w:rFonts w:ascii="Times New Roman" w:hAnsi="Times New Roman"/>
          <w:b/>
          <w:sz w:val="22"/>
        </w:rPr>
        <w:t xml:space="preserve"> quatrième Projet de développement des zones montagneuses et forestières du Nord-Ouest</w:t>
      </w:r>
      <w:r>
        <w:rPr>
          <w:rFonts w:ascii="Times New Roman" w:hAnsi="Times New Roman"/>
          <w:sz w:val="22"/>
        </w:rPr>
        <w:t xml:space="preserve">, entré en vigueur en juin 2011, qui vise également à améliorer les conditions socio-économiques de la population rurale — avec un ciblage sur les groupes vulnérables </w:t>
      </w:r>
      <w:r>
        <w:rPr>
          <w:rFonts w:ascii="Times New Roman" w:hAnsi="Times New Roman"/>
          <w:sz w:val="22"/>
        </w:rPr>
        <w:lastRenderedPageBreak/>
        <w:t xml:space="preserve">comme les femmes, les jeunes et les personnes ne possédant pas de terres — grâce à une meilleure gestion des ressources naturelles et à un développement communautaire participatif ; et le </w:t>
      </w:r>
      <w:r>
        <w:rPr>
          <w:rFonts w:ascii="Times New Roman" w:hAnsi="Times New Roman"/>
          <w:b/>
          <w:sz w:val="22"/>
        </w:rPr>
        <w:t>deuxième Projet d’investissement dans le secteur de l’eau</w:t>
      </w:r>
      <w:r>
        <w:rPr>
          <w:rFonts w:ascii="Times New Roman" w:hAnsi="Times New Roman"/>
          <w:sz w:val="22"/>
        </w:rPr>
        <w:t xml:space="preserve"> qui utilise des approches participatives afin de promouvoir une gestion et une exploitation plus efficaces des programmes publics d'irrigation par les agriculteurs ; et une amélioration de l'accès et de la consommation d'eau potable des ménages ruraux. </w:t>
      </w:r>
    </w:p>
    <w:p w:rsidR="006314C4" w:rsidRPr="00C87C91" w:rsidRDefault="006314C4" w:rsidP="00072C02">
      <w:pPr>
        <w:pStyle w:val="ListParagraph"/>
        <w:autoSpaceDE w:val="0"/>
        <w:autoSpaceDN w:val="0"/>
        <w:adjustRightInd w:val="0"/>
        <w:ind w:left="0"/>
        <w:jc w:val="both"/>
        <w:rPr>
          <w:rFonts w:ascii="Times New Roman" w:hAnsi="Times New Roman"/>
          <w:color w:val="000000"/>
          <w:sz w:val="16"/>
          <w:szCs w:val="16"/>
        </w:rPr>
      </w:pPr>
    </w:p>
    <w:p w:rsidR="00CE1543" w:rsidRPr="00CE1543" w:rsidRDefault="001F3F22" w:rsidP="00CE1543">
      <w:pPr>
        <w:pStyle w:val="ListParagraph"/>
        <w:numPr>
          <w:ilvl w:val="0"/>
          <w:numId w:val="44"/>
        </w:numPr>
        <w:ind w:left="0" w:firstLine="0"/>
        <w:jc w:val="both"/>
        <w:rPr>
          <w:rFonts w:ascii="Times New Roman" w:hAnsi="Times New Roman"/>
          <w:color w:val="000000"/>
          <w:sz w:val="22"/>
          <w:szCs w:val="22"/>
        </w:rPr>
      </w:pPr>
      <w:r>
        <w:rPr>
          <w:rFonts w:ascii="Times New Roman" w:hAnsi="Times New Roman"/>
          <w:b/>
          <w:sz w:val="22"/>
        </w:rPr>
        <w:t>En ce qui concerne les activités à engager pendant la période de la NSI pour ouvrir la voie à une amélioration des services au niveau municipal, la Banque collaborera avec les autorités pour remédier aux faiblesses des capacités de gestion et aux problèmes de ressources financières qui ont réduit la capacité de prestation de services des administrations locales.</w:t>
      </w:r>
      <w:r>
        <w:rPr>
          <w:rFonts w:ascii="Times New Roman" w:hAnsi="Times New Roman"/>
          <w:color w:val="000000"/>
          <w:sz w:val="22"/>
        </w:rPr>
        <w:t xml:space="preserve"> </w:t>
      </w:r>
      <w:r>
        <w:rPr>
          <w:rFonts w:ascii="Times New Roman" w:hAnsi="Times New Roman"/>
          <w:sz w:val="22"/>
        </w:rPr>
        <w:t xml:space="preserve">Le ratio des ressources municipales par rapport aux ressources des administrations centrales a été estimé à 4 % juste avant la révolution, et il était en recul en raison de la stagnation des recettes fiscales, de transferts fiscaux intergouvernementaux privilégiant les plus riches municipalités et de l'accroissement de l'endettement des municipalités (dû à des investissements excessifs dans des plans d'investissements mal choisis). Le Gouvernement </w:t>
      </w:r>
      <w:r>
        <w:rPr>
          <w:rFonts w:ascii="Times New Roman" w:hAnsi="Times New Roman"/>
          <w:color w:val="000000"/>
          <w:sz w:val="22"/>
        </w:rPr>
        <w:t>est en train d'explorer différentes options de réformes en vue de transférer</w:t>
      </w:r>
      <w:r w:rsidR="006D6057">
        <w:rPr>
          <w:rFonts w:ascii="Times New Roman" w:hAnsi="Times New Roman"/>
          <w:color w:val="000000"/>
          <w:sz w:val="22"/>
        </w:rPr>
        <w:t xml:space="preserve"> </w:t>
      </w:r>
      <w:r>
        <w:rPr>
          <w:rFonts w:ascii="Times New Roman" w:hAnsi="Times New Roman"/>
          <w:color w:val="000000"/>
          <w:sz w:val="22"/>
        </w:rPr>
        <w:t>progressivement des responsabilités et des ressources budgétaires des administrations centrales vers les administrations locales. Ces efforts permettront de renforcer les responsabilités des municipalités et des collectivités locales en vue de fournir des services et de remplir leur mandat</w:t>
      </w:r>
      <w:r>
        <w:rPr>
          <w:rFonts w:ascii="Times New Roman" w:hAnsi="Times New Roman"/>
          <w:sz w:val="22"/>
        </w:rPr>
        <w:t xml:space="preserve"> de contribution au développement local et régional.</w:t>
      </w:r>
    </w:p>
    <w:p w:rsidR="00C43BE5" w:rsidRPr="00BB52BD" w:rsidRDefault="00C43BE5">
      <w:pPr>
        <w:pStyle w:val="ListParagraph"/>
        <w:rPr>
          <w:rFonts w:ascii="Times New Roman" w:hAnsi="Times New Roman"/>
          <w:b/>
          <w:color w:val="000000"/>
          <w:sz w:val="16"/>
          <w:szCs w:val="16"/>
        </w:rPr>
      </w:pPr>
    </w:p>
    <w:p w:rsidR="00CE1543" w:rsidRDefault="00AF0ABB" w:rsidP="00CE1543">
      <w:pPr>
        <w:pStyle w:val="ListParagraph"/>
        <w:numPr>
          <w:ilvl w:val="0"/>
          <w:numId w:val="44"/>
        </w:numPr>
        <w:ind w:left="0" w:firstLine="0"/>
        <w:jc w:val="both"/>
        <w:rPr>
          <w:rFonts w:ascii="Times New Roman" w:hAnsi="Times New Roman"/>
          <w:color w:val="000000"/>
          <w:sz w:val="22"/>
          <w:szCs w:val="22"/>
        </w:rPr>
      </w:pPr>
      <w:r>
        <w:rPr>
          <w:rFonts w:ascii="Times New Roman" w:hAnsi="Times New Roman"/>
          <w:b/>
          <w:color w:val="000000"/>
          <w:sz w:val="22"/>
        </w:rPr>
        <w:t>La Banque va lancer à l'appui de ces efforts un double programme de développement urbain et de gouvernance locale, comprenant :</w:t>
      </w:r>
      <w:r>
        <w:rPr>
          <w:rFonts w:ascii="Times New Roman" w:hAnsi="Times New Roman"/>
          <w:color w:val="000000"/>
          <w:sz w:val="22"/>
        </w:rPr>
        <w:t xml:space="preserve"> 1) Un programme intégré de travaux analytiques pour orienter les politiques sectorielles concernant : (a) les finances et les ressources fiscales municipales pour des services urbains et des infrastructures durables ; (b) l'autonomisation des populations locales, la décentralisation et la gouvernance locale ; et c) l'examen des régions accusant du retard et de l'urbanisation et les options pour la croissance durable et le développement inclusif. Ce programme sera mis en œuvre avec l'appui de l'Alliance des villes et du Centre de Marseille pour l'intégration en Méditerranée (CMI) ; et 2) une opération de prêt de la BIRD axée sur le financement d'investissements locaux et la promotion de réformes sectorielles assurant une amélioration de la gouvernance, performance et durabilité du développement urbain/régional. Le projet aidera également à mettre à niveau des services publics de base et à créer des opportunités d'emploi. La Banque examinera la possibilité d'utiliser pour cette opération l'instrument de prêt-programme axé sur les résultats, baptisé « P-for-R » (</w:t>
      </w:r>
      <w:r>
        <w:rPr>
          <w:rFonts w:ascii="Times New Roman" w:hAnsi="Times New Roman"/>
          <w:i/>
          <w:color w:val="000000"/>
          <w:sz w:val="22"/>
        </w:rPr>
        <w:t>Performance-for-Results</w:t>
      </w:r>
      <w:r>
        <w:rPr>
          <w:rFonts w:ascii="Times New Roman" w:hAnsi="Times New Roman"/>
          <w:color w:val="000000"/>
          <w:sz w:val="22"/>
        </w:rPr>
        <w:t xml:space="preserve">). Le développement du tourisme et la promotion et préservation du patrimoine culturel peuvent jouer un rôle important dans le cadre de ces programmes. </w:t>
      </w:r>
    </w:p>
    <w:p w:rsidR="00C43BE5" w:rsidRPr="00BB52BD" w:rsidRDefault="00C43BE5">
      <w:pPr>
        <w:pStyle w:val="ListParagraph"/>
        <w:rPr>
          <w:rFonts w:ascii="Times New Roman" w:hAnsi="Times New Roman"/>
          <w:b/>
          <w:sz w:val="16"/>
          <w:szCs w:val="16"/>
        </w:rPr>
      </w:pPr>
    </w:p>
    <w:p w:rsidR="006E0203" w:rsidRPr="00CE1543" w:rsidRDefault="003E3F83" w:rsidP="00CE1543">
      <w:pPr>
        <w:pStyle w:val="ListParagraph"/>
        <w:numPr>
          <w:ilvl w:val="0"/>
          <w:numId w:val="44"/>
        </w:numPr>
        <w:ind w:left="0" w:firstLine="0"/>
        <w:jc w:val="both"/>
        <w:rPr>
          <w:rFonts w:ascii="Times New Roman" w:hAnsi="Times New Roman"/>
          <w:color w:val="000000"/>
          <w:sz w:val="22"/>
        </w:rPr>
      </w:pPr>
      <w:r>
        <w:rPr>
          <w:rFonts w:ascii="Times New Roman" w:hAnsi="Times New Roman"/>
          <w:b/>
          <w:sz w:val="22"/>
        </w:rPr>
        <w:t xml:space="preserve">La mise en œuvre d'autres opérations en cours financées par la Banque mondiale de prestations de services de base se poursuivra au cours de la période de la NSI. </w:t>
      </w:r>
      <w:r>
        <w:rPr>
          <w:rFonts w:ascii="Times New Roman" w:hAnsi="Times New Roman"/>
          <w:sz w:val="22"/>
        </w:rPr>
        <w:t>Ceci inclut :</w:t>
      </w:r>
      <w:r>
        <w:rPr>
          <w:rFonts w:ascii="Times New Roman" w:hAnsi="Times New Roman"/>
          <w:b/>
          <w:sz w:val="22"/>
        </w:rPr>
        <w:t xml:space="preserve"> </w:t>
      </w:r>
      <w:r>
        <w:rPr>
          <w:rFonts w:ascii="Times New Roman" w:hAnsi="Times New Roman"/>
          <w:sz w:val="22"/>
        </w:rPr>
        <w:t>Le</w:t>
      </w:r>
      <w:r>
        <w:rPr>
          <w:rFonts w:ascii="Times New Roman" w:hAnsi="Times New Roman"/>
          <w:b/>
          <w:sz w:val="22"/>
        </w:rPr>
        <w:t xml:space="preserve"> Projet d'</w:t>
      </w:r>
      <w:r>
        <w:rPr>
          <w:rFonts w:ascii="Times New Roman" w:hAnsi="Times New Roman"/>
          <w:b/>
          <w:color w:val="000000"/>
          <w:sz w:val="22"/>
        </w:rPr>
        <w:t>approvisionnement en eau en milieu urbain</w:t>
      </w:r>
      <w:r>
        <w:rPr>
          <w:rFonts w:ascii="Times New Roman" w:hAnsi="Times New Roman"/>
          <w:color w:val="000000"/>
          <w:sz w:val="22"/>
        </w:rPr>
        <w:t xml:space="preserve"> qui renforce les systèmes d'approvisionnement en eau avec le raccordement de 160 000 ménages au service d'eau d'ici à 2025 et améliore la qualité des services dans le Grand Tunis (soit un cinquième de la population du pays) et dans de petits centres urbains des provinces du nord et du centre ; </w:t>
      </w:r>
      <w:r>
        <w:rPr>
          <w:rFonts w:ascii="Times New Roman" w:hAnsi="Times New Roman"/>
          <w:sz w:val="22"/>
        </w:rPr>
        <w:t xml:space="preserve">le </w:t>
      </w:r>
      <w:r>
        <w:rPr>
          <w:rFonts w:ascii="Times New Roman" w:hAnsi="Times New Roman"/>
          <w:b/>
          <w:sz w:val="22"/>
        </w:rPr>
        <w:t>Projet d'assainissement de Tunis-Ouest</w:t>
      </w:r>
      <w:r>
        <w:rPr>
          <w:rFonts w:ascii="Times New Roman" w:hAnsi="Times New Roman"/>
          <w:sz w:val="22"/>
        </w:rPr>
        <w:t xml:space="preserve"> qui dessert les communautés pauvres du Grand Tunis ; le </w:t>
      </w:r>
      <w:r>
        <w:rPr>
          <w:rFonts w:ascii="Times New Roman" w:hAnsi="Times New Roman"/>
          <w:b/>
          <w:sz w:val="22"/>
        </w:rPr>
        <w:t>Projet de gestion durable des déchets solides municipaux</w:t>
      </w:r>
      <w:r>
        <w:rPr>
          <w:rFonts w:ascii="Times New Roman" w:hAnsi="Times New Roman"/>
          <w:sz w:val="22"/>
        </w:rPr>
        <w:t xml:space="preserve"> qui pilote des partenariats public-privé de planification de la gestion des déchets solides au niveau municipal ; et les deux projets concernant les </w:t>
      </w:r>
      <w:r>
        <w:rPr>
          <w:rFonts w:ascii="Times New Roman" w:hAnsi="Times New Roman"/>
          <w:b/>
          <w:sz w:val="22"/>
        </w:rPr>
        <w:t>eaux usées de Tunis Ouest</w:t>
      </w:r>
      <w:r>
        <w:rPr>
          <w:rFonts w:ascii="Times New Roman" w:hAnsi="Times New Roman"/>
          <w:sz w:val="22"/>
        </w:rPr>
        <w:t xml:space="preserve"> et de </w:t>
      </w:r>
      <w:r>
        <w:rPr>
          <w:rFonts w:ascii="Times New Roman" w:hAnsi="Times New Roman"/>
          <w:b/>
          <w:sz w:val="22"/>
        </w:rPr>
        <w:t>Tunis Nord</w:t>
      </w:r>
      <w:r>
        <w:rPr>
          <w:rFonts w:ascii="Times New Roman" w:hAnsi="Times New Roman"/>
          <w:sz w:val="22"/>
        </w:rPr>
        <w:t xml:space="preserve"> qui permettront de réutiliser jusqu'à 44 % des eaux usées traitées produites par le Grand Tunis.</w:t>
      </w:r>
      <w:r>
        <w:rPr>
          <w:rFonts w:ascii="Times New Roman" w:hAnsi="Times New Roman"/>
          <w:color w:val="000000"/>
          <w:sz w:val="22"/>
        </w:rPr>
        <w:t xml:space="preserve"> Un nouveau Projet de gestion des déchets des activités sanitaires du FEM appuie l'élimination durable des déchets produits par les établissements de santé</w:t>
      </w:r>
      <w:r>
        <w:rPr>
          <w:rStyle w:val="FootnoteReference"/>
          <w:rFonts w:ascii="Times New Roman" w:hAnsi="Times New Roman"/>
          <w:sz w:val="22"/>
        </w:rPr>
        <w:footnoteReference w:id="18"/>
      </w:r>
      <w:r>
        <w:rPr>
          <w:rFonts w:ascii="Times New Roman" w:hAnsi="Times New Roman"/>
          <w:color w:val="000000"/>
          <w:sz w:val="22"/>
        </w:rPr>
        <w:t>.</w:t>
      </w:r>
      <w:r w:rsidR="006D6057">
        <w:rPr>
          <w:rFonts w:ascii="Times New Roman" w:hAnsi="Times New Roman"/>
          <w:color w:val="000000"/>
          <w:sz w:val="22"/>
        </w:rPr>
        <w:t xml:space="preserve"> </w:t>
      </w:r>
      <w:r>
        <w:rPr>
          <w:rFonts w:ascii="Times New Roman" w:hAnsi="Times New Roman"/>
          <w:sz w:val="22"/>
        </w:rPr>
        <w:t>La SFI continuera à promouvoir la mise en place par le secteur privé d'infrastructures et de services sociaux, en particulier dans les secteurs de la santé et de l'éducation, à l'aide de services de conseil et d'investissement. La SFI proposera ses conseils au Gouvernement sur les transactions de type PPP dans les infrastructures.</w:t>
      </w:r>
    </w:p>
    <w:p w:rsidR="00C43BE5" w:rsidRPr="00BB52BD" w:rsidRDefault="00C43BE5">
      <w:pPr>
        <w:pStyle w:val="ListParagraph"/>
        <w:ind w:left="0"/>
        <w:jc w:val="both"/>
        <w:rPr>
          <w:rFonts w:ascii="Times New Roman" w:hAnsi="Times New Roman"/>
          <w:sz w:val="16"/>
          <w:szCs w:val="16"/>
        </w:rPr>
      </w:pPr>
    </w:p>
    <w:p w:rsidR="00BF255D" w:rsidRDefault="00034377" w:rsidP="00034377">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sz w:val="22"/>
        </w:rPr>
        <w:lastRenderedPageBreak/>
        <w:t>En outre, la Banque peut être appelée à fournir un appui à des programmes de développement durable à moyen terme à l'appui des revenus en milieu rural, de la fourniture de services d'énergie et de la conservation de l'environnement</w:t>
      </w:r>
      <w:r>
        <w:rPr>
          <w:rStyle w:val="FootnoteReference"/>
          <w:rFonts w:ascii="Times New Roman" w:hAnsi="Times New Roman"/>
          <w:b/>
          <w:sz w:val="22"/>
        </w:rPr>
        <w:footnoteReference w:id="19"/>
      </w:r>
      <w:r>
        <w:rPr>
          <w:rFonts w:ascii="Times New Roman" w:hAnsi="Times New Roman"/>
          <w:b/>
          <w:sz w:val="22"/>
        </w:rPr>
        <w:t>.</w:t>
      </w:r>
      <w:r>
        <w:rPr>
          <w:rFonts w:ascii="Times New Roman" w:hAnsi="Times New Roman"/>
          <w:sz w:val="22"/>
        </w:rPr>
        <w:t xml:space="preserve"> </w:t>
      </w:r>
      <w:r>
        <w:rPr>
          <w:rFonts w:ascii="Times New Roman" w:hAnsi="Times New Roman"/>
          <w:color w:val="000000"/>
          <w:sz w:val="22"/>
        </w:rPr>
        <w:t>Bien que la Tunisie ait été à l'avant-garde des politiques de sauvegarde de l'environnement, des signes de stress sur l'environnement dus au tourisme, à l'industrie manufacturière et à l'agriculture sont de plus en plus visibles, y compris une diminution des ressources en eau, une dégradation des zones côtières et une dépendance croissante à l'égard des énergies fossiles.</w:t>
      </w:r>
      <w:r>
        <w:rPr>
          <w:rFonts w:ascii="Times New Roman" w:hAnsi="Times New Roman"/>
          <w:sz w:val="22"/>
        </w:rPr>
        <w:t xml:space="preserve"> La SFI va également poursuivre la recherche d'opportunités d'apport de financements, de services de conseil avec un rôle de catalyseur des appuis aux projets d'énergie renouvelable ou comportant des volets consacrés à l'efficacité énergétique.</w:t>
      </w:r>
    </w:p>
    <w:p w:rsidR="00C43BE5" w:rsidRDefault="00C43BE5">
      <w:pPr>
        <w:rPr>
          <w:rFonts w:ascii="Times New Roman" w:hAnsi="Times New Roman"/>
          <w:b/>
          <w:i/>
          <w:sz w:val="16"/>
        </w:rPr>
      </w:pPr>
    </w:p>
    <w:p w:rsidR="00381348" w:rsidRPr="0018036A" w:rsidRDefault="00DA1DAE" w:rsidP="00072C02">
      <w:pPr>
        <w:pStyle w:val="ListParagraph"/>
        <w:tabs>
          <w:tab w:val="left" w:pos="720"/>
          <w:tab w:val="left" w:pos="810"/>
        </w:tabs>
        <w:autoSpaceDE w:val="0"/>
        <w:autoSpaceDN w:val="0"/>
        <w:adjustRightInd w:val="0"/>
        <w:ind w:left="0"/>
        <w:jc w:val="both"/>
        <w:rPr>
          <w:rFonts w:ascii="Times New Roman" w:hAnsi="Times New Roman"/>
          <w:b/>
          <w:sz w:val="22"/>
          <w:szCs w:val="22"/>
        </w:rPr>
      </w:pPr>
      <w:r>
        <w:rPr>
          <w:rFonts w:ascii="Times New Roman" w:hAnsi="Times New Roman"/>
          <w:b/>
          <w:i/>
          <w:sz w:val="22"/>
        </w:rPr>
        <w:t>(ii) 0bjectif d'action 6 : Amélioration de l'efficacité des programmes de filets de protection sociale</w:t>
      </w:r>
    </w:p>
    <w:p w:rsidR="00F55F63" w:rsidRPr="00C87C91" w:rsidRDefault="00F55F63" w:rsidP="00072C02">
      <w:pPr>
        <w:pStyle w:val="ListParagraph"/>
        <w:ind w:left="0"/>
        <w:rPr>
          <w:rFonts w:ascii="Times New Roman" w:hAnsi="Times New Roman"/>
          <w:sz w:val="16"/>
          <w:szCs w:val="16"/>
        </w:rPr>
      </w:pPr>
    </w:p>
    <w:p w:rsidR="001F2D1D" w:rsidRPr="001F2D1D" w:rsidRDefault="001F2D1D" w:rsidP="00BE735C">
      <w:pPr>
        <w:pStyle w:val="ListParagraph"/>
        <w:numPr>
          <w:ilvl w:val="0"/>
          <w:numId w:val="44"/>
        </w:numPr>
        <w:ind w:left="0" w:firstLine="0"/>
        <w:jc w:val="both"/>
        <w:rPr>
          <w:rFonts w:ascii="Times New Roman" w:hAnsi="Times New Roman"/>
          <w:color w:val="000000"/>
          <w:sz w:val="22"/>
          <w:szCs w:val="22"/>
        </w:rPr>
      </w:pPr>
      <w:r>
        <w:rPr>
          <w:rFonts w:ascii="Times New Roman" w:hAnsi="Times New Roman"/>
          <w:b/>
          <w:color w:val="000000"/>
          <w:sz w:val="22"/>
        </w:rPr>
        <w:t xml:space="preserve">La Banque fournit actuellement une assistance technique à l'Institut national des statistiques (INS) pour qu'il examine la méthodologie utilisée dans la préparation des estimations de la pauvreté au cours des 15 dernières années. </w:t>
      </w:r>
      <w:r>
        <w:rPr>
          <w:rFonts w:ascii="Times New Roman" w:hAnsi="Times New Roman"/>
          <w:color w:val="000000"/>
          <w:sz w:val="22"/>
        </w:rPr>
        <w:t>Les estimations de la pauvreté et de l'inégalité sont donc en cours de révision, dans le contexte d'un processus participatif associant les institutions locales, la société civile et les milieux universitaires.</w:t>
      </w:r>
      <w:r w:rsidR="006D6057">
        <w:rPr>
          <w:rFonts w:ascii="Times New Roman" w:hAnsi="Times New Roman"/>
          <w:color w:val="000000"/>
          <w:sz w:val="22"/>
        </w:rPr>
        <w:t xml:space="preserve"> </w:t>
      </w:r>
      <w:r>
        <w:rPr>
          <w:rFonts w:ascii="Times New Roman" w:hAnsi="Times New Roman"/>
          <w:color w:val="000000"/>
          <w:sz w:val="22"/>
        </w:rPr>
        <w:t>Le processus participatif cherche à créer un consensus sur la méthodologie de mesure de la pauvreté utilisée et à renforcer la transparence du processus pour aider à restaurer la crédibilité des estimations de la pauvreté. L'évaluation portera une attention particulière aux régions accusant du retard et aux zones périurbaines ainsi qu'aux indicateurs désagrégés sexospécifiques. Ces indicateurs serviront à mesurer l'incidence de la pauvreté des ménages dirigés par des femmes par rapport à celle des ménages dirigés par des hommes. L'évaluation portera aussi sur la relation entre les résultats en termes de pauvreté, d'alphabétisation, d'éducation et d'emploi pour les femmes. Dans le cadre de cette activité, l'AT va contribuer à l'orientation des politiques visant à renforcer les programmes de pauvreté et contribuera également aux objectifs du Domaine 3 de renforcement de l'accès à l'information, de la</w:t>
      </w:r>
      <w:r w:rsidR="006D6057">
        <w:rPr>
          <w:rFonts w:ascii="Times New Roman" w:hAnsi="Times New Roman"/>
          <w:color w:val="000000"/>
          <w:sz w:val="22"/>
        </w:rPr>
        <w:t xml:space="preserve"> </w:t>
      </w:r>
      <w:r>
        <w:rPr>
          <w:rFonts w:ascii="Times New Roman" w:hAnsi="Times New Roman"/>
          <w:color w:val="000000"/>
          <w:sz w:val="22"/>
        </w:rPr>
        <w:t>responsabilité et la transparence.</w:t>
      </w:r>
    </w:p>
    <w:p w:rsidR="00F55F63" w:rsidRPr="00C87C91" w:rsidRDefault="00F55F63" w:rsidP="00072C02">
      <w:pPr>
        <w:pStyle w:val="ListParagraph"/>
        <w:tabs>
          <w:tab w:val="left" w:pos="720"/>
          <w:tab w:val="left" w:pos="810"/>
        </w:tabs>
        <w:autoSpaceDE w:val="0"/>
        <w:autoSpaceDN w:val="0"/>
        <w:adjustRightInd w:val="0"/>
        <w:ind w:left="0"/>
        <w:jc w:val="both"/>
        <w:rPr>
          <w:rFonts w:ascii="Times New Roman" w:hAnsi="Times New Roman"/>
          <w:sz w:val="16"/>
          <w:szCs w:val="16"/>
        </w:rPr>
      </w:pPr>
    </w:p>
    <w:p w:rsidR="00F55F63" w:rsidRPr="0024726B" w:rsidRDefault="00A3506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fournira une assistance technique pour l'élaboration de réformes visant à améliorer le ciblage des filets de protection sociale, avec une mise à jour des critères d'éligibilité des bénéficiaires pour les rendre plus transparents et le développement d'une base de données unifiée synthétisant les informations sur les bénéficiaires</w:t>
      </w:r>
      <w:r>
        <w:rPr>
          <w:rFonts w:ascii="Times New Roman" w:hAnsi="Times New Roman"/>
          <w:sz w:val="22"/>
        </w:rPr>
        <w:t xml:space="preserve"> .</w:t>
      </w:r>
      <w:r w:rsidR="006D6057">
        <w:rPr>
          <w:rFonts w:ascii="Times New Roman" w:hAnsi="Times New Roman"/>
          <w:sz w:val="22"/>
        </w:rPr>
        <w:t xml:space="preserve"> </w:t>
      </w:r>
      <w:r>
        <w:rPr>
          <w:rFonts w:ascii="Times New Roman" w:hAnsi="Times New Roman"/>
          <w:sz w:val="22"/>
        </w:rPr>
        <w:t>Il semblerait que l'efficacité et l'équité du financement des filets de protection sociale aient besoin d'être renforcées, alors que le besoin d'aide sociale augmentera probablement à court terme.</w:t>
      </w:r>
      <w:r w:rsidR="006D6057">
        <w:rPr>
          <w:rFonts w:ascii="Times New Roman" w:hAnsi="Times New Roman"/>
          <w:sz w:val="22"/>
        </w:rPr>
        <w:t xml:space="preserve"> </w:t>
      </w:r>
      <w:r>
        <w:rPr>
          <w:rFonts w:ascii="Times New Roman" w:hAnsi="Times New Roman"/>
          <w:sz w:val="22"/>
        </w:rPr>
        <w:t xml:space="preserve">Près de 4 % du PIB ont été consacrés en 2011 au financement des subventions généralisées aux produits alimentaires et pétroliers et 0,4 % aux transferts monétaires inconditionnels. Sept pour cent de la population reçoivent des transferts inconditionnels monétaires et le Gouvernement envisage de passer à 10 % de la population en 2012. Les critères d'éligibilité ne sont pas transparents et ne font pas l'objet d'une évaluation systématique (le public se montre très préoccupé de la corruption en matière d'allocation des transferts monétaires et de duplication des cartes de soins), et il n'y a pas de stratégie d'évaluation des bénéficiaires. La Banque étudiera avec l'Assemblée constituante des options pour l'établissement de mécanismes de ciblage et le développement d'un cadre de suivi pour ces services. En outre, la Banque appuiera </w:t>
      </w:r>
      <w:r>
        <w:rPr>
          <w:rFonts w:ascii="Times New Roman" w:hAnsi="Times New Roman"/>
          <w:sz w:val="22"/>
        </w:rPr>
        <w:lastRenderedPageBreak/>
        <w:t>un projet de renforcement des capacités</w:t>
      </w:r>
      <w:r>
        <w:rPr>
          <w:rFonts w:ascii="Times New Roman" w:hAnsi="Times New Roman"/>
          <w:color w:val="000000"/>
          <w:sz w:val="22"/>
        </w:rPr>
        <w:t xml:space="preserve"> au niveau communautaire pour la fourniture de services de santé maternelle à Jendouba et Kasserine (don JSDF, USD 1 million, approuvé en 2011). </w:t>
      </w:r>
    </w:p>
    <w:p w:rsidR="00D44DE1" w:rsidRPr="00BB52BD" w:rsidRDefault="00D44DE1">
      <w:pPr>
        <w:pStyle w:val="ListParagraph"/>
        <w:tabs>
          <w:tab w:val="left" w:pos="720"/>
          <w:tab w:val="left" w:pos="810"/>
        </w:tabs>
        <w:autoSpaceDE w:val="0"/>
        <w:autoSpaceDN w:val="0"/>
        <w:adjustRightInd w:val="0"/>
        <w:ind w:left="0"/>
        <w:jc w:val="both"/>
        <w:rPr>
          <w:rFonts w:ascii="Times New Roman" w:hAnsi="Times New Roman"/>
          <w:sz w:val="16"/>
          <w:szCs w:val="16"/>
        </w:rPr>
      </w:pPr>
    </w:p>
    <w:p w:rsidR="009560E1" w:rsidRPr="002467EF" w:rsidRDefault="00774A55" w:rsidP="00BE735C">
      <w:pPr>
        <w:pStyle w:val="ListParagraph"/>
        <w:numPr>
          <w:ilvl w:val="0"/>
          <w:numId w:val="44"/>
        </w:numPr>
        <w:ind w:left="0" w:firstLine="0"/>
        <w:jc w:val="both"/>
        <w:rPr>
          <w:rFonts w:ascii="Times New Roman" w:hAnsi="Times New Roman"/>
          <w:smallCaps/>
          <w:sz w:val="22"/>
          <w:szCs w:val="22"/>
        </w:rPr>
      </w:pPr>
      <w:r>
        <w:rPr>
          <w:rFonts w:ascii="Times New Roman" w:hAnsi="Times New Roman"/>
          <w:b/>
          <w:color w:val="000000"/>
          <w:sz w:val="22"/>
        </w:rPr>
        <w:t>La Banque appuiera des services de santé et d'éducation à l'échelon local par le biais de son appui à la décentralisation et au développement local, en proposant des mesures incitatives axées sur les résultats et en renforçant la responsabilisation</w:t>
      </w:r>
      <w:r>
        <w:rPr>
          <w:rFonts w:ascii="Times New Roman" w:hAnsi="Times New Roman"/>
          <w:b/>
          <w:sz w:val="22"/>
        </w:rPr>
        <w:t>.</w:t>
      </w:r>
      <w:r w:rsidR="006D6057">
        <w:rPr>
          <w:rFonts w:ascii="Times New Roman" w:hAnsi="Times New Roman"/>
          <w:b/>
          <w:sz w:val="22"/>
        </w:rPr>
        <w:t xml:space="preserve"> </w:t>
      </w:r>
      <w:r>
        <w:rPr>
          <w:rFonts w:ascii="Times New Roman" w:hAnsi="Times New Roman"/>
          <w:sz w:val="22"/>
        </w:rPr>
        <w:t>Le PPD GO 2011 a appuyé la mise en place d'un cadre national de sensibilisation au renforcement des services sociaux dans les régions accusant du retard.</w:t>
      </w:r>
      <w:r w:rsidR="006D6057">
        <w:rPr>
          <w:rFonts w:ascii="Times New Roman" w:hAnsi="Times New Roman"/>
          <w:sz w:val="22"/>
        </w:rPr>
        <w:t xml:space="preserve"> </w:t>
      </w:r>
      <w:r>
        <w:rPr>
          <w:rFonts w:ascii="Times New Roman" w:hAnsi="Times New Roman"/>
          <w:sz w:val="22"/>
        </w:rPr>
        <w:t>Dans le cadre de cette initiative, l'assistance technique auprès du secteur de la santé vise à renforcer le suivi des résultats et à aider à la mise en place de normes d'accréditation pour les hôpitaux. Le dialogue de la Banque dans le secteur de la santé a porté principalement sur l'appui aux services dans les régions accusant du retard et la couverture de l'assurance-maladie. Avec un financement du JSDF, la Banque appuie également des services de santé maternelle à base communautaire</w:t>
      </w:r>
      <w:r>
        <w:rPr>
          <w:rFonts w:ascii="Times New Roman" w:hAnsi="Times New Roman"/>
          <w:color w:val="000000"/>
          <w:sz w:val="22"/>
        </w:rPr>
        <w:t>.</w:t>
      </w:r>
      <w:r w:rsidR="006D6057">
        <w:rPr>
          <w:rFonts w:ascii="Times New Roman" w:hAnsi="Times New Roman"/>
          <w:color w:val="000000"/>
          <w:sz w:val="22"/>
        </w:rPr>
        <w:t xml:space="preserve"> </w:t>
      </w:r>
      <w:r>
        <w:rPr>
          <w:rFonts w:ascii="Times New Roman" w:hAnsi="Times New Roman"/>
          <w:color w:val="000000"/>
          <w:sz w:val="22"/>
        </w:rPr>
        <w:t>Le dialogue de la Banque dans le secteur de l'éducation met l'accent sur la modernisation et le renforcement de l'éducation de base dans les régions accusant du retard, en s'appuyant sur le Programme d'amélioration de la qualité de l'éducation (2004-2010) financé par la Banque</w:t>
      </w:r>
      <w:r>
        <w:rPr>
          <w:rFonts w:ascii="Times New Roman" w:hAnsi="Times New Roman"/>
          <w:sz w:val="22"/>
        </w:rPr>
        <w:t>.</w:t>
      </w:r>
    </w:p>
    <w:p w:rsidR="009560E1" w:rsidRDefault="009560E1">
      <w:pPr>
        <w:pStyle w:val="ListParagraph"/>
        <w:tabs>
          <w:tab w:val="left" w:pos="720"/>
          <w:tab w:val="left" w:pos="810"/>
        </w:tabs>
        <w:autoSpaceDE w:val="0"/>
        <w:autoSpaceDN w:val="0"/>
        <w:adjustRightInd w:val="0"/>
        <w:ind w:left="0"/>
        <w:jc w:val="both"/>
        <w:rPr>
          <w:smallCaps/>
          <w:sz w:val="16"/>
          <w:szCs w:val="16"/>
        </w:rPr>
      </w:pPr>
    </w:p>
    <w:p w:rsidR="00BB52BD" w:rsidRDefault="00BB52BD">
      <w:pPr>
        <w:rPr>
          <w:rFonts w:ascii="Times New Roman" w:eastAsiaTheme="majorEastAsia" w:hAnsi="Times New Roman"/>
          <w:b/>
          <w:bCs/>
          <w:smallCaps/>
          <w:sz w:val="22"/>
          <w:szCs w:val="22"/>
        </w:rPr>
      </w:pPr>
      <w:bookmarkStart w:id="44" w:name="_Toc323821468"/>
      <w:r>
        <w:br w:type="page"/>
      </w:r>
    </w:p>
    <w:p w:rsidR="00F55F63" w:rsidRPr="0018036A" w:rsidRDefault="00FC64CF" w:rsidP="00DF286E">
      <w:pPr>
        <w:pStyle w:val="Heading3"/>
        <w:spacing w:before="120"/>
        <w:jc w:val="center"/>
        <w:rPr>
          <w:rFonts w:ascii="Times New Roman" w:hAnsi="Times New Roman"/>
          <w:sz w:val="22"/>
          <w:szCs w:val="22"/>
        </w:rPr>
      </w:pPr>
      <w:bookmarkStart w:id="45" w:name="_Toc327979101"/>
      <w:r>
        <w:rPr>
          <w:rFonts w:ascii="Times New Roman" w:hAnsi="Times New Roman"/>
          <w:smallCaps/>
          <w:sz w:val="22"/>
        </w:rPr>
        <w:lastRenderedPageBreak/>
        <w:t>Domaine 3 : Renforcement de la gouvernance : Participation citoyenne, transparence et responsabilité</w:t>
      </w:r>
      <w:bookmarkEnd w:id="44"/>
      <w:bookmarkEnd w:id="45"/>
    </w:p>
    <w:p w:rsidR="00F55F63" w:rsidRPr="0018036A" w:rsidRDefault="00DA1DAE" w:rsidP="009C40F7">
      <w:pPr>
        <w:pStyle w:val="ListParagraph"/>
        <w:ind w:left="0"/>
        <w:jc w:val="both"/>
        <w:rPr>
          <w:rFonts w:ascii="Times New Roman" w:hAnsi="Times New Roman"/>
          <w:i/>
          <w:iCs/>
          <w:sz w:val="22"/>
          <w:szCs w:val="22"/>
        </w:rPr>
      </w:pPr>
      <w:r>
        <w:rPr>
          <w:rFonts w:ascii="Times New Roman" w:hAnsi="Times New Roman"/>
          <w:i/>
          <w:sz w:val="22"/>
        </w:rPr>
        <w:t xml:space="preserve">Objectifs d'action : (i) Amélioration de l'accès à l'information et de la responsabilité sociale ; et (ii) accroissement de la transparence et de la redevabilité des institutions. </w:t>
      </w:r>
    </w:p>
    <w:p w:rsidR="00F55F63" w:rsidRPr="00C87C91" w:rsidRDefault="00F55F63" w:rsidP="00072C02">
      <w:pPr>
        <w:pStyle w:val="ListParagraph"/>
        <w:ind w:left="0"/>
        <w:jc w:val="both"/>
        <w:rPr>
          <w:rFonts w:ascii="Times New Roman" w:hAnsi="Times New Roman"/>
          <w:i/>
          <w:iCs/>
          <w:sz w:val="16"/>
          <w:szCs w:val="16"/>
        </w:rPr>
      </w:pPr>
    </w:p>
    <w:p w:rsidR="00E73F22" w:rsidRPr="0018036A" w:rsidRDefault="00DA1DAE" w:rsidP="00401EDE">
      <w:pPr>
        <w:pStyle w:val="ListParagraph"/>
        <w:tabs>
          <w:tab w:val="left" w:pos="120"/>
        </w:tabs>
        <w:autoSpaceDE w:val="0"/>
        <w:autoSpaceDN w:val="0"/>
        <w:adjustRightInd w:val="0"/>
        <w:ind w:left="0"/>
        <w:jc w:val="both"/>
        <w:rPr>
          <w:rFonts w:ascii="Times New Roman" w:hAnsi="Times New Roman"/>
          <w:b/>
          <w:i/>
          <w:iCs/>
          <w:sz w:val="22"/>
          <w:szCs w:val="22"/>
        </w:rPr>
      </w:pPr>
      <w:r>
        <w:rPr>
          <w:rFonts w:ascii="Times New Roman" w:hAnsi="Times New Roman"/>
          <w:b/>
          <w:i/>
          <w:sz w:val="22"/>
        </w:rPr>
        <w:t>(i) 0bjectif d'action 7 : Amélioration de l'accès à l'information et de la responsabilité sociale</w:t>
      </w:r>
    </w:p>
    <w:p w:rsidR="00674A8F" w:rsidRPr="00C87C91" w:rsidRDefault="00674A8F" w:rsidP="00072C02">
      <w:pPr>
        <w:jc w:val="both"/>
        <w:rPr>
          <w:rFonts w:ascii="Times New Roman" w:hAnsi="Times New Roman"/>
          <w:b/>
          <w:sz w:val="16"/>
          <w:szCs w:val="16"/>
        </w:rPr>
      </w:pPr>
    </w:p>
    <w:p w:rsidR="00FF1CCB" w:rsidRPr="0018036A" w:rsidRDefault="006F03F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continuera de fournir une assistance technique appuyant les réformes initiées en 2011 en vue de renforcer la participation citoyenne, la transparence et la responsabilité</w:t>
      </w:r>
      <w:r>
        <w:rPr>
          <w:rFonts w:ascii="Times New Roman" w:hAnsi="Times New Roman"/>
          <w:sz w:val="22"/>
        </w:rPr>
        <w:t xml:space="preserve"> .</w:t>
      </w:r>
      <w:r w:rsidR="006D6057">
        <w:rPr>
          <w:rFonts w:ascii="Times New Roman" w:hAnsi="Times New Roman"/>
          <w:sz w:val="22"/>
        </w:rPr>
        <w:t xml:space="preserve"> </w:t>
      </w:r>
      <w:r>
        <w:rPr>
          <w:rFonts w:ascii="Times New Roman" w:hAnsi="Times New Roman"/>
          <w:sz w:val="22"/>
        </w:rPr>
        <w:t xml:space="preserve">La Banque continue d'appuyer la pleine mise en œuvre des décrets adoptés en 2011 pour établir un environnement d'information plus ouvert grâce à un accès accru à l'information du public, libéraliser l'accès à Internet et mettre en place des mécanismes de responsabilisation des services sociaux. Après la révolution, l'accès aux contenus d'Internet a été libéralisé et les contrôles ont été éliminés. La Banque continuera d'appuyer le Gouvernement dans la poursuite de la libéralisation des activités d'hébergement Internet (création et hébergement de sites web locaux), la mise en place d'outils en ligne d'e-Participation sur les sites du gouvernement, et l'instauration de canaux de communication permettant aux citoyens de faire part de leurs opinions sur la qualité des services publics et les performances du gouvernement. La Banque aidera aussi la Tunisie dans ses réformes de gouvernance qui la rendront éligible à une admission au Partenariat pour un gouvernement transparent, dans les domaines de la transparence fiscale et budgétaire, l'accès à l'information et la déclaration du patrimoine. </w:t>
      </w:r>
    </w:p>
    <w:p w:rsidR="00FF1CCB" w:rsidRPr="00C87C91" w:rsidRDefault="00FF1CCB" w:rsidP="00072C02">
      <w:pPr>
        <w:tabs>
          <w:tab w:val="left" w:pos="810"/>
        </w:tabs>
        <w:autoSpaceDE w:val="0"/>
        <w:autoSpaceDN w:val="0"/>
        <w:adjustRightInd w:val="0"/>
        <w:jc w:val="both"/>
        <w:rPr>
          <w:rFonts w:ascii="Times New Roman" w:hAnsi="Times New Roman"/>
          <w:sz w:val="16"/>
          <w:szCs w:val="16"/>
        </w:rPr>
      </w:pPr>
    </w:p>
    <w:p w:rsidR="00285563" w:rsidRPr="0018036A" w:rsidRDefault="00FC64C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Pour compléter ces activités, une AT Information, communication et télécommunication (ICT) est en cours de préparation pour s'assurer </w:t>
      </w:r>
      <w:r>
        <w:rPr>
          <w:rFonts w:ascii="Times New Roman" w:hAnsi="Times New Roman"/>
          <w:b/>
          <w:color w:val="000000"/>
          <w:sz w:val="22"/>
        </w:rPr>
        <w:t>que l'accès à l'Internet est ouvert à tous sans restriction.</w:t>
      </w:r>
      <w:r w:rsidR="006D6057">
        <w:rPr>
          <w:rFonts w:ascii="Times New Roman" w:hAnsi="Times New Roman"/>
          <w:b/>
          <w:color w:val="000000"/>
          <w:sz w:val="22"/>
        </w:rPr>
        <w:t xml:space="preserve"> </w:t>
      </w:r>
      <w:r>
        <w:rPr>
          <w:rFonts w:ascii="Times New Roman" w:hAnsi="Times New Roman"/>
          <w:color w:val="000000"/>
          <w:sz w:val="22"/>
        </w:rPr>
        <w:t xml:space="preserve">L'AT ICT se concentre sur un engagement civique à renforcer et à développer des solutions en matière de prestations des services municipaux car ceux-ci représentent l'échelon administratif le plus accessible aux citoyens. Ce programme aidera à renforcer la capacité des municipalités de contrôle des prestations des services de base et introduira des mécanismes de rétroaction pour renforcer la responsabilisation. Un Don à l'appui de l'innovation permettra de piloter la mise en place de plates-formes municipales d'engagement et de participation des citoyens. </w:t>
      </w:r>
      <w:r>
        <w:rPr>
          <w:rFonts w:ascii="Times New Roman" w:hAnsi="Times New Roman"/>
          <w:sz w:val="22"/>
        </w:rPr>
        <w:t>La Banque prévoit d'appuyer d'autres réformes dans le secteur des TIC dans le cadre des PPD multisectoriels prévus au cours des Ex.13 et Ex.14 avec une assistance technique en parallèle.</w:t>
      </w:r>
    </w:p>
    <w:p w:rsidR="00E73F22" w:rsidRPr="00FB4FA6" w:rsidRDefault="00E73F22" w:rsidP="00FB4FA6">
      <w:pPr>
        <w:tabs>
          <w:tab w:val="left" w:pos="720"/>
        </w:tabs>
        <w:rPr>
          <w:rFonts w:ascii="Times New Roman" w:hAnsi="Times New Roman"/>
          <w:sz w:val="22"/>
          <w:szCs w:val="22"/>
        </w:rPr>
      </w:pPr>
    </w:p>
    <w:p w:rsidR="006B3B35" w:rsidRPr="0018036A" w:rsidRDefault="006B3B35"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Dans le cadre de l'AT Gouvernance dans les secteurs sociaux, la Banque appuie également des efforts visant à renforcer la responsabilité sociale en Tunisie, en étroite coordination avec les initiatives ci-dessus</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Dans le cadre de cette activité, la Banque continuera d'appuyer la mise en œuvre des fiches d'évaluation communautaires destinées à l'évaluation des services publics de santé, d'éducation et d'emploi, comme exemple d'outil d'amélioration de la responsabilité sociale. Une assistance technique supplémentaire pourrait être fournie pour institutionnaliser les fiches d'évaluation ; instituer des évaluations à l'école et des conseils scolaires pour renforcer la responsabilité sociale dans le domaine de l'éducation ; améliorer l'accréditation des établissements de santé, l'octroi des certificats d'aptitude des agents de santé, créer des incitations à la décentralisation des agents de santé vers les régions mal desservies, et d'autres mesures visant à renforcer la responsabilité sociale et la qualité du</w:t>
      </w:r>
      <w:r w:rsidR="006D6057">
        <w:rPr>
          <w:rFonts w:ascii="Times New Roman" w:hAnsi="Times New Roman"/>
          <w:sz w:val="22"/>
        </w:rPr>
        <w:t xml:space="preserve"> </w:t>
      </w:r>
      <w:r>
        <w:rPr>
          <w:rFonts w:ascii="Times New Roman" w:hAnsi="Times New Roman"/>
          <w:sz w:val="22"/>
        </w:rPr>
        <w:t xml:space="preserve">secteur de la santé. </w:t>
      </w:r>
    </w:p>
    <w:p w:rsidR="006B3B35" w:rsidRPr="00C87C91" w:rsidRDefault="006B3B35" w:rsidP="00072C02">
      <w:pPr>
        <w:pStyle w:val="ListParagraph"/>
        <w:ind w:left="0"/>
        <w:rPr>
          <w:rFonts w:ascii="Times New Roman" w:hAnsi="Times New Roman"/>
          <w:sz w:val="16"/>
          <w:szCs w:val="16"/>
        </w:rPr>
      </w:pPr>
    </w:p>
    <w:p w:rsidR="00D86DCE" w:rsidRPr="006B67F0" w:rsidRDefault="00FC64CF" w:rsidP="006D0F7D">
      <w:pPr>
        <w:pStyle w:val="ListParagraph"/>
        <w:numPr>
          <w:ilvl w:val="0"/>
          <w:numId w:val="44"/>
        </w:numPr>
        <w:ind w:left="0" w:firstLine="0"/>
        <w:jc w:val="both"/>
        <w:rPr>
          <w:rFonts w:ascii="Times New Roman" w:hAnsi="Times New Roman"/>
          <w:sz w:val="22"/>
          <w:szCs w:val="22"/>
        </w:rPr>
      </w:pPr>
      <w:r>
        <w:rPr>
          <w:rFonts w:ascii="Times New Roman" w:hAnsi="Times New Roman"/>
          <w:b/>
          <w:color w:val="000000"/>
          <w:sz w:val="22"/>
        </w:rPr>
        <w:t>La Banque travaille avec le Réseau pour la responsabilité sociale dans le monde arabe (ANSA) pour aider à établir une plate-forme régionale d'engagement constructif entre les organisations de la société civile (OSC), les administrations publiques, les médias et le secteur privé en Tunisie</w:t>
      </w:r>
      <w:r>
        <w:rPr>
          <w:rFonts w:ascii="Times New Roman" w:hAnsi="Times New Roman"/>
          <w:color w:val="000000"/>
          <w:sz w:val="22"/>
        </w:rPr>
        <w:t>.</w:t>
      </w:r>
      <w:r w:rsidR="006D6057">
        <w:rPr>
          <w:rFonts w:ascii="Times New Roman" w:hAnsi="Times New Roman"/>
          <w:color w:val="000000"/>
          <w:sz w:val="22"/>
        </w:rPr>
        <w:t xml:space="preserve"> </w:t>
      </w:r>
      <w:r>
        <w:rPr>
          <w:rFonts w:ascii="Times New Roman" w:hAnsi="Times New Roman"/>
          <w:color w:val="000000"/>
          <w:sz w:val="22"/>
        </w:rPr>
        <w:t>L'objectif de ce partenariat est de : (a) de sensibiliser davantage aux concepts et valeurs de gouvernance participative et de responsabilité sociale, (b) renforcer les capacités des membres du réseau sur les concepts de gouvernance participative et les outils de responsabilisation sociale par le biais du renforcement des capacités et de programmes d'apprentissage par la pratique et (c) renforcer le travail en réseau et l'échange de connaissances entre les parties prenantes, notamment les groupes de femmes et de jeunes</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 xml:space="preserve">En termes d'appui à des services de proximité pour les jeunes et à l'amélioration de leur représentativité, dans le cadre de l'Initiative en faveur de la </w:t>
      </w:r>
      <w:r>
        <w:rPr>
          <w:rFonts w:ascii="Times New Roman" w:hAnsi="Times New Roman"/>
          <w:sz w:val="22"/>
        </w:rPr>
        <w:lastRenderedPageBreak/>
        <w:t>jeunesse arabe et avec l'appui du</w:t>
      </w:r>
      <w:r w:rsidR="006D6057">
        <w:rPr>
          <w:rFonts w:ascii="Times New Roman" w:hAnsi="Times New Roman"/>
          <w:sz w:val="22"/>
        </w:rPr>
        <w:t xml:space="preserve"> </w:t>
      </w:r>
      <w:r>
        <w:rPr>
          <w:rFonts w:ascii="Times New Roman" w:hAnsi="Times New Roman"/>
          <w:sz w:val="22"/>
        </w:rPr>
        <w:t>Fonds de développement institutionnel (FDI), la Banque appuie la création d'une plateforme nationale de la jeunesse rassemblant des organisations dirigées par des jeunes.</w:t>
      </w:r>
    </w:p>
    <w:p w:rsidR="00D5154F" w:rsidRPr="00C87C91" w:rsidRDefault="00D5154F" w:rsidP="00072C02">
      <w:pPr>
        <w:pStyle w:val="ListParagraph"/>
        <w:tabs>
          <w:tab w:val="left" w:pos="720"/>
          <w:tab w:val="left" w:pos="810"/>
        </w:tabs>
        <w:autoSpaceDE w:val="0"/>
        <w:autoSpaceDN w:val="0"/>
        <w:adjustRightInd w:val="0"/>
        <w:ind w:left="0"/>
        <w:jc w:val="both"/>
        <w:rPr>
          <w:rFonts w:ascii="Times New Roman" w:hAnsi="Times New Roman"/>
          <w:b/>
          <w:sz w:val="16"/>
          <w:szCs w:val="16"/>
        </w:rPr>
      </w:pPr>
    </w:p>
    <w:p w:rsidR="00674A8F" w:rsidRPr="0018036A" w:rsidRDefault="00DA1DAE" w:rsidP="00072C02">
      <w:pPr>
        <w:rPr>
          <w:rFonts w:ascii="Times New Roman" w:hAnsi="Times New Roman"/>
          <w:b/>
          <w:i/>
          <w:iCs/>
          <w:sz w:val="22"/>
          <w:szCs w:val="22"/>
        </w:rPr>
      </w:pPr>
      <w:r>
        <w:rPr>
          <w:rFonts w:ascii="Times New Roman" w:hAnsi="Times New Roman"/>
          <w:b/>
          <w:i/>
          <w:sz w:val="22"/>
        </w:rPr>
        <w:t>(ii) 0bjectif d'action 8 : Accroissement de la transparence et redevabilité des institutions</w:t>
      </w:r>
    </w:p>
    <w:p w:rsidR="00E73F22" w:rsidRPr="00C87C91" w:rsidRDefault="00E73F22" w:rsidP="00072C02">
      <w:pPr>
        <w:jc w:val="both"/>
        <w:rPr>
          <w:rFonts w:ascii="Times New Roman" w:hAnsi="Times New Roman"/>
          <w:sz w:val="16"/>
          <w:szCs w:val="16"/>
        </w:rPr>
      </w:pPr>
    </w:p>
    <w:p w:rsidR="00E73F22" w:rsidRPr="0018036A" w:rsidRDefault="00E73F22"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 renforcement du cadre national de lutte anti-corruption représentera un moyen important de renforcement de la responsabilité des fonctionnaires et des institutions.</w:t>
      </w:r>
      <w:r>
        <w:rPr>
          <w:rFonts w:ascii="Times New Roman" w:hAnsi="Times New Roman"/>
          <w:sz w:val="22"/>
        </w:rPr>
        <w:t xml:space="preserve"> La Banque est disposée à appuyer les efforts du Gouvernement en faveur de la création d'un cadre anti-corruption institutionnel et organisationnel approprié sur la base des enseignements tirés des meilleures pratiques internationales et des conclusions de la commission établie au lendemain de la révolution chargée d'enquêter sur les affaires de corruption et de détournement de fonds. Avec la signature en novembre 2011 d'un décret-loi relatif à la lutte contre la corruption et les détournements de fonds, la Tunisie dispose d'un cadre juridique renforcé permettant de mettre en place des institutions solides et permanentes et de renforcer les institutions existantes telles que le système judiciaire, et d'établir des procédures et processus appropriés, tels qu'une chaîne anti-corruption. Le programme StAR propose un appui technique aidant les autorités dans le recouvrement des avoirs volés, notamment pour l'encadrement institutionnel et législatif</w:t>
      </w:r>
      <w:r w:rsidR="006D6057">
        <w:rPr>
          <w:rFonts w:ascii="Times New Roman" w:hAnsi="Times New Roman"/>
          <w:sz w:val="22"/>
        </w:rPr>
        <w:t xml:space="preserve"> </w:t>
      </w:r>
      <w:r>
        <w:rPr>
          <w:rFonts w:ascii="Times New Roman" w:hAnsi="Times New Roman"/>
          <w:sz w:val="22"/>
        </w:rPr>
        <w:t>des unités spécialisées mises en place dont la mission est de poursuivre</w:t>
      </w:r>
      <w:r>
        <w:rPr>
          <w:rFonts w:ascii="Times New Roman" w:hAnsi="Times New Roman"/>
          <w:color w:val="000000"/>
          <w:sz w:val="22"/>
        </w:rPr>
        <w:t xml:space="preserve"> et enquêter sur les affaires de recouvrement des avoirs et pour la formation des procureurs, des juges et du personnel opérationnel de ces unités spécialisées</w:t>
      </w:r>
      <w:r>
        <w:rPr>
          <w:rFonts w:ascii="Times New Roman" w:hAnsi="Times New Roman"/>
          <w:sz w:val="22"/>
        </w:rPr>
        <w:t xml:space="preserve"> (</w:t>
      </w:r>
      <w:r>
        <w:rPr>
          <w:rFonts w:ascii="Times New Roman" w:hAnsi="Times New Roman"/>
          <w:i/>
          <w:sz w:val="22"/>
        </w:rPr>
        <w:t>voir Contexte de gouvernance</w:t>
      </w:r>
      <w:r>
        <w:rPr>
          <w:rFonts w:ascii="Times New Roman" w:hAnsi="Times New Roman"/>
          <w:sz w:val="22"/>
        </w:rPr>
        <w:t>).</w:t>
      </w:r>
    </w:p>
    <w:p w:rsidR="00F55F63" w:rsidRPr="00C87C91" w:rsidRDefault="00F55F63" w:rsidP="00072C02">
      <w:pPr>
        <w:pStyle w:val="ListParagraph"/>
        <w:tabs>
          <w:tab w:val="left" w:pos="810"/>
        </w:tabs>
        <w:autoSpaceDE w:val="0"/>
        <w:autoSpaceDN w:val="0"/>
        <w:adjustRightInd w:val="0"/>
        <w:ind w:left="0"/>
        <w:jc w:val="both"/>
        <w:rPr>
          <w:rFonts w:ascii="Times New Roman" w:hAnsi="Times New Roman"/>
          <w:sz w:val="16"/>
          <w:szCs w:val="16"/>
        </w:rPr>
      </w:pPr>
    </w:p>
    <w:p w:rsidR="00D44DE1" w:rsidRDefault="00E73F22"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 xml:space="preserve">La Banque s'efforcera également d'appuyer les principales réformes de la gestion des finances publiques pour améliorer la transparence, la responsabilité et l'efficience du budget et des dépenses publiques. </w:t>
      </w:r>
      <w:r>
        <w:rPr>
          <w:rFonts w:ascii="Times New Roman" w:hAnsi="Times New Roman"/>
          <w:sz w:val="22"/>
        </w:rPr>
        <w:t>La Banque est en discussion avec les autorités pour passer à un processus budgétaire ouvert et axé sur les résultats et appuie leurs efforts de comblement des lacunes internes et externes majeures en matière de responsabilité héritées de l'ancien régime</w:t>
      </w:r>
      <w:r>
        <w:rPr>
          <w:rStyle w:val="FootnoteReference"/>
          <w:rFonts w:ascii="Times New Roman" w:hAnsi="Times New Roman"/>
          <w:sz w:val="22"/>
        </w:rPr>
        <w:footnoteReference w:id="20"/>
      </w:r>
      <w:r>
        <w:rPr>
          <w:rFonts w:ascii="Times New Roman" w:hAnsi="Times New Roman"/>
          <w:sz w:val="22"/>
        </w:rPr>
        <w:t>.</w:t>
      </w:r>
      <w:r>
        <w:rPr>
          <w:rFonts w:ascii="Times New Roman" w:hAnsi="Times New Roman"/>
          <w:b/>
          <w:sz w:val="22"/>
        </w:rPr>
        <w:t xml:space="preserve"> </w:t>
      </w:r>
      <w:r>
        <w:rPr>
          <w:rFonts w:ascii="Times New Roman" w:hAnsi="Times New Roman"/>
          <w:sz w:val="22"/>
        </w:rPr>
        <w:t>Les réformes de la Gestion des finances publiques (GFP) pourraient être appuyées dans le cadre du programme du PPD Ex.2013 et seront guidées par les travaux d'analyse existants et en cours, tels que le rapport de l'Examen des dépenses publiques et de la responsabilité financière (PEFA) 2010 et un Examen des dépenses publiques (EDP) prévu. Les réformes visant à accroître la transparence des procédures de passation des marchés publics en vue de renforcer la compétitivité continueront à être appuyées dans le cadre des opérations du PPD. La Banque collabore également avec le Gouvernement tunisien en coordination avec la BAD, pour réaliser une évaluation de la procédure de passation des marchés publics à l'aide de la méthodologie OCDE/CAD en vue de renforcer et de moderniser le cadre national de passation des marchés publics, et les systèmes et processus correspondants.</w:t>
      </w:r>
      <w:r w:rsidR="006D6057">
        <w:rPr>
          <w:rFonts w:ascii="Times New Roman" w:hAnsi="Times New Roman"/>
          <w:sz w:val="22"/>
        </w:rPr>
        <w:t xml:space="preserve"> </w:t>
      </w:r>
      <w:r>
        <w:rPr>
          <w:rFonts w:ascii="Times New Roman" w:hAnsi="Times New Roman"/>
          <w:sz w:val="22"/>
        </w:rPr>
        <w:t xml:space="preserve">En outre, la Banque aidera les autorités à réformer le rôle du Gouvernement dans la gestion et la surveillance des entreprises publiques afin d'améliorer leurs résultats et d'accroître la transparence de leurs rapports financiers. La Banque étudiera des options de collaboration avec les organisations de la société civile et le Parlement pour renforcer leur capacité de surveillance et de suivi des résultats des réformes, y compris en matière de GFP et dans d'autres domaines. </w:t>
      </w:r>
    </w:p>
    <w:p w:rsidR="00D44DE1" w:rsidRPr="00BB52BD" w:rsidRDefault="00D44DE1">
      <w:pPr>
        <w:pStyle w:val="ListParagraph"/>
        <w:tabs>
          <w:tab w:val="left" w:pos="810"/>
        </w:tabs>
        <w:autoSpaceDE w:val="0"/>
        <w:autoSpaceDN w:val="0"/>
        <w:adjustRightInd w:val="0"/>
        <w:ind w:left="0"/>
        <w:jc w:val="both"/>
        <w:rPr>
          <w:rFonts w:ascii="Times New Roman" w:hAnsi="Times New Roman"/>
          <w:sz w:val="16"/>
          <w:szCs w:val="16"/>
        </w:rPr>
      </w:pPr>
    </w:p>
    <w:p w:rsidR="00D86DCE" w:rsidRPr="00A9297A" w:rsidRDefault="000B498B" w:rsidP="00BE735C">
      <w:pPr>
        <w:pStyle w:val="ListParagraph"/>
        <w:numPr>
          <w:ilvl w:val="0"/>
          <w:numId w:val="44"/>
        </w:numPr>
        <w:ind w:left="0" w:firstLine="0"/>
        <w:jc w:val="both"/>
        <w:rPr>
          <w:rFonts w:ascii="Times New Roman" w:hAnsi="Times New Roman"/>
          <w:color w:val="000000"/>
          <w:sz w:val="16"/>
          <w:szCs w:val="16"/>
        </w:rPr>
      </w:pPr>
      <w:r>
        <w:rPr>
          <w:rFonts w:ascii="Times New Roman" w:hAnsi="Times New Roman"/>
          <w:b/>
          <w:color w:val="000000"/>
          <w:sz w:val="22"/>
        </w:rPr>
        <w:t>La rédaction d'une nouvelle constitution pourrait offrir au Gouvernement une opportunité d'élaboration d'une feuille de route pour les réformes, mettant l'accent sur les principes de bonne gouvernance : responsabilité publique, lutte contre la corruption, accès à l'information et transparence, participation et renforcement des institutions et mécanismes de redevabilité.</w:t>
      </w:r>
      <w:r w:rsidR="006D6057">
        <w:rPr>
          <w:rFonts w:ascii="Times New Roman" w:hAnsi="Times New Roman"/>
          <w:b/>
          <w:color w:val="000000"/>
          <w:sz w:val="22"/>
        </w:rPr>
        <w:t xml:space="preserve"> </w:t>
      </w:r>
      <w:r>
        <w:rPr>
          <w:rFonts w:ascii="Times New Roman" w:hAnsi="Times New Roman"/>
          <w:color w:val="000000"/>
          <w:sz w:val="22"/>
        </w:rPr>
        <w:t xml:space="preserve">Tenant compte du caractère limité du mandat de l'Assemblée constituante et de son objectif principal de rédaction d'une nouvelle constitution, la Banque étudiera avec les autorités diverses options d'apport en expertise sur la gouvernance et </w:t>
      </w:r>
      <w:r>
        <w:rPr>
          <w:rFonts w:ascii="Times New Roman" w:hAnsi="Times New Roman"/>
          <w:color w:val="000000"/>
          <w:sz w:val="22"/>
        </w:rPr>
        <w:lastRenderedPageBreak/>
        <w:t>sur des thèmes de développement, et d'information du débat national sur les questions économiques et de bonne gouvernance et sur l'impact de développement potentiel des différentes dispositions constitutionnelles.</w:t>
      </w:r>
      <w:r w:rsidR="006D6057">
        <w:rPr>
          <w:rFonts w:ascii="Times New Roman" w:hAnsi="Times New Roman"/>
          <w:color w:val="000000"/>
          <w:sz w:val="22"/>
        </w:rPr>
        <w:t xml:space="preserve"> </w:t>
      </w:r>
    </w:p>
    <w:p w:rsidR="00364891" w:rsidRPr="0018036A" w:rsidRDefault="00364891" w:rsidP="00BB52BD">
      <w:pPr>
        <w:pStyle w:val="Heading2"/>
        <w:ind w:left="360"/>
        <w:rPr>
          <w:rFonts w:ascii="Times New Roman" w:hAnsi="Times New Roman"/>
          <w:i w:val="0"/>
          <w:sz w:val="22"/>
          <w:szCs w:val="22"/>
        </w:rPr>
      </w:pPr>
      <w:bookmarkStart w:id="46" w:name="_Toc323821469"/>
      <w:bookmarkStart w:id="47" w:name="_Toc327979102"/>
      <w:r>
        <w:rPr>
          <w:rFonts w:ascii="Times New Roman" w:hAnsi="Times New Roman"/>
          <w:i w:val="0"/>
          <w:sz w:val="22"/>
        </w:rPr>
        <w:t>D.</w:t>
      </w:r>
      <w:r>
        <w:tab/>
      </w:r>
      <w:r>
        <w:rPr>
          <w:rFonts w:ascii="Times New Roman" w:hAnsi="Times New Roman"/>
          <w:i w:val="0"/>
          <w:sz w:val="22"/>
        </w:rPr>
        <w:t>Ressources et instruments de mise en œuvre de la NSI</w:t>
      </w:r>
      <w:bookmarkEnd w:id="46"/>
      <w:bookmarkEnd w:id="47"/>
    </w:p>
    <w:p w:rsidR="001A60AD" w:rsidRPr="00C87C91" w:rsidRDefault="001A60AD" w:rsidP="001A60AD">
      <w:pPr>
        <w:ind w:left="360"/>
        <w:jc w:val="both"/>
        <w:rPr>
          <w:rFonts w:ascii="Times New Roman" w:hAnsi="Times New Roman"/>
          <w:sz w:val="16"/>
          <w:szCs w:val="16"/>
        </w:rPr>
      </w:pPr>
    </w:p>
    <w:p w:rsidR="00F50A29" w:rsidRDefault="009920FC"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Les instruments de la Banque pour mettre en œuvre la NSI comprendront un assortiment d'opérations à l'appui de politiques et d'opérations d'investissement de la BIRD ; des fonds fiduciaires du FEM et d'autres fonds fiduciaires gérés ou financés par la Banque mondiale, ainsi que des services d’analyse et de conseil.</w:t>
      </w:r>
      <w:r>
        <w:rPr>
          <w:rFonts w:ascii="Times New Roman" w:hAnsi="Times New Roman"/>
          <w:sz w:val="22"/>
        </w:rPr>
        <w:t xml:space="preserve"> Le programme de la Banque tel que défini par la NSI donnera la priorité aux activités d'appui aux priorités à court terme de la transition. D'autres priorités à moyen terme pourront également être appuyées, dans la mesure du possible. Ces activités sont énumérées dans le Tableau 3. Le programme du Gouvernement pourra exiger jusqu'à 950 millions de dollars de prêts à l'appui de politiques et prêts d'investissement sur l'Ex. 13. Le financement de l'Ex. 2014 sera défini en fonction des résultats du programme de l'Ex. 2013, des demandes du Gouvernement, des fonds propres de la BIRD et de la demande des autres emprunteurs. Compte tenu de la détérioration des perspectives économiques internationales et nationales, la Banque prévoit d'engager une part importante de l'enveloppe BIRD de la Tunisie à travers un appui budgétaire alimenté par l'instrument PPD en se basant sur les résultats du programme. Les prêts d'investissement, qui demeurent un instrument essentiel pour atteindre des objectifs de développement à moyen terme, devraient représenter une part plus importante des engagements de prêt de l'Ex. 14 avec la reprise de l'économie.</w:t>
      </w:r>
    </w:p>
    <w:p w:rsidR="00A80EB0" w:rsidRPr="006D0F7D" w:rsidRDefault="00A80EB0" w:rsidP="00BB52BD">
      <w:pPr>
        <w:rPr>
          <w:sz w:val="22"/>
        </w:rPr>
      </w:pPr>
    </w:p>
    <w:p w:rsidR="00A80EB0" w:rsidRPr="0018036A" w:rsidRDefault="00A80EB0" w:rsidP="00D43382">
      <w:pPr>
        <w:pStyle w:val="Caption"/>
      </w:pPr>
      <w:bookmarkStart w:id="48" w:name="_Toc320794892"/>
      <w:bookmarkStart w:id="49" w:name="_Toc327978947"/>
      <w:r>
        <w:t xml:space="preserve">Tableau </w:t>
      </w:r>
      <w:r w:rsidR="00BE3333">
        <w:fldChar w:fldCharType="begin"/>
      </w:r>
      <w:r w:rsidR="00186699">
        <w:instrText xml:space="preserve"> SEQ Table \* ARABIC </w:instrText>
      </w:r>
      <w:r w:rsidR="00BE3333">
        <w:fldChar w:fldCharType="separate"/>
      </w:r>
      <w:r w:rsidR="002D5CED">
        <w:rPr>
          <w:noProof/>
        </w:rPr>
        <w:t>3</w:t>
      </w:r>
      <w:r w:rsidR="00BE3333">
        <w:fldChar w:fldCharType="end"/>
      </w:r>
      <w:r>
        <w:t>. Proposition de nouvelles activités financées par la BIRD, Ex. 13-14</w:t>
      </w:r>
      <w:bookmarkEnd w:id="48"/>
      <w:bookmarkEnd w:id="49"/>
    </w:p>
    <w:tbl>
      <w:tblPr>
        <w:tblStyle w:val="TableGrid"/>
        <w:tblW w:w="9576" w:type="dxa"/>
        <w:tblLook w:val="04A0"/>
      </w:tblPr>
      <w:tblGrid>
        <w:gridCol w:w="1728"/>
        <w:gridCol w:w="2880"/>
        <w:gridCol w:w="2340"/>
        <w:gridCol w:w="2628"/>
      </w:tblGrid>
      <w:tr w:rsidR="00A80EB0" w:rsidRPr="0077302C" w:rsidTr="00D83E05">
        <w:trPr>
          <w:trHeight w:val="863"/>
        </w:trPr>
        <w:tc>
          <w:tcPr>
            <w:tcW w:w="1728" w:type="dxa"/>
            <w:shd w:val="clear" w:color="auto" w:fill="F2F2F2" w:themeFill="background1" w:themeFillShade="F2"/>
          </w:tcPr>
          <w:p w:rsidR="00AD4CAE" w:rsidRDefault="00AD4CAE" w:rsidP="00B14F44">
            <w:pPr>
              <w:spacing w:beforeLines="60"/>
              <w:jc w:val="center"/>
              <w:rPr>
                <w:rFonts w:ascii="Times New Roman" w:eastAsiaTheme="minorEastAsia" w:hAnsi="Times New Roman"/>
                <w:b/>
                <w:sz w:val="21"/>
                <w:szCs w:val="21"/>
              </w:rPr>
            </w:pPr>
          </w:p>
        </w:tc>
        <w:tc>
          <w:tcPr>
            <w:tcW w:w="2880" w:type="dxa"/>
            <w:shd w:val="clear" w:color="auto" w:fill="F2F2F2" w:themeFill="background1" w:themeFillShade="F2"/>
          </w:tcPr>
          <w:p w:rsidR="00D44DE1" w:rsidRDefault="00A80EB0" w:rsidP="00B14F44">
            <w:pPr>
              <w:spacing w:beforeLines="60"/>
              <w:jc w:val="center"/>
              <w:rPr>
                <w:rFonts w:ascii="Times New Roman" w:eastAsiaTheme="minorEastAsia" w:hAnsi="Times New Roman"/>
                <w:b/>
                <w:sz w:val="21"/>
                <w:szCs w:val="21"/>
              </w:rPr>
            </w:pPr>
            <w:r>
              <w:rPr>
                <w:rFonts w:ascii="Times New Roman" w:hAnsi="Times New Roman"/>
                <w:b/>
                <w:sz w:val="21"/>
              </w:rPr>
              <w:t>DOMAINE 1</w:t>
            </w:r>
          </w:p>
          <w:p w:rsidR="00A80EB0" w:rsidRPr="00E62A75" w:rsidRDefault="00A80EB0" w:rsidP="00D83E05">
            <w:pPr>
              <w:jc w:val="center"/>
              <w:rPr>
                <w:rFonts w:ascii="Times New Roman" w:hAnsi="Times New Roman"/>
                <w:b/>
                <w:sz w:val="21"/>
                <w:szCs w:val="21"/>
              </w:rPr>
            </w:pPr>
            <w:r>
              <w:rPr>
                <w:rFonts w:ascii="Times New Roman" w:hAnsi="Times New Roman"/>
                <w:b/>
                <w:sz w:val="21"/>
              </w:rPr>
              <w:t>Jeter les bases assurant la relance d'une croissance durable et la création d'emplois</w:t>
            </w:r>
          </w:p>
        </w:tc>
        <w:tc>
          <w:tcPr>
            <w:tcW w:w="2340" w:type="dxa"/>
            <w:shd w:val="clear" w:color="auto" w:fill="F2F2F2" w:themeFill="background1" w:themeFillShade="F2"/>
          </w:tcPr>
          <w:p w:rsidR="007802D4" w:rsidRDefault="00A80EB0" w:rsidP="00B14F44">
            <w:pPr>
              <w:spacing w:beforeLines="60"/>
              <w:jc w:val="center"/>
              <w:rPr>
                <w:rFonts w:ascii="Times New Roman" w:hAnsi="Times New Roman"/>
                <w:b/>
                <w:sz w:val="21"/>
                <w:szCs w:val="21"/>
              </w:rPr>
            </w:pPr>
            <w:r>
              <w:rPr>
                <w:rFonts w:ascii="Times New Roman" w:hAnsi="Times New Roman"/>
                <w:b/>
                <w:sz w:val="21"/>
              </w:rPr>
              <w:t>DOMAINE 2</w:t>
            </w:r>
          </w:p>
          <w:p w:rsidR="00991BD3" w:rsidRDefault="00991BD3" w:rsidP="007802D4">
            <w:pPr>
              <w:jc w:val="center"/>
              <w:rPr>
                <w:rFonts w:ascii="Times New Roman" w:hAnsi="Times New Roman"/>
                <w:b/>
                <w:sz w:val="21"/>
                <w:szCs w:val="21"/>
              </w:rPr>
            </w:pPr>
            <w:r>
              <w:rPr>
                <w:rFonts w:ascii="Times New Roman" w:hAnsi="Times New Roman"/>
                <w:b/>
                <w:sz w:val="21"/>
              </w:rPr>
              <w:t>Promotion de l'</w:t>
            </w:r>
          </w:p>
          <w:p w:rsidR="00D44DE1" w:rsidRDefault="00A80EB0" w:rsidP="007802D4">
            <w:pPr>
              <w:jc w:val="center"/>
              <w:rPr>
                <w:rFonts w:ascii="Times New Roman" w:eastAsiaTheme="minorEastAsia" w:hAnsi="Times New Roman"/>
                <w:b/>
                <w:sz w:val="21"/>
                <w:szCs w:val="21"/>
              </w:rPr>
            </w:pPr>
            <w:r>
              <w:rPr>
                <w:rFonts w:ascii="Times New Roman" w:hAnsi="Times New Roman"/>
                <w:b/>
                <w:sz w:val="21"/>
              </w:rPr>
              <w:t>Inclusion sociale et économique</w:t>
            </w:r>
          </w:p>
        </w:tc>
        <w:tc>
          <w:tcPr>
            <w:tcW w:w="2628" w:type="dxa"/>
            <w:shd w:val="clear" w:color="auto" w:fill="F2F2F2" w:themeFill="background1" w:themeFillShade="F2"/>
          </w:tcPr>
          <w:p w:rsidR="00D44DE1" w:rsidRDefault="00A80EB0" w:rsidP="00B14F44">
            <w:pPr>
              <w:spacing w:beforeLines="60"/>
              <w:jc w:val="center"/>
              <w:rPr>
                <w:rFonts w:ascii="Times New Roman" w:eastAsiaTheme="minorEastAsia" w:hAnsi="Times New Roman"/>
                <w:b/>
                <w:sz w:val="21"/>
                <w:szCs w:val="21"/>
              </w:rPr>
            </w:pPr>
            <w:r>
              <w:rPr>
                <w:rFonts w:ascii="Times New Roman" w:hAnsi="Times New Roman"/>
                <w:b/>
                <w:sz w:val="21"/>
              </w:rPr>
              <w:t>DOMAINE 3</w:t>
            </w:r>
          </w:p>
          <w:p w:rsidR="00A80EB0" w:rsidRPr="00E62A75" w:rsidRDefault="00A80EB0" w:rsidP="00D83E05">
            <w:pPr>
              <w:jc w:val="center"/>
              <w:rPr>
                <w:rFonts w:ascii="Times New Roman" w:hAnsi="Times New Roman"/>
                <w:b/>
                <w:sz w:val="21"/>
                <w:szCs w:val="21"/>
              </w:rPr>
            </w:pPr>
            <w:r>
              <w:rPr>
                <w:rFonts w:ascii="Times New Roman" w:hAnsi="Times New Roman"/>
                <w:b/>
                <w:sz w:val="21"/>
              </w:rPr>
              <w:t>Renforcement de la gouvernance : Participation citoyenne, transparence et responsabilité</w:t>
            </w:r>
          </w:p>
        </w:tc>
      </w:tr>
      <w:tr w:rsidR="00A80EB0" w:rsidRPr="0077302C" w:rsidTr="00D83E05">
        <w:trPr>
          <w:trHeight w:val="602"/>
        </w:trPr>
        <w:tc>
          <w:tcPr>
            <w:tcW w:w="1728" w:type="dxa"/>
            <w:vMerge w:val="restart"/>
          </w:tcPr>
          <w:p w:rsidR="00A80EB0" w:rsidRPr="00E62A75" w:rsidRDefault="00A80EB0" w:rsidP="00D83E05">
            <w:pPr>
              <w:spacing w:before="120"/>
              <w:rPr>
                <w:rFonts w:ascii="Times New Roman" w:hAnsi="Times New Roman"/>
                <w:b/>
                <w:i/>
                <w:sz w:val="21"/>
                <w:szCs w:val="21"/>
              </w:rPr>
            </w:pPr>
            <w:r>
              <w:rPr>
                <w:rFonts w:ascii="Times New Roman" w:hAnsi="Times New Roman"/>
                <w:b/>
                <w:i/>
                <w:sz w:val="21"/>
              </w:rPr>
              <w:t>Priorités à court terme pour la transition</w:t>
            </w:r>
          </w:p>
        </w:tc>
        <w:tc>
          <w:tcPr>
            <w:tcW w:w="7848" w:type="dxa"/>
            <w:gridSpan w:val="3"/>
          </w:tcPr>
          <w:p w:rsidR="00A80EB0" w:rsidRPr="00E62A75" w:rsidRDefault="00A80EB0" w:rsidP="00D83E05">
            <w:pPr>
              <w:spacing w:before="120"/>
              <w:ind w:left="-43"/>
              <w:jc w:val="center"/>
              <w:rPr>
                <w:rFonts w:ascii="Times New Roman" w:hAnsi="Times New Roman"/>
                <w:sz w:val="21"/>
                <w:szCs w:val="21"/>
              </w:rPr>
            </w:pPr>
            <w:r>
              <w:rPr>
                <w:rFonts w:ascii="Times New Roman" w:hAnsi="Times New Roman"/>
                <w:sz w:val="21"/>
              </w:rPr>
              <w:t>- Prêts à l'appui de politiques de développement annuels multisectoriels</w:t>
            </w:r>
          </w:p>
          <w:p w:rsidR="00A80EB0" w:rsidRPr="00E62A75" w:rsidRDefault="00A80EB0" w:rsidP="00D83E05">
            <w:pPr>
              <w:ind w:left="-36"/>
              <w:jc w:val="center"/>
              <w:rPr>
                <w:rFonts w:ascii="Times New Roman" w:hAnsi="Times New Roman"/>
                <w:sz w:val="21"/>
                <w:szCs w:val="21"/>
              </w:rPr>
            </w:pPr>
            <w:r>
              <w:rPr>
                <w:rFonts w:ascii="Times New Roman" w:hAnsi="Times New Roman"/>
                <w:sz w:val="21"/>
              </w:rPr>
              <w:t>- Ex. 13 Garantie sur base de politique</w:t>
            </w:r>
          </w:p>
        </w:tc>
      </w:tr>
      <w:tr w:rsidR="00A80EB0" w:rsidRPr="0077302C" w:rsidTr="00D83E05">
        <w:trPr>
          <w:trHeight w:val="917"/>
        </w:trPr>
        <w:tc>
          <w:tcPr>
            <w:tcW w:w="1728" w:type="dxa"/>
            <w:vMerge/>
          </w:tcPr>
          <w:p w:rsidR="00A80EB0" w:rsidRPr="00E62A75" w:rsidRDefault="00A80EB0" w:rsidP="00D83E05">
            <w:pPr>
              <w:spacing w:before="60"/>
              <w:rPr>
                <w:rFonts w:ascii="Times New Roman" w:hAnsi="Times New Roman"/>
                <w:b/>
                <w:i/>
                <w:sz w:val="21"/>
                <w:szCs w:val="21"/>
              </w:rPr>
            </w:pPr>
          </w:p>
        </w:tc>
        <w:tc>
          <w:tcPr>
            <w:tcW w:w="2880" w:type="dxa"/>
          </w:tcPr>
          <w:p w:rsidR="00A80EB0" w:rsidRPr="00E62A75" w:rsidRDefault="00A80EB0" w:rsidP="00D83E05">
            <w:pPr>
              <w:spacing w:before="120"/>
              <w:ind w:left="-14"/>
              <w:rPr>
                <w:rFonts w:ascii="Times New Roman" w:hAnsi="Times New Roman"/>
                <w:sz w:val="21"/>
                <w:szCs w:val="21"/>
              </w:rPr>
            </w:pPr>
            <w:r>
              <w:rPr>
                <w:rFonts w:ascii="Times New Roman" w:hAnsi="Times New Roman"/>
                <w:sz w:val="21"/>
              </w:rPr>
              <w:t>- Développement des exportations III</w:t>
            </w:r>
          </w:p>
          <w:p w:rsidR="00A80EB0" w:rsidRPr="00E62A75" w:rsidRDefault="00A80EB0" w:rsidP="00D83E05">
            <w:pPr>
              <w:ind w:left="-18"/>
              <w:rPr>
                <w:rFonts w:ascii="Times New Roman" w:hAnsi="Times New Roman"/>
                <w:sz w:val="21"/>
                <w:szCs w:val="21"/>
              </w:rPr>
            </w:pPr>
            <w:r>
              <w:rPr>
                <w:rFonts w:ascii="Times New Roman" w:hAnsi="Times New Roman"/>
                <w:sz w:val="21"/>
              </w:rPr>
              <w:t xml:space="preserve">- Appui au secteur financier </w:t>
            </w:r>
          </w:p>
          <w:p w:rsidR="00A80EB0" w:rsidRPr="00E62A75" w:rsidRDefault="00A80EB0" w:rsidP="00D83E05">
            <w:pPr>
              <w:ind w:left="-18"/>
              <w:rPr>
                <w:rFonts w:ascii="Times New Roman" w:hAnsi="Times New Roman"/>
                <w:sz w:val="21"/>
                <w:szCs w:val="21"/>
                <w:u w:val="single"/>
              </w:rPr>
            </w:pPr>
            <w:r>
              <w:rPr>
                <w:rFonts w:ascii="Times New Roman" w:hAnsi="Times New Roman"/>
                <w:sz w:val="21"/>
              </w:rPr>
              <w:t>- Formation pour l'emploi</w:t>
            </w:r>
            <w:r>
              <w:rPr>
                <w:rFonts w:ascii="Times New Roman" w:hAnsi="Times New Roman"/>
                <w:sz w:val="21"/>
                <w:u w:val="single"/>
              </w:rPr>
              <w:t xml:space="preserve"> </w:t>
            </w:r>
          </w:p>
        </w:tc>
        <w:tc>
          <w:tcPr>
            <w:tcW w:w="4968" w:type="dxa"/>
            <w:gridSpan w:val="2"/>
          </w:tcPr>
          <w:p w:rsidR="00A80EB0" w:rsidRPr="00E62A75" w:rsidRDefault="00A80EB0" w:rsidP="00351EFE">
            <w:pPr>
              <w:spacing w:before="120"/>
              <w:ind w:left="-43"/>
              <w:jc w:val="center"/>
              <w:rPr>
                <w:rFonts w:ascii="Times New Roman" w:hAnsi="Times New Roman"/>
                <w:sz w:val="21"/>
                <w:szCs w:val="21"/>
              </w:rPr>
            </w:pPr>
            <w:r>
              <w:rPr>
                <w:rFonts w:ascii="Times New Roman" w:hAnsi="Times New Roman"/>
                <w:sz w:val="21"/>
              </w:rPr>
              <w:t>- Développement urbain et gouvernance locale</w:t>
            </w:r>
          </w:p>
        </w:tc>
      </w:tr>
      <w:tr w:rsidR="00A80EB0" w:rsidRPr="0077302C" w:rsidTr="00D83E05">
        <w:trPr>
          <w:trHeight w:val="692"/>
        </w:trPr>
        <w:tc>
          <w:tcPr>
            <w:tcW w:w="1728" w:type="dxa"/>
          </w:tcPr>
          <w:p w:rsidR="00A80EB0" w:rsidRPr="00E62A75" w:rsidRDefault="00A80EB0" w:rsidP="00D83E05">
            <w:pPr>
              <w:spacing w:before="120"/>
              <w:rPr>
                <w:rFonts w:ascii="Times New Roman" w:hAnsi="Times New Roman"/>
                <w:b/>
                <w:i/>
                <w:sz w:val="21"/>
                <w:szCs w:val="21"/>
              </w:rPr>
            </w:pPr>
            <w:r>
              <w:rPr>
                <w:rFonts w:ascii="Times New Roman" w:hAnsi="Times New Roman"/>
                <w:b/>
                <w:i/>
                <w:sz w:val="21"/>
              </w:rPr>
              <w:t xml:space="preserve">Priorités à moyen terme de la BIRD </w:t>
            </w:r>
          </w:p>
        </w:tc>
        <w:tc>
          <w:tcPr>
            <w:tcW w:w="2880" w:type="dxa"/>
          </w:tcPr>
          <w:p w:rsidR="00A80EB0" w:rsidRPr="00E62A75" w:rsidRDefault="00A80EB0" w:rsidP="00D83E05">
            <w:pPr>
              <w:spacing w:before="120"/>
              <w:ind w:left="-14"/>
              <w:rPr>
                <w:rFonts w:ascii="Times New Roman" w:hAnsi="Times New Roman"/>
                <w:sz w:val="21"/>
                <w:szCs w:val="21"/>
              </w:rPr>
            </w:pPr>
            <w:r>
              <w:rPr>
                <w:rFonts w:ascii="Times New Roman" w:hAnsi="Times New Roman"/>
                <w:sz w:val="21"/>
              </w:rPr>
              <w:t>- Énergie solaire concentrée</w:t>
            </w:r>
          </w:p>
          <w:p w:rsidR="00A80EB0" w:rsidRPr="00E62A75" w:rsidRDefault="00A80EB0" w:rsidP="00D83E05">
            <w:pPr>
              <w:ind w:left="-18"/>
              <w:rPr>
                <w:rFonts w:ascii="Times New Roman" w:hAnsi="Times New Roman"/>
                <w:sz w:val="21"/>
                <w:szCs w:val="21"/>
              </w:rPr>
            </w:pPr>
            <w:r>
              <w:rPr>
                <w:rFonts w:ascii="Times New Roman" w:hAnsi="Times New Roman"/>
                <w:sz w:val="21"/>
              </w:rPr>
              <w:t>- Réutilisation des eaux usées traitées</w:t>
            </w:r>
          </w:p>
        </w:tc>
        <w:tc>
          <w:tcPr>
            <w:tcW w:w="2340" w:type="dxa"/>
          </w:tcPr>
          <w:p w:rsidR="00A80EB0" w:rsidRPr="00E62A75" w:rsidRDefault="00A80EB0" w:rsidP="00D83E05">
            <w:pPr>
              <w:spacing w:before="60"/>
              <w:rPr>
                <w:rFonts w:ascii="Times New Roman" w:hAnsi="Times New Roman"/>
                <w:b/>
                <w:iCs/>
                <w:sz w:val="21"/>
                <w:szCs w:val="21"/>
              </w:rPr>
            </w:pPr>
          </w:p>
        </w:tc>
        <w:tc>
          <w:tcPr>
            <w:tcW w:w="2628" w:type="dxa"/>
          </w:tcPr>
          <w:p w:rsidR="00A80EB0" w:rsidRPr="00E62A75" w:rsidRDefault="00A80EB0" w:rsidP="00D83E05">
            <w:pPr>
              <w:spacing w:before="60"/>
              <w:rPr>
                <w:rFonts w:ascii="Times New Roman" w:hAnsi="Times New Roman"/>
                <w:b/>
                <w:iCs/>
                <w:sz w:val="21"/>
                <w:szCs w:val="21"/>
              </w:rPr>
            </w:pPr>
          </w:p>
        </w:tc>
      </w:tr>
    </w:tbl>
    <w:p w:rsidR="00A80EB0" w:rsidRPr="00C87C91" w:rsidRDefault="00A80EB0" w:rsidP="00A80EB0">
      <w:pPr>
        <w:pStyle w:val="ListParagraph"/>
        <w:ind w:left="1440"/>
        <w:rPr>
          <w:rFonts w:ascii="Times New Roman" w:hAnsi="Times New Roman"/>
          <w:b/>
          <w:sz w:val="16"/>
          <w:szCs w:val="16"/>
        </w:rPr>
      </w:pPr>
    </w:p>
    <w:p w:rsidR="002B462F" w:rsidRPr="002B462F" w:rsidRDefault="002B462F" w:rsidP="002B462F">
      <w:pPr>
        <w:jc w:val="both"/>
        <w:rPr>
          <w:rFonts w:ascii="Times New Roman" w:hAnsi="Times New Roman"/>
          <w:sz w:val="22"/>
          <w:szCs w:val="22"/>
        </w:rPr>
      </w:pPr>
    </w:p>
    <w:p w:rsidR="00C93DBE" w:rsidRDefault="00C93DBE" w:rsidP="004D3388">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surveillera de près la situation économique de la Tunisie et les implications pour les prêts.</w:t>
      </w:r>
      <w:r>
        <w:rPr>
          <w:rFonts w:ascii="Times New Roman" w:hAnsi="Times New Roman"/>
          <w:sz w:val="22"/>
        </w:rPr>
        <w:t xml:space="preserve"> S'il se produit une nouvelle détérioration de la balance des paiements et de la situation budgétaire en 2012, la Banque cherchera à mobiliser des ressources complémentaires de la BIRD. La capacité de la Banque à le faire dépendra des résultats de l'exécution du programme de la Tunisie et de la répartition des charges avec les autres IFI et partenaires du développement pouvant apporter un soutien budgétaire, y compris le FMI.</w:t>
      </w:r>
    </w:p>
    <w:p w:rsidR="00C93DBE" w:rsidRDefault="00C93DBE" w:rsidP="00C93DBE">
      <w:pPr>
        <w:pStyle w:val="ListParagraph"/>
        <w:ind w:left="0"/>
        <w:jc w:val="both"/>
        <w:rPr>
          <w:rFonts w:ascii="Times New Roman" w:hAnsi="Times New Roman"/>
          <w:sz w:val="22"/>
          <w:szCs w:val="22"/>
        </w:rPr>
      </w:pPr>
    </w:p>
    <w:p w:rsidR="00E15BC5" w:rsidRDefault="00A80EB0" w:rsidP="004D3388">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Quant aux fonds fiduciaires, outre le FEM, des appuis ont été mobilisés auprès des FDI, JSDF, PHRD et SPF</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La Banque pourra également mobiliser un financement du Fonds pour les technologies propres, ainsi que d'autres partenaires du développement dont l'aide financière et technique complète les programmes de la Banque. Les activités relevant des fonds fiduciaires sont énumérées dans le Tableau 4.</w:t>
      </w:r>
    </w:p>
    <w:p w:rsidR="00A80EB0" w:rsidRDefault="00A80EB0" w:rsidP="00E15BC5">
      <w:pPr>
        <w:pStyle w:val="ListParagraph"/>
        <w:autoSpaceDE w:val="0"/>
        <w:autoSpaceDN w:val="0"/>
        <w:adjustRightInd w:val="0"/>
        <w:ind w:left="0"/>
        <w:jc w:val="both"/>
        <w:rPr>
          <w:rFonts w:ascii="Times New Roman" w:hAnsi="Times New Roman"/>
          <w:sz w:val="22"/>
          <w:szCs w:val="22"/>
        </w:rPr>
      </w:pPr>
    </w:p>
    <w:p w:rsidR="00A80EB0" w:rsidRPr="00C87C91" w:rsidRDefault="00A80EB0" w:rsidP="00D43382">
      <w:pPr>
        <w:pStyle w:val="Caption"/>
      </w:pPr>
      <w:bookmarkStart w:id="50" w:name="_Toc320794893"/>
      <w:bookmarkStart w:id="51" w:name="_Toc327978948"/>
      <w:r>
        <w:lastRenderedPageBreak/>
        <w:t xml:space="preserve">Tableau </w:t>
      </w:r>
      <w:r w:rsidR="00BE3333">
        <w:fldChar w:fldCharType="begin"/>
      </w:r>
      <w:r w:rsidR="00186699">
        <w:instrText xml:space="preserve"> SEQ Table \* ARABIC </w:instrText>
      </w:r>
      <w:r w:rsidR="00BE3333">
        <w:fldChar w:fldCharType="separate"/>
      </w:r>
      <w:r w:rsidR="002D5CED">
        <w:rPr>
          <w:noProof/>
        </w:rPr>
        <w:t>4</w:t>
      </w:r>
      <w:r w:rsidR="00BE3333">
        <w:fldChar w:fldCharType="end"/>
      </w:r>
      <w:r>
        <w:t>. Fonds fiduciaires gérés ou financés par la Banque mondiale</w:t>
      </w:r>
      <w:bookmarkEnd w:id="50"/>
      <w:bookmarkEnd w:id="51"/>
    </w:p>
    <w:tbl>
      <w:tblPr>
        <w:tblpPr w:leftFromText="180" w:rightFromText="180" w:vertAnchor="text" w:horzAnchor="margin"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7020"/>
        <w:gridCol w:w="1188"/>
      </w:tblGrid>
      <w:tr w:rsidR="00A80EB0" w:rsidRPr="00B957BA" w:rsidTr="00D83E05">
        <w:trPr>
          <w:trHeight w:val="368"/>
        </w:trPr>
        <w:tc>
          <w:tcPr>
            <w:tcW w:w="1368" w:type="dxa"/>
            <w:shd w:val="clear" w:color="auto" w:fill="F2F2F2"/>
          </w:tcPr>
          <w:p w:rsidR="00A80EB0" w:rsidRPr="00C87C91" w:rsidRDefault="00A80EB0" w:rsidP="00D83E05">
            <w:pPr>
              <w:spacing w:before="120"/>
              <w:rPr>
                <w:rFonts w:ascii="Times New Roman" w:hAnsi="Times New Roman"/>
                <w:b/>
                <w:sz w:val="21"/>
                <w:szCs w:val="21"/>
              </w:rPr>
            </w:pPr>
            <w:r>
              <w:rPr>
                <w:rFonts w:ascii="Times New Roman" w:hAnsi="Times New Roman"/>
                <w:b/>
                <w:sz w:val="21"/>
              </w:rPr>
              <w:t>Année de début</w:t>
            </w:r>
          </w:p>
        </w:tc>
        <w:tc>
          <w:tcPr>
            <w:tcW w:w="7020" w:type="dxa"/>
            <w:shd w:val="clear" w:color="auto" w:fill="F2F2F2"/>
          </w:tcPr>
          <w:p w:rsidR="00A80EB0" w:rsidRPr="00C87C91" w:rsidRDefault="00A80EB0" w:rsidP="00D83E05">
            <w:pPr>
              <w:spacing w:before="120"/>
              <w:jc w:val="center"/>
              <w:rPr>
                <w:rFonts w:ascii="Times New Roman" w:hAnsi="Times New Roman"/>
                <w:b/>
                <w:sz w:val="21"/>
                <w:szCs w:val="21"/>
              </w:rPr>
            </w:pPr>
            <w:r>
              <w:rPr>
                <w:rFonts w:ascii="Times New Roman" w:hAnsi="Times New Roman"/>
                <w:b/>
                <w:sz w:val="21"/>
              </w:rPr>
              <w:t>Projet (USD M)</w:t>
            </w:r>
          </w:p>
        </w:tc>
        <w:tc>
          <w:tcPr>
            <w:tcW w:w="1188" w:type="dxa"/>
            <w:shd w:val="clear" w:color="auto" w:fill="F2F2F2"/>
          </w:tcPr>
          <w:p w:rsidR="00A80EB0" w:rsidRPr="00C87C91" w:rsidRDefault="00A80EB0" w:rsidP="00D83E05">
            <w:pPr>
              <w:jc w:val="center"/>
              <w:rPr>
                <w:rFonts w:ascii="Times New Roman" w:hAnsi="Times New Roman"/>
                <w:b/>
                <w:sz w:val="21"/>
                <w:szCs w:val="21"/>
              </w:rPr>
            </w:pPr>
            <w:r>
              <w:rPr>
                <w:rFonts w:ascii="Times New Roman" w:hAnsi="Times New Roman"/>
                <w:b/>
                <w:sz w:val="21"/>
              </w:rPr>
              <w:t>Total (USD M)</w:t>
            </w:r>
          </w:p>
        </w:tc>
      </w:tr>
      <w:tr w:rsidR="00A80EB0" w:rsidRPr="001E0936" w:rsidTr="00D83E05">
        <w:trPr>
          <w:trHeight w:val="1007"/>
        </w:trPr>
        <w:tc>
          <w:tcPr>
            <w:tcW w:w="1368" w:type="dxa"/>
          </w:tcPr>
          <w:p w:rsidR="00A80EB0" w:rsidRPr="00C87C91" w:rsidRDefault="00A80EB0" w:rsidP="00D83E05">
            <w:pPr>
              <w:rPr>
                <w:rFonts w:ascii="Times New Roman" w:hAnsi="Times New Roman"/>
                <w:sz w:val="21"/>
                <w:szCs w:val="21"/>
              </w:rPr>
            </w:pPr>
          </w:p>
          <w:p w:rsidR="00A80EB0" w:rsidRPr="00C87C91" w:rsidRDefault="00A80EB0" w:rsidP="00D83E05">
            <w:pPr>
              <w:jc w:val="center"/>
              <w:rPr>
                <w:rFonts w:ascii="Times New Roman" w:hAnsi="Times New Roman"/>
                <w:sz w:val="21"/>
                <w:szCs w:val="21"/>
              </w:rPr>
            </w:pPr>
            <w:r>
              <w:rPr>
                <w:rFonts w:ascii="Times New Roman" w:hAnsi="Times New Roman"/>
                <w:sz w:val="21"/>
              </w:rPr>
              <w:t>Ex. 12/13</w:t>
            </w:r>
          </w:p>
        </w:tc>
        <w:tc>
          <w:tcPr>
            <w:tcW w:w="7020" w:type="dxa"/>
          </w:tcPr>
          <w:p w:rsidR="00A80EB0" w:rsidRPr="00C87C91" w:rsidRDefault="00A80EB0" w:rsidP="00D83E05">
            <w:pPr>
              <w:keepNext/>
              <w:keepLines/>
              <w:numPr>
                <w:ilvl w:val="0"/>
                <w:numId w:val="9"/>
              </w:numPr>
              <w:tabs>
                <w:tab w:val="clear" w:pos="720"/>
              </w:tabs>
              <w:spacing w:before="120"/>
              <w:ind w:left="432"/>
              <w:jc w:val="both"/>
              <w:rPr>
                <w:rFonts w:ascii="Times New Roman" w:hAnsi="Times New Roman"/>
                <w:sz w:val="21"/>
                <w:szCs w:val="21"/>
              </w:rPr>
            </w:pPr>
            <w:r>
              <w:rPr>
                <w:rFonts w:ascii="Times New Roman" w:hAnsi="Times New Roman"/>
                <w:sz w:val="21"/>
              </w:rPr>
              <w:t>JSDF Services de proximité communautaires de soins de santé (1)</w:t>
            </w:r>
          </w:p>
          <w:p w:rsidR="00A80EB0" w:rsidRPr="00C87C91" w:rsidRDefault="00A80EB0" w:rsidP="00D83E05">
            <w:pPr>
              <w:keepNext/>
              <w:keepLines/>
              <w:numPr>
                <w:ilvl w:val="0"/>
                <w:numId w:val="9"/>
              </w:numPr>
              <w:tabs>
                <w:tab w:val="clear" w:pos="720"/>
              </w:tabs>
              <w:ind w:left="432"/>
              <w:jc w:val="both"/>
              <w:rPr>
                <w:rFonts w:ascii="Times New Roman" w:hAnsi="Times New Roman"/>
                <w:sz w:val="21"/>
                <w:szCs w:val="21"/>
              </w:rPr>
            </w:pPr>
            <w:r>
              <w:rPr>
                <w:rFonts w:ascii="Times New Roman" w:hAnsi="Times New Roman"/>
                <w:sz w:val="21"/>
              </w:rPr>
              <w:t>JSDF Aide d'urgence pour les jeunes (3)</w:t>
            </w:r>
          </w:p>
          <w:p w:rsidR="009560E1" w:rsidRDefault="00A80EB0" w:rsidP="00351EFE">
            <w:pPr>
              <w:keepNext/>
              <w:keepLines/>
              <w:numPr>
                <w:ilvl w:val="0"/>
                <w:numId w:val="9"/>
              </w:numPr>
              <w:tabs>
                <w:tab w:val="clear" w:pos="720"/>
              </w:tabs>
              <w:ind w:left="432"/>
              <w:jc w:val="both"/>
              <w:rPr>
                <w:rFonts w:ascii="Times New Roman" w:hAnsi="Times New Roman"/>
                <w:sz w:val="21"/>
                <w:szCs w:val="21"/>
              </w:rPr>
            </w:pPr>
            <w:r>
              <w:rPr>
                <w:rFonts w:ascii="Times New Roman" w:hAnsi="Times New Roman"/>
                <w:sz w:val="21"/>
              </w:rPr>
              <w:t>FDI Capacité de passation des marchés (0,250)</w:t>
            </w:r>
          </w:p>
        </w:tc>
        <w:tc>
          <w:tcPr>
            <w:tcW w:w="1188" w:type="dxa"/>
          </w:tcPr>
          <w:p w:rsidR="00A80EB0" w:rsidRPr="00C87C91" w:rsidRDefault="00A80EB0" w:rsidP="00D83E05">
            <w:pPr>
              <w:keepNext/>
              <w:keepLines/>
              <w:tabs>
                <w:tab w:val="decimal" w:pos="612"/>
              </w:tabs>
              <w:rPr>
                <w:rFonts w:ascii="Times New Roman" w:hAnsi="Times New Roman"/>
                <w:sz w:val="21"/>
                <w:szCs w:val="21"/>
              </w:rPr>
            </w:pPr>
          </w:p>
          <w:p w:rsidR="00A80EB0" w:rsidRPr="00C87C91" w:rsidRDefault="003D13F0" w:rsidP="00D83E05">
            <w:pPr>
              <w:keepNext/>
              <w:keepLines/>
              <w:tabs>
                <w:tab w:val="decimal" w:pos="612"/>
              </w:tabs>
              <w:rPr>
                <w:rFonts w:ascii="Times New Roman" w:hAnsi="Times New Roman"/>
                <w:sz w:val="21"/>
                <w:szCs w:val="21"/>
              </w:rPr>
            </w:pPr>
            <w:r>
              <w:rPr>
                <w:rFonts w:ascii="Times New Roman" w:hAnsi="Times New Roman"/>
                <w:sz w:val="21"/>
              </w:rPr>
              <w:t>4</w:t>
            </w:r>
          </w:p>
        </w:tc>
      </w:tr>
      <w:tr w:rsidR="00A80EB0" w:rsidRPr="001E0936" w:rsidTr="00D83E05">
        <w:trPr>
          <w:trHeight w:val="791"/>
        </w:trPr>
        <w:tc>
          <w:tcPr>
            <w:tcW w:w="1368" w:type="dxa"/>
          </w:tcPr>
          <w:p w:rsidR="00A80EB0" w:rsidRPr="00C87C91" w:rsidRDefault="00A80EB0" w:rsidP="00D83E05">
            <w:pPr>
              <w:spacing w:before="120"/>
              <w:jc w:val="center"/>
              <w:rPr>
                <w:rFonts w:ascii="Times New Roman" w:hAnsi="Times New Roman"/>
                <w:sz w:val="21"/>
                <w:szCs w:val="21"/>
              </w:rPr>
            </w:pPr>
            <w:r>
              <w:rPr>
                <w:rFonts w:ascii="Times New Roman" w:hAnsi="Times New Roman"/>
                <w:sz w:val="21"/>
              </w:rPr>
              <w:t>Ex. 13/14</w:t>
            </w:r>
          </w:p>
        </w:tc>
        <w:tc>
          <w:tcPr>
            <w:tcW w:w="7020" w:type="dxa"/>
          </w:tcPr>
          <w:p w:rsidR="00A80EB0" w:rsidRPr="00C87C91" w:rsidRDefault="00A80EB0" w:rsidP="00D83E05">
            <w:pPr>
              <w:keepNext/>
              <w:keepLines/>
              <w:numPr>
                <w:ilvl w:val="3"/>
                <w:numId w:val="10"/>
              </w:numPr>
              <w:spacing w:before="120"/>
              <w:ind w:left="432"/>
              <w:jc w:val="both"/>
              <w:rPr>
                <w:rFonts w:ascii="Times New Roman" w:hAnsi="Times New Roman"/>
                <w:sz w:val="21"/>
                <w:szCs w:val="21"/>
              </w:rPr>
            </w:pPr>
            <w:r>
              <w:rPr>
                <w:rFonts w:ascii="Times New Roman" w:hAnsi="Times New Roman"/>
                <w:sz w:val="21"/>
              </w:rPr>
              <w:t xml:space="preserve">JSDF Travaux communautaires et participation locale (3) </w:t>
            </w:r>
          </w:p>
          <w:p w:rsidR="00A80EB0" w:rsidRPr="00C87C91" w:rsidRDefault="00A80EB0" w:rsidP="00D83E05">
            <w:pPr>
              <w:keepNext/>
              <w:keepLines/>
              <w:numPr>
                <w:ilvl w:val="3"/>
                <w:numId w:val="10"/>
              </w:numPr>
              <w:ind w:left="432"/>
              <w:jc w:val="both"/>
              <w:rPr>
                <w:rFonts w:ascii="Times New Roman" w:hAnsi="Times New Roman"/>
                <w:sz w:val="21"/>
                <w:szCs w:val="21"/>
              </w:rPr>
            </w:pPr>
            <w:r>
              <w:rPr>
                <w:rFonts w:ascii="Times New Roman" w:hAnsi="Times New Roman"/>
                <w:sz w:val="21"/>
              </w:rPr>
              <w:t>SPF Prestation participative de services et réinsertion</w:t>
            </w:r>
          </w:p>
          <w:p w:rsidR="00A80EB0" w:rsidRPr="00C87C91" w:rsidRDefault="00A80EB0" w:rsidP="00D83E05">
            <w:pPr>
              <w:pStyle w:val="ListParagraph"/>
              <w:numPr>
                <w:ilvl w:val="3"/>
                <w:numId w:val="10"/>
              </w:numPr>
              <w:ind w:left="432"/>
              <w:rPr>
                <w:rFonts w:ascii="Times New Roman" w:hAnsi="Times New Roman"/>
                <w:sz w:val="21"/>
                <w:szCs w:val="21"/>
              </w:rPr>
            </w:pPr>
            <w:r>
              <w:rPr>
                <w:rFonts w:ascii="Times New Roman" w:hAnsi="Times New Roman"/>
                <w:sz w:val="21"/>
              </w:rPr>
              <w:t>FEM Écotourisme et conservation (4,3)</w:t>
            </w:r>
          </w:p>
          <w:p w:rsidR="00A80EB0" w:rsidRPr="00C87C91" w:rsidRDefault="00A80EB0" w:rsidP="00D83E05">
            <w:pPr>
              <w:pStyle w:val="ListParagraph"/>
              <w:numPr>
                <w:ilvl w:val="3"/>
                <w:numId w:val="10"/>
              </w:numPr>
              <w:ind w:left="432"/>
              <w:rPr>
                <w:rFonts w:ascii="Times New Roman" w:hAnsi="Times New Roman"/>
                <w:sz w:val="21"/>
                <w:szCs w:val="21"/>
              </w:rPr>
            </w:pPr>
            <w:r>
              <w:rPr>
                <w:rFonts w:ascii="Times New Roman" w:hAnsi="Times New Roman"/>
                <w:sz w:val="21"/>
              </w:rPr>
              <w:t>Fonds pour les technologies propres (18)</w:t>
            </w:r>
          </w:p>
        </w:tc>
        <w:tc>
          <w:tcPr>
            <w:tcW w:w="1188" w:type="dxa"/>
          </w:tcPr>
          <w:p w:rsidR="00A80EB0" w:rsidRPr="00C87C91" w:rsidRDefault="00A80EB0" w:rsidP="00D83E05">
            <w:pPr>
              <w:pStyle w:val="ListParagraph"/>
              <w:tabs>
                <w:tab w:val="decimal" w:pos="612"/>
              </w:tabs>
              <w:spacing w:before="120" w:after="120"/>
              <w:ind w:left="0"/>
              <w:rPr>
                <w:rFonts w:ascii="Times New Roman" w:hAnsi="Times New Roman"/>
                <w:sz w:val="21"/>
                <w:szCs w:val="21"/>
              </w:rPr>
            </w:pPr>
          </w:p>
          <w:p w:rsidR="00A80EB0" w:rsidRPr="00C87C91" w:rsidRDefault="00A80EB0" w:rsidP="00D83E05">
            <w:pPr>
              <w:pStyle w:val="ListParagraph"/>
              <w:tabs>
                <w:tab w:val="decimal" w:pos="612"/>
              </w:tabs>
              <w:spacing w:before="120" w:after="120"/>
              <w:ind w:left="0"/>
              <w:rPr>
                <w:rFonts w:ascii="Times New Roman" w:hAnsi="Times New Roman"/>
                <w:sz w:val="21"/>
                <w:szCs w:val="21"/>
              </w:rPr>
            </w:pPr>
            <w:r>
              <w:rPr>
                <w:rFonts w:ascii="Times New Roman" w:hAnsi="Times New Roman"/>
                <w:sz w:val="21"/>
              </w:rPr>
              <w:t>30</w:t>
            </w:r>
          </w:p>
        </w:tc>
      </w:tr>
    </w:tbl>
    <w:p w:rsidR="00A80EB0" w:rsidRPr="00804292" w:rsidRDefault="00A80EB0" w:rsidP="00A80EB0">
      <w:pPr>
        <w:pStyle w:val="ListParagraph"/>
        <w:autoSpaceDE w:val="0"/>
        <w:autoSpaceDN w:val="0"/>
        <w:adjustRightInd w:val="0"/>
        <w:ind w:left="0"/>
        <w:jc w:val="both"/>
        <w:rPr>
          <w:rFonts w:ascii="Times New Roman" w:hAnsi="Times New Roman"/>
          <w:sz w:val="22"/>
          <w:szCs w:val="22"/>
        </w:rPr>
      </w:pPr>
    </w:p>
    <w:p w:rsidR="00C93DBE" w:rsidRDefault="00C93DBE" w:rsidP="00C93DBE">
      <w:pPr>
        <w:pStyle w:val="ListParagraph"/>
        <w:ind w:left="0"/>
        <w:jc w:val="both"/>
        <w:rPr>
          <w:rFonts w:ascii="Times New Roman" w:hAnsi="Times New Roman"/>
          <w:sz w:val="22"/>
          <w:szCs w:val="22"/>
        </w:rPr>
      </w:pPr>
    </w:p>
    <w:p w:rsidR="005D6561" w:rsidRDefault="005D6561">
      <w:pPr>
        <w:rPr>
          <w:rFonts w:ascii="Times New Roman" w:hAnsi="Times New Roman"/>
          <w:sz w:val="22"/>
          <w:szCs w:val="22"/>
        </w:rPr>
      </w:pPr>
      <w:r>
        <w:br w:type="page"/>
      </w:r>
    </w:p>
    <w:p w:rsidR="0077302C" w:rsidRDefault="00401EDE" w:rsidP="004D3388">
      <w:pPr>
        <w:pStyle w:val="ListParagraph"/>
        <w:numPr>
          <w:ilvl w:val="0"/>
          <w:numId w:val="44"/>
        </w:numPr>
        <w:ind w:left="0" w:firstLine="0"/>
        <w:jc w:val="both"/>
        <w:rPr>
          <w:rFonts w:ascii="Times New Roman" w:hAnsi="Times New Roman"/>
          <w:sz w:val="22"/>
          <w:szCs w:val="22"/>
        </w:rPr>
      </w:pPr>
      <w:r>
        <w:rPr>
          <w:rFonts w:ascii="Times New Roman" w:hAnsi="Times New Roman"/>
          <w:sz w:val="22"/>
        </w:rPr>
        <w:lastRenderedPageBreak/>
        <w:t>Le tableau 5 présente les propositions d'AAA pour les exercices 2013 et 2014, selon les trois domaines d'engagement. Ceci inclut les études économiques et sectorielles, ainsi que l'assistance technique, à l'appui des huit objectifs d'action.</w:t>
      </w:r>
    </w:p>
    <w:p w:rsidR="0026408C" w:rsidRPr="00C87C91" w:rsidRDefault="0026408C" w:rsidP="00401EDE">
      <w:pPr>
        <w:rPr>
          <w:rFonts w:ascii="Times New Roman" w:hAnsi="Times New Roman"/>
          <w:sz w:val="16"/>
          <w:szCs w:val="16"/>
        </w:rPr>
      </w:pPr>
    </w:p>
    <w:p w:rsidR="00EC2676" w:rsidRPr="0018036A" w:rsidRDefault="008B04FD" w:rsidP="00D43382">
      <w:pPr>
        <w:pStyle w:val="Caption"/>
      </w:pPr>
      <w:bookmarkStart w:id="52" w:name="_Toc320794894"/>
      <w:bookmarkStart w:id="53" w:name="_Toc327978949"/>
      <w:r>
        <w:t xml:space="preserve">Tableau </w:t>
      </w:r>
      <w:r w:rsidR="00BE3333">
        <w:fldChar w:fldCharType="begin"/>
      </w:r>
      <w:r w:rsidR="00186699">
        <w:instrText xml:space="preserve"> SEQ Table \* ARABIC </w:instrText>
      </w:r>
      <w:r w:rsidR="00BE3333">
        <w:fldChar w:fldCharType="separate"/>
      </w:r>
      <w:r w:rsidR="002D5CED">
        <w:rPr>
          <w:noProof/>
        </w:rPr>
        <w:t>5</w:t>
      </w:r>
      <w:r w:rsidR="00BE3333">
        <w:fldChar w:fldCharType="end"/>
      </w:r>
      <w:r>
        <w:t>. Proposition d'activités d'études analytiques et de conseil Ex. 13/14</w:t>
      </w:r>
      <w:bookmarkEnd w:id="52"/>
      <w:bookmarkEnd w:id="53"/>
    </w:p>
    <w:tbl>
      <w:tblPr>
        <w:tblStyle w:val="TableGrid"/>
        <w:tblW w:w="9294" w:type="dxa"/>
        <w:jc w:val="center"/>
        <w:tblInd w:w="-417" w:type="dxa"/>
        <w:tblLook w:val="04A0"/>
      </w:tblPr>
      <w:tblGrid>
        <w:gridCol w:w="3486"/>
        <w:gridCol w:w="2970"/>
        <w:gridCol w:w="2838"/>
      </w:tblGrid>
      <w:tr w:rsidR="002D685C" w:rsidRPr="00062FDF" w:rsidTr="004E6409">
        <w:trPr>
          <w:trHeight w:val="863"/>
          <w:jc w:val="center"/>
        </w:trPr>
        <w:tc>
          <w:tcPr>
            <w:tcW w:w="3486" w:type="dxa"/>
            <w:shd w:val="clear" w:color="auto" w:fill="F2F2F2" w:themeFill="background1" w:themeFillShade="F2"/>
          </w:tcPr>
          <w:p w:rsidR="002D685C" w:rsidRPr="004377B5" w:rsidRDefault="002D685C" w:rsidP="009B234A">
            <w:pPr>
              <w:spacing w:before="60" w:after="60"/>
              <w:jc w:val="center"/>
              <w:rPr>
                <w:rFonts w:ascii="Times New Roman" w:hAnsi="Times New Roman"/>
                <w:b/>
                <w:sz w:val="21"/>
                <w:szCs w:val="21"/>
              </w:rPr>
            </w:pPr>
            <w:r>
              <w:rPr>
                <w:rFonts w:ascii="Times New Roman" w:hAnsi="Times New Roman"/>
                <w:b/>
                <w:sz w:val="21"/>
              </w:rPr>
              <w:t>DOMAINE 1</w:t>
            </w:r>
          </w:p>
          <w:p w:rsidR="002D685C" w:rsidRPr="004377B5" w:rsidRDefault="002D685C" w:rsidP="001E2414">
            <w:pPr>
              <w:spacing w:before="60" w:after="60"/>
              <w:jc w:val="center"/>
              <w:rPr>
                <w:rFonts w:ascii="Times New Roman" w:hAnsi="Times New Roman"/>
                <w:b/>
                <w:sz w:val="21"/>
                <w:szCs w:val="21"/>
              </w:rPr>
            </w:pPr>
            <w:r>
              <w:rPr>
                <w:rFonts w:ascii="Times New Roman" w:hAnsi="Times New Roman"/>
                <w:b/>
                <w:sz w:val="21"/>
              </w:rPr>
              <w:t>Jeter les bases assurant la relance d'une croissance durable et la création d'emplois</w:t>
            </w:r>
          </w:p>
        </w:tc>
        <w:tc>
          <w:tcPr>
            <w:tcW w:w="2970" w:type="dxa"/>
            <w:shd w:val="clear" w:color="auto" w:fill="F2F2F2" w:themeFill="background1" w:themeFillShade="F2"/>
          </w:tcPr>
          <w:p w:rsidR="002D685C" w:rsidRPr="004377B5" w:rsidRDefault="002D685C" w:rsidP="009B234A">
            <w:pPr>
              <w:spacing w:before="60"/>
              <w:jc w:val="center"/>
              <w:rPr>
                <w:rFonts w:ascii="Times New Roman" w:hAnsi="Times New Roman"/>
                <w:b/>
                <w:sz w:val="21"/>
                <w:szCs w:val="21"/>
              </w:rPr>
            </w:pPr>
            <w:r>
              <w:rPr>
                <w:rFonts w:ascii="Times New Roman" w:hAnsi="Times New Roman"/>
                <w:b/>
                <w:sz w:val="21"/>
              </w:rPr>
              <w:t>DOMAINE 2</w:t>
            </w:r>
          </w:p>
          <w:p w:rsidR="007802D4" w:rsidRDefault="00267AC9" w:rsidP="007802D4">
            <w:pPr>
              <w:jc w:val="center"/>
              <w:rPr>
                <w:rFonts w:ascii="Times New Roman" w:hAnsi="Times New Roman"/>
                <w:b/>
                <w:sz w:val="21"/>
                <w:szCs w:val="21"/>
              </w:rPr>
            </w:pPr>
            <w:r>
              <w:rPr>
                <w:rFonts w:ascii="Times New Roman" w:hAnsi="Times New Roman"/>
                <w:b/>
                <w:sz w:val="21"/>
              </w:rPr>
              <w:t xml:space="preserve">Promotion de l' </w:t>
            </w:r>
          </w:p>
          <w:p w:rsidR="007802D4" w:rsidRDefault="002D685C" w:rsidP="007802D4">
            <w:pPr>
              <w:jc w:val="center"/>
              <w:rPr>
                <w:rFonts w:ascii="Times New Roman" w:hAnsi="Times New Roman"/>
                <w:b/>
                <w:sz w:val="21"/>
                <w:szCs w:val="21"/>
              </w:rPr>
            </w:pPr>
            <w:r>
              <w:rPr>
                <w:rFonts w:ascii="Times New Roman" w:hAnsi="Times New Roman"/>
                <w:b/>
                <w:sz w:val="21"/>
              </w:rPr>
              <w:t xml:space="preserve">inclusion sociale et économique </w:t>
            </w:r>
          </w:p>
          <w:p w:rsidR="006314C4" w:rsidRPr="004377B5" w:rsidRDefault="002D685C" w:rsidP="007802D4">
            <w:pPr>
              <w:jc w:val="center"/>
              <w:rPr>
                <w:rFonts w:ascii="Times New Roman" w:eastAsiaTheme="minorEastAsia" w:hAnsi="Times New Roman"/>
                <w:b/>
                <w:sz w:val="21"/>
                <w:szCs w:val="21"/>
              </w:rPr>
            </w:pPr>
            <w:r>
              <w:rPr>
                <w:rFonts w:ascii="Times New Roman" w:hAnsi="Times New Roman"/>
                <w:b/>
                <w:sz w:val="21"/>
              </w:rPr>
              <w:t>Inclusion</w:t>
            </w:r>
          </w:p>
        </w:tc>
        <w:tc>
          <w:tcPr>
            <w:tcW w:w="2838" w:type="dxa"/>
            <w:shd w:val="clear" w:color="auto" w:fill="F2F2F2" w:themeFill="background1" w:themeFillShade="F2"/>
          </w:tcPr>
          <w:p w:rsidR="002D685C" w:rsidRPr="004377B5" w:rsidRDefault="002D685C" w:rsidP="009B234A">
            <w:pPr>
              <w:spacing w:before="60"/>
              <w:jc w:val="center"/>
              <w:rPr>
                <w:rFonts w:ascii="Times New Roman" w:hAnsi="Times New Roman"/>
                <w:b/>
                <w:sz w:val="21"/>
                <w:szCs w:val="21"/>
              </w:rPr>
            </w:pPr>
            <w:r>
              <w:rPr>
                <w:rFonts w:ascii="Times New Roman" w:hAnsi="Times New Roman"/>
                <w:b/>
                <w:sz w:val="21"/>
              </w:rPr>
              <w:t>DOMAINE 3</w:t>
            </w:r>
          </w:p>
          <w:p w:rsidR="002D685C" w:rsidRPr="004377B5" w:rsidRDefault="002D685C" w:rsidP="009B234A">
            <w:pPr>
              <w:spacing w:before="60"/>
              <w:jc w:val="center"/>
              <w:rPr>
                <w:rFonts w:ascii="Times New Roman" w:hAnsi="Times New Roman"/>
                <w:b/>
                <w:sz w:val="21"/>
                <w:szCs w:val="21"/>
              </w:rPr>
            </w:pPr>
            <w:r>
              <w:rPr>
                <w:rFonts w:ascii="Times New Roman" w:hAnsi="Times New Roman"/>
                <w:b/>
                <w:sz w:val="21"/>
              </w:rPr>
              <w:t>Renforcement de la gouvernance : Participation citoyenne, transparence et responsabilité</w:t>
            </w:r>
          </w:p>
        </w:tc>
      </w:tr>
      <w:tr w:rsidR="002D685C" w:rsidRPr="00062FDF" w:rsidTr="004E6409">
        <w:trPr>
          <w:trHeight w:val="1340"/>
          <w:jc w:val="center"/>
        </w:trPr>
        <w:tc>
          <w:tcPr>
            <w:tcW w:w="3486" w:type="dxa"/>
          </w:tcPr>
          <w:p w:rsidR="004D00A7" w:rsidRPr="005127E1" w:rsidRDefault="004D00A7" w:rsidP="004D00A7">
            <w:pPr>
              <w:spacing w:before="60"/>
              <w:rPr>
                <w:rFonts w:ascii="Times New Roman" w:hAnsi="Times New Roman"/>
                <w:b/>
                <w:sz w:val="20"/>
                <w:szCs w:val="20"/>
              </w:rPr>
            </w:pPr>
            <w:r>
              <w:rPr>
                <w:rFonts w:ascii="Times New Roman" w:hAnsi="Times New Roman"/>
                <w:b/>
                <w:sz w:val="20"/>
              </w:rPr>
              <w:t>Objectif d'action (OA) 1 : Appui à la stabilité macroéconomique et à la relance de l'économie</w:t>
            </w:r>
          </w:p>
          <w:p w:rsidR="004D00A7" w:rsidRPr="005127E1" w:rsidRDefault="004D00A7" w:rsidP="004D00A7">
            <w:pPr>
              <w:ind w:left="180"/>
              <w:rPr>
                <w:rFonts w:ascii="Times New Roman" w:hAnsi="Times New Roman"/>
                <w:sz w:val="20"/>
                <w:szCs w:val="20"/>
              </w:rPr>
            </w:pPr>
            <w:r>
              <w:rPr>
                <w:rFonts w:ascii="Times New Roman" w:hAnsi="Times New Roman"/>
                <w:sz w:val="20"/>
              </w:rPr>
              <w:t>- Suivi macroéconomique</w:t>
            </w:r>
          </w:p>
          <w:p w:rsidR="004D00A7" w:rsidRPr="005127E1" w:rsidRDefault="004D00A7" w:rsidP="004D00A7">
            <w:pPr>
              <w:ind w:left="180"/>
              <w:rPr>
                <w:rFonts w:ascii="Times New Roman" w:hAnsi="Times New Roman"/>
                <w:sz w:val="20"/>
                <w:szCs w:val="20"/>
              </w:rPr>
            </w:pPr>
            <w:r>
              <w:rPr>
                <w:rFonts w:ascii="Times New Roman" w:hAnsi="Times New Roman"/>
                <w:sz w:val="20"/>
              </w:rPr>
              <w:t>- Analyse de la viabilité de la dette</w:t>
            </w:r>
          </w:p>
          <w:p w:rsidR="004D00A7" w:rsidRPr="005127E1" w:rsidRDefault="004D00A7" w:rsidP="004D00A7">
            <w:pPr>
              <w:ind w:left="171"/>
              <w:rPr>
                <w:rFonts w:ascii="Times New Roman" w:hAnsi="Times New Roman"/>
                <w:sz w:val="20"/>
                <w:szCs w:val="20"/>
              </w:rPr>
            </w:pPr>
            <w:r>
              <w:rPr>
                <w:rFonts w:ascii="Times New Roman" w:hAnsi="Times New Roman"/>
                <w:sz w:val="20"/>
              </w:rPr>
              <w:t>-Accès au financement des MPME : (SFI)</w:t>
            </w:r>
          </w:p>
          <w:p w:rsidR="004D00A7" w:rsidRPr="005127E1" w:rsidRDefault="004D00A7" w:rsidP="004D00A7">
            <w:pPr>
              <w:ind w:left="171"/>
              <w:rPr>
                <w:rFonts w:ascii="Times New Roman" w:hAnsi="Times New Roman"/>
                <w:b/>
                <w:iCs/>
                <w:sz w:val="20"/>
                <w:szCs w:val="20"/>
              </w:rPr>
            </w:pPr>
            <w:r>
              <w:rPr>
                <w:rFonts w:ascii="Times New Roman" w:hAnsi="Times New Roman"/>
                <w:sz w:val="20"/>
              </w:rPr>
              <w:t>- Investissement dans les industries à haute intensité de main- d'œuvre et à haute valeur ajoutée (SFI)</w:t>
            </w:r>
          </w:p>
          <w:p w:rsidR="004D00A7" w:rsidRPr="00AC6B63" w:rsidRDefault="004D00A7" w:rsidP="004E6409">
            <w:pPr>
              <w:spacing w:before="60"/>
              <w:rPr>
                <w:rFonts w:ascii="Times New Roman" w:hAnsi="Times New Roman"/>
                <w:b/>
                <w:iCs/>
                <w:sz w:val="20"/>
                <w:szCs w:val="20"/>
              </w:rPr>
            </w:pPr>
            <w:r>
              <w:rPr>
                <w:rFonts w:ascii="Times New Roman" w:hAnsi="Times New Roman"/>
                <w:b/>
                <w:sz w:val="20"/>
              </w:rPr>
              <w:t>OA 2 : Renforcement du cadre de l'activité économique, approfondissement de l'intégration</w:t>
            </w:r>
          </w:p>
          <w:p w:rsidR="004D00A7" w:rsidRPr="005127E1" w:rsidRDefault="004D00A7" w:rsidP="004D00A7">
            <w:pPr>
              <w:ind w:left="180"/>
              <w:rPr>
                <w:rFonts w:ascii="Times New Roman" w:hAnsi="Times New Roman"/>
                <w:sz w:val="20"/>
                <w:szCs w:val="20"/>
              </w:rPr>
            </w:pPr>
            <w:r>
              <w:rPr>
                <w:rFonts w:ascii="Times New Roman" w:hAnsi="Times New Roman"/>
                <w:sz w:val="20"/>
              </w:rPr>
              <w:t>- AT secteur financier</w:t>
            </w:r>
          </w:p>
          <w:p w:rsidR="004D00A7" w:rsidRPr="005127E1" w:rsidRDefault="004D00A7" w:rsidP="004D00A7">
            <w:pPr>
              <w:ind w:left="180"/>
              <w:rPr>
                <w:rFonts w:ascii="Times New Roman" w:hAnsi="Times New Roman"/>
                <w:sz w:val="20"/>
                <w:szCs w:val="20"/>
              </w:rPr>
            </w:pPr>
            <w:r>
              <w:rPr>
                <w:rFonts w:ascii="Times New Roman" w:hAnsi="Times New Roman"/>
                <w:sz w:val="20"/>
              </w:rPr>
              <w:t>- Tourisme, restructuration de la dette</w:t>
            </w:r>
          </w:p>
          <w:p w:rsidR="004D00A7" w:rsidRPr="005127E1" w:rsidRDefault="004D00A7" w:rsidP="004D00A7">
            <w:pPr>
              <w:ind w:left="180"/>
              <w:rPr>
                <w:rFonts w:ascii="Times New Roman" w:hAnsi="Times New Roman"/>
                <w:sz w:val="20"/>
                <w:szCs w:val="20"/>
              </w:rPr>
            </w:pPr>
            <w:r>
              <w:rPr>
                <w:rFonts w:ascii="Times New Roman" w:hAnsi="Times New Roman"/>
                <w:sz w:val="20"/>
              </w:rPr>
              <w:t>- DPR sur la stratégie de croissance</w:t>
            </w:r>
          </w:p>
          <w:p w:rsidR="004D00A7" w:rsidRPr="005127E1" w:rsidRDefault="004D00A7" w:rsidP="004D00A7">
            <w:pPr>
              <w:ind w:left="180"/>
              <w:rPr>
                <w:rFonts w:ascii="Times New Roman" w:hAnsi="Times New Roman"/>
                <w:sz w:val="20"/>
                <w:szCs w:val="20"/>
              </w:rPr>
            </w:pPr>
            <w:r>
              <w:rPr>
                <w:rFonts w:ascii="Times New Roman" w:hAnsi="Times New Roman"/>
                <w:sz w:val="20"/>
              </w:rPr>
              <w:t>- Évaluation du climat des investissements</w:t>
            </w:r>
          </w:p>
          <w:p w:rsidR="004D00A7" w:rsidRDefault="00AC6B63" w:rsidP="004D00A7">
            <w:pPr>
              <w:ind w:left="180"/>
              <w:rPr>
                <w:rFonts w:ascii="Times New Roman" w:hAnsi="Times New Roman"/>
                <w:sz w:val="20"/>
                <w:szCs w:val="20"/>
              </w:rPr>
            </w:pPr>
            <w:r>
              <w:rPr>
                <w:rFonts w:ascii="Times New Roman" w:hAnsi="Times New Roman"/>
                <w:sz w:val="20"/>
              </w:rPr>
              <w:t>- Enquête auprès des investisseurs</w:t>
            </w:r>
          </w:p>
          <w:p w:rsidR="008D600F" w:rsidRPr="005127E1" w:rsidRDefault="008D600F" w:rsidP="004D00A7">
            <w:pPr>
              <w:ind w:left="180"/>
              <w:rPr>
                <w:rFonts w:ascii="Times New Roman" w:hAnsi="Times New Roman"/>
                <w:sz w:val="20"/>
                <w:szCs w:val="20"/>
              </w:rPr>
            </w:pPr>
            <w:r>
              <w:rPr>
                <w:rFonts w:ascii="Times New Roman" w:hAnsi="Times New Roman"/>
                <w:sz w:val="20"/>
              </w:rPr>
              <w:t>- AT Intégration internationale</w:t>
            </w:r>
          </w:p>
          <w:p w:rsidR="004D00A7" w:rsidRPr="005127E1" w:rsidRDefault="004D00A7" w:rsidP="004E6409">
            <w:pPr>
              <w:spacing w:before="60"/>
              <w:rPr>
                <w:rFonts w:ascii="Times New Roman" w:hAnsi="Times New Roman"/>
                <w:b/>
                <w:sz w:val="20"/>
                <w:szCs w:val="20"/>
              </w:rPr>
            </w:pPr>
            <w:r>
              <w:rPr>
                <w:rFonts w:ascii="Times New Roman" w:hAnsi="Times New Roman"/>
                <w:b/>
                <w:sz w:val="20"/>
              </w:rPr>
              <w:t>OA 3 : Créer un environnement propice aux réformes du marché du travail</w:t>
            </w:r>
          </w:p>
          <w:p w:rsidR="004D00A7" w:rsidRPr="005127E1" w:rsidRDefault="004D00A7" w:rsidP="004D00A7">
            <w:pPr>
              <w:ind w:left="180"/>
              <w:rPr>
                <w:rFonts w:ascii="Times New Roman" w:hAnsi="Times New Roman"/>
                <w:sz w:val="20"/>
                <w:szCs w:val="20"/>
              </w:rPr>
            </w:pPr>
            <w:r>
              <w:rPr>
                <w:rFonts w:ascii="Times New Roman" w:hAnsi="Times New Roman"/>
                <w:sz w:val="20"/>
              </w:rPr>
              <w:t>- Appui au dialogue social</w:t>
            </w:r>
          </w:p>
          <w:p w:rsidR="004D00A7" w:rsidRPr="005127E1" w:rsidRDefault="004D00A7" w:rsidP="004E6409">
            <w:pPr>
              <w:spacing w:before="60"/>
              <w:rPr>
                <w:rFonts w:ascii="Times New Roman" w:hAnsi="Times New Roman"/>
                <w:b/>
                <w:sz w:val="20"/>
                <w:szCs w:val="20"/>
              </w:rPr>
            </w:pPr>
            <w:r>
              <w:rPr>
                <w:rFonts w:ascii="Times New Roman" w:hAnsi="Times New Roman"/>
                <w:b/>
                <w:sz w:val="20"/>
              </w:rPr>
              <w:t>OA 4 : Améliorer les PAE pour les chômeurs</w:t>
            </w:r>
          </w:p>
          <w:p w:rsidR="004D00A7" w:rsidRPr="005127E1" w:rsidRDefault="004D00A7" w:rsidP="004D00A7">
            <w:pPr>
              <w:ind w:left="180"/>
              <w:rPr>
                <w:rFonts w:ascii="Times New Roman" w:hAnsi="Times New Roman"/>
                <w:sz w:val="20"/>
                <w:szCs w:val="20"/>
              </w:rPr>
            </w:pPr>
            <w:r>
              <w:rPr>
                <w:rFonts w:ascii="Times New Roman" w:hAnsi="Times New Roman"/>
                <w:sz w:val="20"/>
              </w:rPr>
              <w:t>- AT Emploi (S&amp;E)</w:t>
            </w:r>
          </w:p>
          <w:p w:rsidR="004D00A7" w:rsidRPr="005127E1" w:rsidRDefault="004D00A7" w:rsidP="004D00A7">
            <w:pPr>
              <w:ind w:left="180"/>
              <w:rPr>
                <w:rFonts w:ascii="Times New Roman" w:hAnsi="Times New Roman"/>
                <w:sz w:val="20"/>
                <w:szCs w:val="20"/>
              </w:rPr>
            </w:pPr>
            <w:r>
              <w:rPr>
                <w:rFonts w:ascii="Times New Roman" w:hAnsi="Times New Roman"/>
                <w:sz w:val="20"/>
              </w:rPr>
              <w:t>- Évaluation des PAE</w:t>
            </w:r>
          </w:p>
          <w:p w:rsidR="002D685C" w:rsidRPr="005127E1" w:rsidRDefault="004D00A7" w:rsidP="003C3715">
            <w:pPr>
              <w:ind w:left="180"/>
              <w:rPr>
                <w:rFonts w:ascii="Times New Roman" w:hAnsi="Times New Roman"/>
                <w:sz w:val="20"/>
                <w:szCs w:val="20"/>
              </w:rPr>
            </w:pPr>
            <w:r>
              <w:rPr>
                <w:rFonts w:ascii="Times New Roman" w:hAnsi="Times New Roman"/>
                <w:sz w:val="20"/>
              </w:rPr>
              <w:t>- E4E (SFI)</w:t>
            </w:r>
          </w:p>
        </w:tc>
        <w:tc>
          <w:tcPr>
            <w:tcW w:w="2970" w:type="dxa"/>
          </w:tcPr>
          <w:p w:rsidR="004D00A7" w:rsidRPr="005127E1" w:rsidRDefault="00314C91" w:rsidP="008D79AC">
            <w:pPr>
              <w:spacing w:before="60"/>
              <w:rPr>
                <w:rFonts w:ascii="Times New Roman" w:hAnsi="Times New Roman"/>
                <w:b/>
                <w:bCs/>
                <w:iCs/>
                <w:sz w:val="20"/>
                <w:szCs w:val="20"/>
              </w:rPr>
            </w:pPr>
            <w:r>
              <w:rPr>
                <w:rFonts w:ascii="Times New Roman" w:hAnsi="Times New Roman"/>
                <w:b/>
                <w:sz w:val="20"/>
              </w:rPr>
              <w:t>OA 5 : Amélioration de l'accès aux services de base dans les communautés mal desservies</w:t>
            </w:r>
          </w:p>
          <w:p w:rsidR="004D00A7" w:rsidRPr="005127E1" w:rsidRDefault="004D00A7" w:rsidP="004D00A7">
            <w:pPr>
              <w:ind w:left="162"/>
              <w:rPr>
                <w:rFonts w:ascii="Times New Roman" w:hAnsi="Times New Roman"/>
                <w:sz w:val="20"/>
                <w:szCs w:val="20"/>
              </w:rPr>
            </w:pPr>
            <w:r>
              <w:rPr>
                <w:rFonts w:ascii="Times New Roman" w:hAnsi="Times New Roman"/>
                <w:b/>
                <w:sz w:val="20"/>
              </w:rPr>
              <w:t>-</w:t>
            </w:r>
            <w:r>
              <w:rPr>
                <w:rFonts w:ascii="Times New Roman" w:hAnsi="Times New Roman"/>
                <w:sz w:val="20"/>
              </w:rPr>
              <w:t xml:space="preserve"> Évaluation périurbaine </w:t>
            </w:r>
          </w:p>
          <w:p w:rsidR="004D00A7" w:rsidRPr="005127E1" w:rsidRDefault="004D00A7" w:rsidP="004D00A7">
            <w:pPr>
              <w:ind w:left="162"/>
              <w:rPr>
                <w:rFonts w:ascii="Times New Roman" w:hAnsi="Times New Roman"/>
                <w:sz w:val="20"/>
                <w:szCs w:val="20"/>
              </w:rPr>
            </w:pPr>
            <w:r>
              <w:rPr>
                <w:rFonts w:ascii="Times New Roman" w:hAnsi="Times New Roman"/>
                <w:sz w:val="20"/>
              </w:rPr>
              <w:t>- Étude sur l'inclusion de la jeunesse</w:t>
            </w:r>
          </w:p>
          <w:p w:rsidR="004D00A7" w:rsidRPr="005127E1" w:rsidRDefault="004D00A7" w:rsidP="004D00A7">
            <w:pPr>
              <w:ind w:left="162"/>
              <w:rPr>
                <w:rFonts w:ascii="Times New Roman" w:hAnsi="Times New Roman"/>
                <w:sz w:val="20"/>
                <w:szCs w:val="20"/>
              </w:rPr>
            </w:pPr>
            <w:r>
              <w:rPr>
                <w:rFonts w:ascii="Times New Roman" w:hAnsi="Times New Roman"/>
                <w:sz w:val="20"/>
              </w:rPr>
              <w:t>- Finances municipales</w:t>
            </w:r>
          </w:p>
          <w:p w:rsidR="004D00A7" w:rsidRPr="005127E1" w:rsidRDefault="004D00A7" w:rsidP="004D00A7">
            <w:pPr>
              <w:ind w:left="162"/>
              <w:rPr>
                <w:rFonts w:ascii="Times New Roman" w:hAnsi="Times New Roman"/>
                <w:sz w:val="20"/>
                <w:szCs w:val="20"/>
              </w:rPr>
            </w:pPr>
            <w:r>
              <w:rPr>
                <w:rFonts w:ascii="Times New Roman" w:hAnsi="Times New Roman"/>
                <w:sz w:val="20"/>
              </w:rPr>
              <w:t>- Décentralisation administrative</w:t>
            </w:r>
          </w:p>
          <w:p w:rsidR="004D00A7" w:rsidRPr="005127E1" w:rsidRDefault="004D00A7" w:rsidP="004D00A7">
            <w:pPr>
              <w:ind w:left="162"/>
              <w:rPr>
                <w:rFonts w:ascii="Times New Roman" w:hAnsi="Times New Roman"/>
                <w:sz w:val="20"/>
                <w:szCs w:val="20"/>
              </w:rPr>
            </w:pPr>
            <w:r>
              <w:rPr>
                <w:rFonts w:ascii="Times New Roman" w:hAnsi="Times New Roman"/>
                <w:sz w:val="20"/>
              </w:rPr>
              <w:t>- Options de développement urbain</w:t>
            </w:r>
          </w:p>
          <w:p w:rsidR="004D00A7" w:rsidRPr="005127E1" w:rsidRDefault="004D00A7" w:rsidP="004D00A7">
            <w:pPr>
              <w:ind w:left="162"/>
              <w:rPr>
                <w:rFonts w:ascii="Times New Roman" w:hAnsi="Times New Roman"/>
                <w:sz w:val="20"/>
                <w:szCs w:val="20"/>
              </w:rPr>
            </w:pPr>
            <w:bookmarkStart w:id="54" w:name="_Hlk320487809"/>
            <w:r>
              <w:rPr>
                <w:rFonts w:ascii="Times New Roman" w:hAnsi="Times New Roman"/>
                <w:sz w:val="20"/>
              </w:rPr>
              <w:t xml:space="preserve">- Conseils sur PPP d'infrastructures (SFI) </w:t>
            </w:r>
          </w:p>
          <w:p w:rsidR="004D00A7" w:rsidRPr="005127E1" w:rsidRDefault="004D00A7" w:rsidP="004D00A7">
            <w:pPr>
              <w:ind w:left="162"/>
              <w:rPr>
                <w:rFonts w:ascii="Times New Roman" w:hAnsi="Times New Roman"/>
                <w:sz w:val="20"/>
                <w:szCs w:val="20"/>
              </w:rPr>
            </w:pPr>
            <w:r>
              <w:rPr>
                <w:rFonts w:ascii="Times New Roman" w:hAnsi="Times New Roman"/>
                <w:sz w:val="20"/>
              </w:rPr>
              <w:t>- Investissements dans les infrastructures et les services sociaux (SFI)</w:t>
            </w:r>
            <w:bookmarkEnd w:id="54"/>
          </w:p>
          <w:p w:rsidR="002D685C" w:rsidRPr="005127E1" w:rsidRDefault="002D685C" w:rsidP="008E59E0">
            <w:pPr>
              <w:rPr>
                <w:rFonts w:ascii="Times New Roman" w:hAnsi="Times New Roman"/>
                <w:sz w:val="20"/>
                <w:szCs w:val="20"/>
              </w:rPr>
            </w:pPr>
          </w:p>
          <w:p w:rsidR="002D685C" w:rsidRPr="005127E1" w:rsidRDefault="002D685C" w:rsidP="008E59E0">
            <w:pPr>
              <w:rPr>
                <w:rFonts w:ascii="Times New Roman" w:hAnsi="Times New Roman"/>
                <w:b/>
                <w:bCs/>
                <w:iCs/>
                <w:sz w:val="20"/>
                <w:szCs w:val="20"/>
              </w:rPr>
            </w:pPr>
            <w:r>
              <w:rPr>
                <w:rFonts w:ascii="Times New Roman" w:hAnsi="Times New Roman"/>
                <w:b/>
                <w:sz w:val="20"/>
              </w:rPr>
              <w:t>OA 6 : Amélioration de l'efficacité des programmes de filets de protection sociale</w:t>
            </w:r>
          </w:p>
          <w:p w:rsidR="00314C91" w:rsidRPr="005127E1" w:rsidRDefault="002D685C" w:rsidP="00314C91">
            <w:pPr>
              <w:spacing w:before="60"/>
              <w:ind w:left="162"/>
              <w:rPr>
                <w:rFonts w:ascii="Times New Roman" w:hAnsi="Times New Roman"/>
                <w:b/>
                <w:iCs/>
                <w:sz w:val="20"/>
                <w:szCs w:val="20"/>
              </w:rPr>
            </w:pPr>
            <w:r>
              <w:rPr>
                <w:rFonts w:ascii="Times New Roman" w:hAnsi="Times New Roman"/>
                <w:sz w:val="20"/>
              </w:rPr>
              <w:t>- AT Gouvernance et secteurs sociaux</w:t>
            </w:r>
          </w:p>
          <w:p w:rsidR="002D685C" w:rsidRPr="005127E1" w:rsidRDefault="00314C91" w:rsidP="00F00A79">
            <w:pPr>
              <w:ind w:left="162"/>
              <w:rPr>
                <w:rFonts w:ascii="Times New Roman" w:hAnsi="Times New Roman"/>
                <w:sz w:val="20"/>
                <w:szCs w:val="20"/>
              </w:rPr>
            </w:pPr>
            <w:r>
              <w:rPr>
                <w:rFonts w:ascii="Times New Roman" w:hAnsi="Times New Roman"/>
                <w:sz w:val="20"/>
              </w:rPr>
              <w:t>- Évaluation programmatique de la pauvreté</w:t>
            </w:r>
          </w:p>
          <w:p w:rsidR="002D685C" w:rsidRPr="005127E1" w:rsidRDefault="002D685C" w:rsidP="00F00A79">
            <w:pPr>
              <w:ind w:left="162"/>
              <w:rPr>
                <w:rFonts w:ascii="Times New Roman" w:hAnsi="Times New Roman"/>
                <w:sz w:val="20"/>
                <w:szCs w:val="20"/>
              </w:rPr>
            </w:pPr>
            <w:r>
              <w:rPr>
                <w:rFonts w:ascii="Times New Roman" w:hAnsi="Times New Roman"/>
                <w:sz w:val="20"/>
              </w:rPr>
              <w:t>- Revue des dépenses publiques</w:t>
            </w:r>
          </w:p>
        </w:tc>
        <w:tc>
          <w:tcPr>
            <w:tcW w:w="2838" w:type="dxa"/>
          </w:tcPr>
          <w:p w:rsidR="00226D15" w:rsidRPr="005127E1" w:rsidRDefault="00331119" w:rsidP="00226D15">
            <w:pPr>
              <w:rPr>
                <w:rFonts w:ascii="Times New Roman" w:hAnsi="Times New Roman"/>
                <w:iCs/>
                <w:sz w:val="20"/>
                <w:szCs w:val="20"/>
              </w:rPr>
            </w:pPr>
            <w:r>
              <w:rPr>
                <w:rFonts w:ascii="Times New Roman" w:hAnsi="Times New Roman"/>
                <w:b/>
                <w:sz w:val="20"/>
              </w:rPr>
              <w:t>OA 7 : Accès à l'information et responsabilité sociale</w:t>
            </w:r>
          </w:p>
          <w:p w:rsidR="00226D15" w:rsidRPr="009C232C" w:rsidRDefault="003566E3" w:rsidP="00226D15">
            <w:pPr>
              <w:spacing w:before="60"/>
              <w:rPr>
                <w:rFonts w:ascii="Times New Roman" w:hAnsi="Times New Roman"/>
                <w:b/>
                <w:iCs/>
                <w:sz w:val="20"/>
                <w:szCs w:val="20"/>
              </w:rPr>
            </w:pPr>
            <w:r>
              <w:rPr>
                <w:rFonts w:ascii="Times New Roman" w:hAnsi="Times New Roman"/>
                <w:sz w:val="20"/>
              </w:rPr>
              <w:t>- AT TIC</w:t>
            </w:r>
            <w:r>
              <w:rPr>
                <w:rFonts w:ascii="Times New Roman" w:hAnsi="Times New Roman"/>
                <w:b/>
                <w:sz w:val="20"/>
              </w:rPr>
              <w:t xml:space="preserve"> </w:t>
            </w:r>
          </w:p>
          <w:p w:rsidR="00226D15" w:rsidRPr="009C232C" w:rsidRDefault="003566E3" w:rsidP="00226D15">
            <w:pPr>
              <w:spacing w:before="60"/>
              <w:rPr>
                <w:rFonts w:ascii="Times New Roman" w:hAnsi="Times New Roman"/>
                <w:b/>
                <w:iCs/>
                <w:sz w:val="20"/>
                <w:szCs w:val="20"/>
              </w:rPr>
            </w:pPr>
            <w:r>
              <w:rPr>
                <w:rFonts w:ascii="Times New Roman" w:hAnsi="Times New Roman"/>
                <w:sz w:val="20"/>
              </w:rPr>
              <w:t>- AT Gouvernance et secteurs sociaux</w:t>
            </w:r>
          </w:p>
          <w:p w:rsidR="00226D15" w:rsidRPr="009C232C" w:rsidRDefault="00226D15" w:rsidP="00226D15">
            <w:pPr>
              <w:spacing w:before="60"/>
              <w:rPr>
                <w:rFonts w:ascii="Times New Roman" w:hAnsi="Times New Roman"/>
                <w:b/>
                <w:iCs/>
                <w:sz w:val="20"/>
                <w:szCs w:val="20"/>
              </w:rPr>
            </w:pPr>
          </w:p>
          <w:p w:rsidR="002D685C" w:rsidRPr="005127E1" w:rsidRDefault="00226D15" w:rsidP="00226D15">
            <w:pPr>
              <w:spacing w:before="60"/>
              <w:rPr>
                <w:rFonts w:ascii="Times New Roman" w:hAnsi="Times New Roman"/>
                <w:b/>
                <w:sz w:val="20"/>
                <w:szCs w:val="20"/>
              </w:rPr>
            </w:pPr>
            <w:r>
              <w:rPr>
                <w:rFonts w:ascii="Times New Roman" w:hAnsi="Times New Roman"/>
                <w:b/>
                <w:sz w:val="20"/>
              </w:rPr>
              <w:t xml:space="preserve">OA 8 : Accroissement de la transparence et redevabilité des institutions </w:t>
            </w:r>
          </w:p>
          <w:p w:rsidR="002D685C" w:rsidRPr="005127E1" w:rsidRDefault="002D685C" w:rsidP="001207C8">
            <w:pPr>
              <w:ind w:left="162"/>
              <w:rPr>
                <w:rFonts w:ascii="Times New Roman" w:hAnsi="Times New Roman"/>
                <w:sz w:val="20"/>
                <w:szCs w:val="20"/>
              </w:rPr>
            </w:pPr>
            <w:r>
              <w:rPr>
                <w:rFonts w:ascii="Times New Roman" w:hAnsi="Times New Roman"/>
                <w:sz w:val="20"/>
              </w:rPr>
              <w:t>- AT Gouvernance et anti-corruption</w:t>
            </w:r>
          </w:p>
          <w:p w:rsidR="002D685C" w:rsidRPr="005127E1" w:rsidRDefault="002D685C" w:rsidP="001207C8">
            <w:pPr>
              <w:ind w:left="162"/>
              <w:rPr>
                <w:rFonts w:ascii="Times New Roman" w:hAnsi="Times New Roman"/>
                <w:sz w:val="20"/>
                <w:szCs w:val="20"/>
              </w:rPr>
            </w:pPr>
            <w:r>
              <w:rPr>
                <w:rFonts w:ascii="Times New Roman" w:hAnsi="Times New Roman"/>
                <w:sz w:val="20"/>
              </w:rPr>
              <w:t>- Mise à jour PEFA</w:t>
            </w:r>
          </w:p>
          <w:p w:rsidR="002D685C" w:rsidRPr="005127E1" w:rsidRDefault="002D685C" w:rsidP="001207C8">
            <w:pPr>
              <w:ind w:left="162"/>
              <w:rPr>
                <w:rFonts w:ascii="Times New Roman" w:hAnsi="Times New Roman"/>
                <w:sz w:val="20"/>
                <w:szCs w:val="20"/>
              </w:rPr>
            </w:pPr>
            <w:r>
              <w:rPr>
                <w:rFonts w:ascii="Times New Roman" w:hAnsi="Times New Roman"/>
                <w:sz w:val="20"/>
              </w:rPr>
              <w:t>- Revue des dépenses publiques</w:t>
            </w:r>
          </w:p>
          <w:p w:rsidR="002D685C" w:rsidRPr="005127E1" w:rsidRDefault="002D685C" w:rsidP="001207C8">
            <w:pPr>
              <w:ind w:left="162"/>
              <w:rPr>
                <w:rFonts w:ascii="Times New Roman" w:hAnsi="Times New Roman"/>
                <w:sz w:val="20"/>
                <w:szCs w:val="20"/>
              </w:rPr>
            </w:pPr>
            <w:r>
              <w:rPr>
                <w:rFonts w:ascii="Times New Roman" w:hAnsi="Times New Roman"/>
                <w:sz w:val="20"/>
              </w:rPr>
              <w:t>- Gouvernance d'entreprise (SFI)</w:t>
            </w:r>
          </w:p>
          <w:p w:rsidR="002D685C" w:rsidRPr="005127E1" w:rsidRDefault="002D685C" w:rsidP="008E59E0">
            <w:pPr>
              <w:rPr>
                <w:rFonts w:ascii="Times New Roman" w:hAnsi="Times New Roman"/>
                <w:sz w:val="20"/>
                <w:szCs w:val="20"/>
              </w:rPr>
            </w:pPr>
          </w:p>
          <w:p w:rsidR="002D685C" w:rsidRPr="005127E1" w:rsidRDefault="002D685C" w:rsidP="001207C8">
            <w:pPr>
              <w:ind w:left="162"/>
              <w:rPr>
                <w:rFonts w:ascii="Times New Roman" w:hAnsi="Times New Roman"/>
                <w:iCs/>
                <w:sz w:val="20"/>
                <w:szCs w:val="20"/>
              </w:rPr>
            </w:pPr>
          </w:p>
        </w:tc>
      </w:tr>
    </w:tbl>
    <w:p w:rsidR="00FD64EB" w:rsidRDefault="00FD64EB" w:rsidP="00C733B3">
      <w:pPr>
        <w:pStyle w:val="Heading2"/>
        <w:spacing w:before="120"/>
        <w:rPr>
          <w:rFonts w:ascii="Times New Roman" w:hAnsi="Times New Roman"/>
          <w:i w:val="0"/>
          <w:sz w:val="23"/>
          <w:szCs w:val="23"/>
        </w:rPr>
      </w:pPr>
    </w:p>
    <w:p w:rsidR="00364891" w:rsidRPr="0018036A" w:rsidRDefault="00364891" w:rsidP="00C733B3">
      <w:pPr>
        <w:pStyle w:val="Heading2"/>
        <w:spacing w:before="120"/>
        <w:rPr>
          <w:rFonts w:ascii="Times New Roman" w:hAnsi="Times New Roman"/>
          <w:i w:val="0"/>
          <w:sz w:val="22"/>
          <w:szCs w:val="22"/>
        </w:rPr>
      </w:pPr>
      <w:bookmarkStart w:id="55" w:name="_Toc327979103"/>
      <w:bookmarkStart w:id="56" w:name="_Toc323821470"/>
      <w:r>
        <w:rPr>
          <w:rFonts w:ascii="Times New Roman" w:hAnsi="Times New Roman"/>
          <w:i w:val="0"/>
          <w:sz w:val="23"/>
        </w:rPr>
        <w:t>E.</w:t>
      </w:r>
      <w:r>
        <w:tab/>
      </w:r>
      <w:r>
        <w:rPr>
          <w:rFonts w:ascii="Times New Roman" w:hAnsi="Times New Roman"/>
          <w:i w:val="0"/>
          <w:sz w:val="22"/>
        </w:rPr>
        <w:t>Coordination et partenariats</w:t>
      </w:r>
      <w:bookmarkEnd w:id="55"/>
      <w:r>
        <w:rPr>
          <w:rFonts w:ascii="Times New Roman" w:hAnsi="Times New Roman"/>
          <w:i w:val="0"/>
          <w:sz w:val="22"/>
        </w:rPr>
        <w:t xml:space="preserve"> </w:t>
      </w:r>
      <w:bookmarkEnd w:id="56"/>
    </w:p>
    <w:p w:rsidR="00364891" w:rsidRPr="0018036A" w:rsidRDefault="00364891" w:rsidP="00364891">
      <w:pPr>
        <w:jc w:val="both"/>
        <w:rPr>
          <w:rFonts w:ascii="Times New Roman" w:hAnsi="Times New Roman"/>
          <w:b/>
          <w:sz w:val="22"/>
          <w:szCs w:val="22"/>
        </w:rPr>
      </w:pPr>
    </w:p>
    <w:p w:rsidR="009560E1" w:rsidRPr="00E4219C" w:rsidRDefault="00364891"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Juste après la révolution de janvier 2011, la Banque a travaillé en collaboration étroite avec le premier Gouvernement intérimaire, la BAD</w:t>
      </w:r>
      <w:r>
        <w:rPr>
          <w:rStyle w:val="FootnoteReference"/>
          <w:rFonts w:ascii="Times New Roman" w:hAnsi="Times New Roman"/>
          <w:b/>
          <w:sz w:val="22"/>
        </w:rPr>
        <w:footnoteReference w:id="21"/>
      </w:r>
      <w:r>
        <w:rPr>
          <w:rFonts w:ascii="Times New Roman" w:hAnsi="Times New Roman"/>
          <w:b/>
          <w:sz w:val="22"/>
        </w:rPr>
        <w:t>, l'UE et l'AFD à l'appui de la Tunisie qui s'engageait alors dans une transition politique</w:t>
      </w:r>
      <w:r>
        <w:rPr>
          <w:rFonts w:ascii="Times New Roman" w:hAnsi="Times New Roman"/>
          <w:sz w:val="22"/>
        </w:rPr>
        <w:t xml:space="preserve">. Sous l'impulsion du Gouvernement intérimaire, un programme de réformes — </w:t>
      </w:r>
      <w:r>
        <w:rPr>
          <w:rFonts w:ascii="Times New Roman" w:hAnsi="Times New Roman"/>
          <w:sz w:val="22"/>
        </w:rPr>
        <w:lastRenderedPageBreak/>
        <w:t>à de multiples égards emblématiques de la révolution — a été conçu affichant une nette rupture avec le passé. Le programme, appuyé par le PPD GO 2011 a innové sur le plan de la rapidité de réponse des bailleurs de fonds, de la nature des réformes, et du volume de financement à décaissement rapide qu'ils ont réuni en faveur de la Tunisie.</w:t>
      </w:r>
      <w:r w:rsidR="006D6057">
        <w:rPr>
          <w:rFonts w:ascii="Times New Roman" w:hAnsi="Times New Roman"/>
          <w:sz w:val="22"/>
        </w:rPr>
        <w:t xml:space="preserve"> </w:t>
      </w:r>
      <w:r>
        <w:rPr>
          <w:rFonts w:ascii="Times New Roman" w:hAnsi="Times New Roman"/>
          <w:sz w:val="22"/>
        </w:rPr>
        <w:t>La Banque et les organismes partenaires ont l'intention de poursuivre une approche similaire pour appuyer les priorités budgétaires du Gouvernement de l'Assemblée constituante en 2012.</w:t>
      </w:r>
    </w:p>
    <w:p w:rsidR="009560E1" w:rsidRPr="00E4219C" w:rsidRDefault="009560E1">
      <w:pPr>
        <w:pStyle w:val="ListParagraph"/>
        <w:autoSpaceDE w:val="0"/>
        <w:autoSpaceDN w:val="0"/>
        <w:adjustRightInd w:val="0"/>
        <w:ind w:left="0"/>
        <w:jc w:val="both"/>
        <w:rPr>
          <w:rFonts w:ascii="Times New Roman" w:hAnsi="Times New Roman"/>
          <w:sz w:val="22"/>
          <w:szCs w:val="22"/>
        </w:rPr>
      </w:pPr>
    </w:p>
    <w:p w:rsidR="009560E1" w:rsidRPr="00E4219C" w:rsidRDefault="003566E3" w:rsidP="00FD6B74">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sz w:val="22"/>
        </w:rPr>
        <w:t>Dans le cadre du Partenariat de Deauville, lancé en 2011 par le G8, les pays du CCG et la Turquie, les pays et les institutions financières internationales (IFI) se sont engagés à prendre des mesures spéciales appuyant la transformation politique et économique dans la région MENA avec une aide financière et technique</w:t>
      </w:r>
      <w:r>
        <w:rPr>
          <w:rStyle w:val="FootnoteReference"/>
          <w:rFonts w:ascii="Times New Roman" w:hAnsi="Times New Roman"/>
          <w:sz w:val="22"/>
        </w:rPr>
        <w:footnoteReference w:id="22"/>
      </w:r>
      <w:r>
        <w:rPr>
          <w:rFonts w:ascii="Times New Roman" w:hAnsi="Times New Roman"/>
          <w:b/>
          <w:sz w:val="22"/>
        </w:rPr>
        <w:t>.</w:t>
      </w:r>
      <w:r>
        <w:rPr>
          <w:rFonts w:ascii="Times New Roman" w:hAnsi="Times New Roman"/>
          <w:sz w:val="22"/>
        </w:rPr>
        <w:t xml:space="preserve"> Dans ce contexte, l'engagement d'appui a porté sur le renforcement du cadre de gouvernance ; l'inclusion économique et sociale ; la création d'emplois ; l'intégration régionale et internationale ; et l'accélération de la croissance pilotée par le secteur privé. La NSI s'ajuste bien à ces éléments fondamentaux. La Tunisie poursuit sa participation active au partenariat de</w:t>
      </w:r>
      <w:r w:rsidR="006D6057">
        <w:rPr>
          <w:rFonts w:ascii="Times New Roman" w:hAnsi="Times New Roman"/>
          <w:sz w:val="22"/>
        </w:rPr>
        <w:t xml:space="preserve"> </w:t>
      </w:r>
      <w:r>
        <w:rPr>
          <w:rFonts w:ascii="Times New Roman" w:hAnsi="Times New Roman"/>
          <w:sz w:val="22"/>
        </w:rPr>
        <w:t>Deauville en vue d'assurer un appui élargi et solide à la transformation du pays.</w:t>
      </w:r>
    </w:p>
    <w:p w:rsidR="00983F1C" w:rsidRPr="00E4219C" w:rsidRDefault="00983F1C" w:rsidP="00983F1C">
      <w:pPr>
        <w:pStyle w:val="ListParagraph"/>
        <w:rPr>
          <w:rFonts w:ascii="Times New Roman" w:eastAsia="Times New Roman" w:hAnsi="Times New Roman"/>
          <w:sz w:val="22"/>
          <w:szCs w:val="22"/>
        </w:rPr>
      </w:pPr>
    </w:p>
    <w:p w:rsidR="00983F1C" w:rsidRPr="00E4219C" w:rsidRDefault="00983F1C" w:rsidP="00BE735C">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sz w:val="22"/>
        </w:rPr>
        <w:t xml:space="preserve">Après la révolution, de nombreuses organisations de développement ont renforcé leur présence en Tunisie ou sont devenues de nouveaux partenaires. </w:t>
      </w:r>
      <w:r>
        <w:rPr>
          <w:rFonts w:ascii="Times New Roman" w:hAnsi="Times New Roman"/>
          <w:sz w:val="22"/>
        </w:rPr>
        <w:t>La Banque islamique de développement (BID) est l'un de ces nouveaux partenaires et a conclu un protocole d'entente couvrant différents domaines potentiels de coopération pour 2012-2014 dans des secteurs tels que les infrastructures de base, l'agriculture, le développement régional, l'enseignement supérieur, l'emploi et le développement du secteur privé. Son appui initial a inclus de nouveaux financements en faveur du développement rural et des chômeurs diplômés de l'université. Des agences des Nations Unies et des organismes humanitaires ont aussi élaboré de nouveaux programmes, en particulier en réponse aux besoins des réfugiés en provenance de la Libye.</w:t>
      </w:r>
      <w:r w:rsidR="006D6057">
        <w:rPr>
          <w:rFonts w:ascii="Times New Roman" w:hAnsi="Times New Roman"/>
          <w:sz w:val="22"/>
        </w:rPr>
        <w:t xml:space="preserve"> </w:t>
      </w:r>
      <w:r>
        <w:rPr>
          <w:rFonts w:ascii="Times New Roman" w:hAnsi="Times New Roman"/>
          <w:sz w:val="22"/>
        </w:rPr>
        <w:t>La Tunisie a également activement cherché à obtenir un appui des pays du Golfe, et le Qatar a ouvert une ligne de crédit de 500 millions de dollars au bénéfice du Gouvernement de l'Assemblée constituante au début de 2012. Après la révolution, les États-Unis ont financé 190 millions de dollars en assistance technique et appui au secteur privé. En février 2012, le Congrès américain a affecté 30 millions de dollars à une garantie de prêt de plusieurs centaines de millions de dollars qui devrait être accordée au milieu de l'année 2012. En outre, la Tunisie est devenue membre de la Banque européenne pour la reconstruction et le développement (BERD) en janvier 2012.</w:t>
      </w:r>
      <w:r w:rsidR="006D6057">
        <w:rPr>
          <w:rFonts w:ascii="Times New Roman" w:hAnsi="Times New Roman"/>
          <w:sz w:val="22"/>
        </w:rPr>
        <w:t xml:space="preserve"> </w:t>
      </w:r>
      <w:r>
        <w:rPr>
          <w:rFonts w:ascii="Times New Roman" w:hAnsi="Times New Roman"/>
          <w:sz w:val="22"/>
        </w:rPr>
        <w:t>La BERD a annoncé que 2,5 milliards d'euros pourraient être mis à la disposition des quatre pays du Partenariat de Deauville, en commençant par un programme d'assistance technique de 10 millions de dollars en Tunisie. Une Plate-forme de coordination des IFI a également été créée en vertu du Partenariat de Deauville</w:t>
      </w:r>
      <w:r>
        <w:rPr>
          <w:rStyle w:val="FootnoteReference"/>
          <w:rFonts w:ascii="Times New Roman" w:hAnsi="Times New Roman"/>
          <w:sz w:val="22"/>
        </w:rPr>
        <w:footnoteReference w:id="23"/>
      </w:r>
      <w:r>
        <w:rPr>
          <w:rFonts w:ascii="Times New Roman" w:hAnsi="Times New Roman"/>
          <w:sz w:val="22"/>
        </w:rPr>
        <w:t xml:space="preserve"> afin d'assurer la coordination et de réduire le risque de chevauchement entre les bailleurs de fonds.</w:t>
      </w:r>
    </w:p>
    <w:p w:rsidR="00983F1C" w:rsidRPr="00E4219C" w:rsidRDefault="00983F1C" w:rsidP="00E4219C">
      <w:pPr>
        <w:pStyle w:val="ListParagraph"/>
        <w:autoSpaceDE w:val="0"/>
        <w:autoSpaceDN w:val="0"/>
        <w:adjustRightInd w:val="0"/>
        <w:ind w:left="0"/>
        <w:jc w:val="both"/>
        <w:rPr>
          <w:rFonts w:ascii="Times New Roman" w:eastAsia="Times New Roman" w:hAnsi="Times New Roman"/>
          <w:sz w:val="22"/>
          <w:szCs w:val="22"/>
        </w:rPr>
      </w:pPr>
    </w:p>
    <w:p w:rsidR="00E4219C" w:rsidRPr="00E4219C" w:rsidRDefault="000D5B27" w:rsidP="00BE735C">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sz w:val="22"/>
        </w:rPr>
        <w:t>Comme le précise la présente NSI, Le Groupe de la Banque mondiale a collaboré étroitement avec de nombreux partenaires traditionnels clés de la Tunisie</w:t>
      </w:r>
      <w:r>
        <w:rPr>
          <w:rFonts w:ascii="Times New Roman" w:hAnsi="Times New Roman"/>
          <w:sz w:val="22"/>
        </w:rPr>
        <w:t>, tels que la BAD, l'AFD et l'UE, avec lesquels la Banque a préparé des travaux d'analyse et des activités d'assistance technique conjoints et des cofinancements.</w:t>
      </w:r>
      <w:r w:rsidR="006D6057">
        <w:rPr>
          <w:rFonts w:ascii="Times New Roman" w:hAnsi="Times New Roman"/>
          <w:sz w:val="22"/>
        </w:rPr>
        <w:t xml:space="preserve"> </w:t>
      </w:r>
      <w:r>
        <w:rPr>
          <w:rFonts w:ascii="Times New Roman" w:hAnsi="Times New Roman"/>
          <w:sz w:val="22"/>
        </w:rPr>
        <w:t>La Banque collabore également avec le FMI, en particulier récemment sur le PESF conjoint.</w:t>
      </w:r>
    </w:p>
    <w:p w:rsidR="00E4219C" w:rsidRPr="00E4219C" w:rsidRDefault="00E4219C" w:rsidP="00E4219C">
      <w:pPr>
        <w:pStyle w:val="ListParagraph"/>
        <w:rPr>
          <w:rFonts w:ascii="Times New Roman" w:hAnsi="Times New Roman"/>
          <w:sz w:val="22"/>
          <w:szCs w:val="22"/>
        </w:rPr>
      </w:pPr>
    </w:p>
    <w:p w:rsidR="006E154D" w:rsidRPr="006E154D" w:rsidRDefault="00364891" w:rsidP="00BE735C">
      <w:pPr>
        <w:pStyle w:val="ListParagraph"/>
        <w:numPr>
          <w:ilvl w:val="0"/>
          <w:numId w:val="44"/>
        </w:numPr>
        <w:ind w:left="0" w:firstLine="0"/>
        <w:jc w:val="both"/>
        <w:rPr>
          <w:rFonts w:ascii="Times New Roman" w:eastAsia="Times New Roman" w:hAnsi="Times New Roman"/>
          <w:sz w:val="22"/>
          <w:szCs w:val="22"/>
        </w:rPr>
      </w:pPr>
      <w:r>
        <w:rPr>
          <w:rFonts w:ascii="Times New Roman" w:hAnsi="Times New Roman"/>
          <w:b/>
          <w:sz w:val="22"/>
        </w:rPr>
        <w:lastRenderedPageBreak/>
        <w:t>Le Groupe de la Banque mondiale renforce les partenariats avec la société civile tunisienne et le secteur privé dans le cadre d'un « dialogue avec de nouvelles parties prenantes »</w:t>
      </w:r>
      <w:r>
        <w:t xml:space="preserve"> </w:t>
      </w:r>
      <w:r>
        <w:rPr>
          <w:rFonts w:ascii="Times New Roman" w:hAnsi="Times New Roman"/>
          <w:sz w:val="22"/>
        </w:rPr>
        <w:t>faisant office de forum de discussion et d'échange de vues entre les communautés et les leaders nationaux sur des questions d'actualité liées à la transition et au développement économique. Le Groupe de la Banque mondiale a engagé des consultations spécifiques pour la préparation de la présente NSI à la fin du mois de janvier 2012 avec des ministres du Gouvernement de l'Assemblée constituante et des représentants du Gouvernement à Tunis et avec le secteur privé, les milieux universitaires, les partenaires de développement et les communautés locales à Tunis, Bizerte, Nabeul et Kélibia (Annexe 2). La Banque a également entrepris une enquête auprès des clients sur la perception de la Banque mondiale en Tunisie qui sera utile pour la préparation d'un CPS complet. Le Groupe de la Banque continuera de travailler en étroite collaboration avec les ministères de l'Investissement et de la coopération internationale, des Finances et du Développement régional et de la planification pour définir des programmes de développement en étroite coordination avec d'autres partenaires du développement.</w:t>
      </w:r>
      <w:r w:rsidR="006D6057">
        <w:rPr>
          <w:rFonts w:ascii="Times New Roman" w:hAnsi="Times New Roman"/>
          <w:sz w:val="22"/>
        </w:rPr>
        <w:t xml:space="preserve"> </w:t>
      </w:r>
      <w:r>
        <w:rPr>
          <w:rFonts w:ascii="Times New Roman" w:hAnsi="Times New Roman"/>
          <w:sz w:val="22"/>
        </w:rPr>
        <w:t xml:space="preserve">La Banque mettra au point une stratégie de communication permettant d'atteindre plus efficacement les nouvelles parties prenantes. </w:t>
      </w:r>
    </w:p>
    <w:p w:rsidR="006E154D" w:rsidRDefault="006E154D">
      <w:pPr>
        <w:rPr>
          <w:rFonts w:ascii="Times New Roman" w:eastAsia="Times New Roman" w:hAnsi="Times New Roman"/>
          <w:sz w:val="22"/>
          <w:szCs w:val="22"/>
        </w:rPr>
      </w:pPr>
      <w:r>
        <w:br w:type="page"/>
      </w:r>
    </w:p>
    <w:p w:rsidR="00364891" w:rsidRPr="0018036A" w:rsidRDefault="00364891" w:rsidP="0059013A">
      <w:pPr>
        <w:pStyle w:val="ListParagraph"/>
        <w:numPr>
          <w:ilvl w:val="0"/>
          <w:numId w:val="5"/>
        </w:numPr>
        <w:jc w:val="both"/>
        <w:outlineLvl w:val="1"/>
        <w:rPr>
          <w:rFonts w:ascii="Times New Roman" w:hAnsi="Times New Roman"/>
          <w:b/>
          <w:sz w:val="22"/>
          <w:szCs w:val="22"/>
        </w:rPr>
      </w:pPr>
      <w:bookmarkStart w:id="57" w:name="_Toc323821471"/>
      <w:bookmarkStart w:id="58" w:name="_Toc327979104"/>
      <w:r w:rsidRPr="00B959D3">
        <w:rPr>
          <w:rFonts w:ascii="Times New Roman" w:eastAsiaTheme="majorEastAsia" w:hAnsi="Times New Roman"/>
          <w:b/>
          <w:bCs/>
          <w:iCs/>
          <w:sz w:val="22"/>
          <w:szCs w:val="28"/>
        </w:rPr>
        <w:lastRenderedPageBreak/>
        <w:t>Suivi</w:t>
      </w:r>
      <w:r>
        <w:rPr>
          <w:rFonts w:ascii="Times New Roman" w:hAnsi="Times New Roman"/>
          <w:b/>
          <w:sz w:val="22"/>
        </w:rPr>
        <w:t xml:space="preserve"> et évaluation de l'appui de la Banque</w:t>
      </w:r>
      <w:bookmarkEnd w:id="57"/>
      <w:bookmarkEnd w:id="58"/>
    </w:p>
    <w:p w:rsidR="00364891" w:rsidRPr="0018036A" w:rsidRDefault="00364891" w:rsidP="00364891">
      <w:pPr>
        <w:ind w:left="360"/>
        <w:jc w:val="both"/>
        <w:rPr>
          <w:rFonts w:ascii="Times New Roman" w:hAnsi="Times New Roman"/>
          <w:b/>
          <w:sz w:val="22"/>
          <w:szCs w:val="22"/>
        </w:rPr>
      </w:pPr>
    </w:p>
    <w:p w:rsidR="00CE1543" w:rsidRDefault="00364891" w:rsidP="00CE1543">
      <w:pPr>
        <w:pStyle w:val="ListParagraph"/>
        <w:numPr>
          <w:ilvl w:val="0"/>
          <w:numId w:val="44"/>
        </w:numPr>
        <w:ind w:left="0" w:firstLine="0"/>
        <w:jc w:val="both"/>
        <w:rPr>
          <w:rFonts w:ascii="Times New Roman" w:hAnsi="Times New Roman"/>
          <w:color w:val="000000"/>
          <w:sz w:val="22"/>
        </w:rPr>
      </w:pPr>
      <w:r>
        <w:rPr>
          <w:rFonts w:ascii="Times New Roman" w:hAnsi="Times New Roman"/>
          <w:b/>
          <w:sz w:val="22"/>
        </w:rPr>
        <w:t>La performance de la Banque sera mesurée en fonction de sa contribution aux priorités du Gouvernement</w:t>
      </w:r>
      <w:r w:rsidR="006D6057">
        <w:rPr>
          <w:rFonts w:ascii="Times New Roman" w:hAnsi="Times New Roman"/>
          <w:b/>
          <w:sz w:val="22"/>
        </w:rPr>
        <w:t xml:space="preserve"> </w:t>
      </w:r>
      <w:r>
        <w:rPr>
          <w:rFonts w:ascii="Times New Roman" w:hAnsi="Times New Roman"/>
          <w:b/>
          <w:sz w:val="22"/>
        </w:rPr>
        <w:t xml:space="preserve">de l'Assemblée constituante telles que proposées dans la présente NSI. </w:t>
      </w:r>
      <w:r>
        <w:rPr>
          <w:rFonts w:ascii="Times New Roman" w:hAnsi="Times New Roman"/>
          <w:sz w:val="22"/>
        </w:rPr>
        <w:t>L'Annexe 1 présente un cadre de résultats qui correspond aux résultats attendus des objectifs d'action dans chacun des trois Domaines d'engagement de la NSI. Les produits et les indicateurs correspondants ont été tirés directement du programme nouveau et en cours pour montrer le lien avec les activités de prêt et d'AAA. N'ont été intégrés dans ce cadre de résultats que les seules activités de prêt et hors-prêt du Groupe de la Banque mondiale et les résultats et indicateurs correspondants s'appliquant aux Domaines d'engagement de la NSI et à ses Objectifs d'action. À cet égard, les activités clôturées avant la fin de la période couverte par la NSI et les activités entreprises au cours de la NSI qui donneront des résultats après l'Ex. 2013 ne sont pas non plus incluses dans le cadre de résultats</w:t>
      </w:r>
      <w:r>
        <w:rPr>
          <w:rStyle w:val="FootnoteReference"/>
          <w:rFonts w:ascii="Times New Roman" w:hAnsi="Times New Roman"/>
          <w:sz w:val="22"/>
        </w:rPr>
        <w:footnoteReference w:id="24"/>
      </w:r>
      <w:r>
        <w:rPr>
          <w:rFonts w:ascii="Times New Roman" w:hAnsi="Times New Roman"/>
          <w:sz w:val="22"/>
        </w:rPr>
        <w:t xml:space="preserve">. Les résultats et les indicateurs sont basés sur les documents de programme et de projet (Document d’évaluation de projet ; Rapports sur l'état de la mise en œuvre et sur l'évaluation des résultats) sauf indication contraire dans le Cadre de résultats. Les Rapports sur la supervision de l'exécution et les Rapport de fin d’exécution (RFE) et Rapport d’évaluation des résultats continueront à être des outils importants de suivi et d'évaluation (S&amp;E) pour le suivi des résultats du programme. </w:t>
      </w:r>
      <w:r>
        <w:rPr>
          <w:rFonts w:ascii="Times New Roman" w:hAnsi="Times New Roman"/>
          <w:color w:val="000000"/>
          <w:sz w:val="22"/>
        </w:rPr>
        <w:t>La Banque réalisera en liaison avec ses contreparties tunisiennes des Revues des performances du portefeuille-pays (CPPR) pour évaluer les résultats des programmes. Une CPPR passera en revue le portefeuille en cours au début de la période couverte par la NSI, notamment des activités de prêts et des fonds fiduciaires, en visant à identifier les changements de priorités ou les besoins de restructuration des projets en cours. En ce qui concerne les fonds fiduciaires et les dons, tous les dons du SPF et du JSDF approuvés au lendemain de la révolution appuient des objectifs de création d'emplois et de prestations de services et la direction de la Banque travaillera en étroite collaboration avec les autorités pour appuyer leur mise en œuvre. À l'avenir, les nouveaux fonds fiduciaires devront être clairement associés aux opérations de la BIRD.</w:t>
      </w:r>
    </w:p>
    <w:p w:rsidR="00C43BE5" w:rsidRDefault="00C43BE5">
      <w:pPr>
        <w:pStyle w:val="ListParagraph"/>
        <w:ind w:left="0"/>
        <w:jc w:val="both"/>
        <w:rPr>
          <w:rFonts w:ascii="Times New Roman" w:hAnsi="Times New Roman"/>
          <w:color w:val="000000"/>
          <w:sz w:val="22"/>
        </w:rPr>
      </w:pPr>
    </w:p>
    <w:p w:rsidR="00D86DCE" w:rsidRPr="005B21C0" w:rsidRDefault="00364891" w:rsidP="00BE735C">
      <w:pPr>
        <w:pStyle w:val="ListParagraph"/>
        <w:numPr>
          <w:ilvl w:val="0"/>
          <w:numId w:val="44"/>
        </w:numPr>
        <w:ind w:left="0" w:firstLine="0"/>
        <w:jc w:val="both"/>
        <w:rPr>
          <w:rFonts w:ascii="Times New Roman" w:hAnsi="Times New Roman"/>
          <w:sz w:val="22"/>
          <w:szCs w:val="22"/>
        </w:rPr>
      </w:pPr>
      <w:r>
        <w:rPr>
          <w:rFonts w:ascii="Times New Roman" w:hAnsi="Times New Roman"/>
          <w:b/>
          <w:sz w:val="22"/>
        </w:rPr>
        <w:t>La Banque élaborera un Rapport d'achèvement du CPS (RA CPS) au cours de l'exercice 2015 qui rendra compte des performances et résultats à la fois du CPS Ex. 10-13 et de la présente NSI</w:t>
      </w:r>
      <w:r>
        <w:rPr>
          <w:rFonts w:ascii="Times New Roman" w:hAnsi="Times New Roman"/>
          <w:sz w:val="22"/>
        </w:rPr>
        <w:t>.</w:t>
      </w:r>
      <w:r w:rsidR="006D6057">
        <w:rPr>
          <w:rFonts w:ascii="Times New Roman" w:hAnsi="Times New Roman"/>
          <w:sz w:val="22"/>
        </w:rPr>
        <w:t xml:space="preserve"> </w:t>
      </w:r>
      <w:r>
        <w:rPr>
          <w:rFonts w:ascii="Times New Roman" w:hAnsi="Times New Roman"/>
          <w:sz w:val="22"/>
        </w:rPr>
        <w:t xml:space="preserve">Le RA CPS contribuera à la préparation du CPS complet qui sera préparé en collaboration avec le nouveau Gouvernement désigné à la suite des élections de 2013/2014. Compte tenu du changement significatif dans les objectifs stratégiques et cadres de résultats du CPS à la NSI, le RA CPS va utiliser chacun des cadres de résultats du CPS et de la NSI pour évaluer la performance du Groupe de la Banque mondiale. </w:t>
      </w:r>
    </w:p>
    <w:p w:rsidR="00C43BE5" w:rsidRPr="00A00D74" w:rsidRDefault="00D86DCE" w:rsidP="00A00D74">
      <w:pPr>
        <w:pStyle w:val="Heading1"/>
        <w:numPr>
          <w:ilvl w:val="0"/>
          <w:numId w:val="41"/>
        </w:numPr>
        <w:rPr>
          <w:rFonts w:ascii="Times New Roman" w:hAnsi="Times New Roman"/>
          <w:sz w:val="22"/>
        </w:rPr>
      </w:pPr>
      <w:bookmarkStart w:id="59" w:name="_Toc323821472"/>
      <w:bookmarkStart w:id="60" w:name="_Toc327979105"/>
      <w:r>
        <w:rPr>
          <w:rFonts w:ascii="Times New Roman" w:hAnsi="Times New Roman"/>
          <w:sz w:val="22"/>
        </w:rPr>
        <w:t>RISQUES ET MESURES D'ATTÉNUATION DES RISQUES</w:t>
      </w:r>
      <w:bookmarkEnd w:id="59"/>
      <w:bookmarkEnd w:id="60"/>
    </w:p>
    <w:p w:rsidR="00130FFC" w:rsidRPr="00FD6B74" w:rsidRDefault="00130FFC" w:rsidP="00130FFC">
      <w:pPr>
        <w:ind w:left="90"/>
        <w:jc w:val="both"/>
        <w:rPr>
          <w:rFonts w:ascii="Times New Roman" w:hAnsi="Times New Roman"/>
          <w:sz w:val="22"/>
        </w:rPr>
      </w:pPr>
    </w:p>
    <w:p w:rsidR="00364891" w:rsidRPr="00FD6B74" w:rsidRDefault="001101D7" w:rsidP="00D0248B">
      <w:pPr>
        <w:pStyle w:val="ListParagraph"/>
        <w:numPr>
          <w:ilvl w:val="0"/>
          <w:numId w:val="44"/>
        </w:numPr>
        <w:ind w:left="0" w:firstLine="0"/>
        <w:jc w:val="both"/>
        <w:rPr>
          <w:rFonts w:ascii="Times New Roman" w:hAnsi="Times New Roman"/>
          <w:sz w:val="22"/>
          <w:szCs w:val="22"/>
        </w:rPr>
      </w:pPr>
      <w:r>
        <w:rPr>
          <w:rFonts w:ascii="Times New Roman" w:hAnsi="Times New Roman"/>
          <w:sz w:val="22"/>
        </w:rPr>
        <w:t>Les risques liés à la réalisation des objectifs de la NSI et les mesures d'atténuation comprennent :</w:t>
      </w:r>
    </w:p>
    <w:p w:rsidR="00364891" w:rsidRPr="00FD6B74" w:rsidRDefault="00364891" w:rsidP="00364891">
      <w:pPr>
        <w:jc w:val="both"/>
        <w:rPr>
          <w:rFonts w:ascii="Times New Roman" w:hAnsi="Times New Roman"/>
          <w:sz w:val="22"/>
          <w:szCs w:val="22"/>
        </w:rPr>
      </w:pPr>
    </w:p>
    <w:p w:rsidR="00364891" w:rsidRPr="0018036A" w:rsidRDefault="009B4596" w:rsidP="00BE735C">
      <w:pPr>
        <w:pStyle w:val="ListParagraph"/>
        <w:numPr>
          <w:ilvl w:val="0"/>
          <w:numId w:val="44"/>
        </w:numPr>
        <w:ind w:left="0" w:firstLine="0"/>
        <w:jc w:val="both"/>
        <w:rPr>
          <w:rFonts w:ascii="Times New Roman" w:hAnsi="Times New Roman"/>
          <w:sz w:val="22"/>
          <w:szCs w:val="22"/>
        </w:rPr>
      </w:pPr>
      <w:r>
        <w:rPr>
          <w:rFonts w:ascii="Times New Roman" w:hAnsi="Times New Roman"/>
          <w:b/>
          <w:i/>
          <w:sz w:val="22"/>
        </w:rPr>
        <w:t>Tensions sociales et incertitude politique</w:t>
      </w:r>
      <w:r>
        <w:rPr>
          <w:rFonts w:ascii="Times New Roman" w:hAnsi="Times New Roman"/>
          <w:i/>
          <w:sz w:val="22"/>
        </w:rPr>
        <w:t> :</w:t>
      </w:r>
      <w:r w:rsidR="006D6057">
        <w:rPr>
          <w:rFonts w:ascii="Times New Roman" w:hAnsi="Times New Roman"/>
          <w:i/>
          <w:sz w:val="22"/>
        </w:rPr>
        <w:t xml:space="preserve"> </w:t>
      </w:r>
      <w:r>
        <w:rPr>
          <w:rFonts w:ascii="Times New Roman" w:hAnsi="Times New Roman"/>
          <w:sz w:val="22"/>
        </w:rPr>
        <w:t>Alors que le succès des élections d'octobre et l'arrivée au pouvoir d'une coalition gouvernementale islamiste/centre-gauche modérée avait apporté une certaine stabilité à la Tunisie, le nouveau Gouvernement a été confronté à des tensions sociales croissantes au début de 2012. D'une part, l'activisme croissant de salafistes appelant à l'instauration de la loi islamique et les affrontements avec les partisans de laïcité, et, d'autre part, une vague de grèves et de sit-in, ont continué à perturber l'activité dans certains secteurs clés. Même si les manifestations et les grèves ont diminué depuis février, il est à craindre qu'elles ne se reproduisent et s'intensifient à moins qu'il ne se produise des améliorations visibles de la situation économique.</w:t>
      </w:r>
      <w:r>
        <w:rPr>
          <w:rFonts w:ascii="Times New Roman" w:hAnsi="Times New Roman"/>
          <w:color w:val="000000"/>
          <w:sz w:val="22"/>
        </w:rPr>
        <w:t xml:space="preserve"> Dans ce cas, ceci pourrait empêcher le Gouvernement de gouverner efficacement et retarder davantage le retour des investisseurs en Tunisie. L'adoption et la mise en œuvre du programme et de la loi de finances 2012 du Gouvernement</w:t>
      </w:r>
      <w:r w:rsidR="006D6057">
        <w:rPr>
          <w:rFonts w:ascii="Times New Roman" w:hAnsi="Times New Roman"/>
          <w:color w:val="000000"/>
          <w:sz w:val="22"/>
        </w:rPr>
        <w:t xml:space="preserve"> </w:t>
      </w:r>
      <w:r>
        <w:rPr>
          <w:rFonts w:ascii="Times New Roman" w:hAnsi="Times New Roman"/>
          <w:color w:val="000000"/>
          <w:sz w:val="22"/>
        </w:rPr>
        <w:t xml:space="preserve">en avril 2012 devraient fournir certaines assurances sur les priorités du </w:t>
      </w:r>
      <w:r>
        <w:rPr>
          <w:rFonts w:ascii="Times New Roman" w:hAnsi="Times New Roman"/>
          <w:color w:val="000000"/>
          <w:sz w:val="22"/>
        </w:rPr>
        <w:lastRenderedPageBreak/>
        <w:t xml:space="preserve">Gouvernement, notamment quant à la réponse aux besoins des régions accusant du retard et à la demande de programmes sociaux. La Banque reconnaît qu'il y a encore des intérêts particuliers qui s'opposeront à certaines réformes en matière de gouvernance. </w:t>
      </w:r>
      <w:r>
        <w:rPr>
          <w:rFonts w:ascii="Times New Roman" w:hAnsi="Times New Roman"/>
          <w:sz w:val="22"/>
        </w:rPr>
        <w:t>La Banque apporte un appui au dialogue social entre le Gouvernement, les syndicats et les employeurs pour soutenir les efforts visant à parvenir à un consensus sur les réformes nécessaires. La patience et la compréhension de la communauté internationale, avec l'appui financier et politique des institutions financières internationales, peuvent en outre aider à atténuer ces risques.</w:t>
      </w:r>
    </w:p>
    <w:p w:rsidR="00364891" w:rsidRPr="0018036A" w:rsidRDefault="00364891" w:rsidP="00AE57F5">
      <w:pPr>
        <w:jc w:val="both"/>
        <w:rPr>
          <w:rFonts w:ascii="Times New Roman" w:hAnsi="Times New Roman"/>
          <w:sz w:val="22"/>
          <w:szCs w:val="22"/>
        </w:rPr>
      </w:pPr>
    </w:p>
    <w:p w:rsidR="00364891" w:rsidRPr="0080747E" w:rsidRDefault="00FC64C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i/>
          <w:sz w:val="22"/>
        </w:rPr>
        <w:t>Retard de la reprise économique et risques pour la stabilité macroéconomique et la viabilité budgétaire</w:t>
      </w:r>
      <w:r>
        <w:rPr>
          <w:rFonts w:ascii="Times New Roman" w:hAnsi="Times New Roman"/>
          <w:b/>
          <w:sz w:val="22"/>
        </w:rPr>
        <w:t xml:space="preserve"> :</w:t>
      </w:r>
      <w:r w:rsidR="006D6057">
        <w:rPr>
          <w:rFonts w:ascii="Times New Roman" w:hAnsi="Times New Roman"/>
          <w:b/>
          <w:sz w:val="22"/>
        </w:rPr>
        <w:t xml:space="preserve"> </w:t>
      </w:r>
      <w:r>
        <w:rPr>
          <w:rFonts w:ascii="Times New Roman" w:hAnsi="Times New Roman"/>
          <w:sz w:val="22"/>
        </w:rPr>
        <w:t>La situation économique en 2012 devrait rester difficile, avec une croissance du PIB encore modérément positive, principalement liée aux troubles sociaux post-révolution et aux tensions et problèmes externes échappant au contrôle du Gouvernement tels que la récession en Europe et la difficile transition en Libye.</w:t>
      </w:r>
      <w:r w:rsidR="006D6057">
        <w:rPr>
          <w:rFonts w:ascii="Times New Roman" w:hAnsi="Times New Roman"/>
          <w:sz w:val="22"/>
        </w:rPr>
        <w:t xml:space="preserve"> </w:t>
      </w:r>
      <w:r>
        <w:rPr>
          <w:rFonts w:ascii="Times New Roman" w:hAnsi="Times New Roman"/>
          <w:sz w:val="22"/>
        </w:rPr>
        <w:t>Ces facteurs ont ralenti la reprise économique, et, avec une prévision de hausse des prix du pétrole et des denrées alimentaires, ils susciteront de nouveaux défis en termes de discipline budgétaire et de stabilité macroéconomique.</w:t>
      </w:r>
      <w:r w:rsidR="006D6057">
        <w:rPr>
          <w:rFonts w:ascii="Times New Roman" w:hAnsi="Times New Roman"/>
          <w:sz w:val="22"/>
        </w:rPr>
        <w:t xml:space="preserve"> </w:t>
      </w:r>
      <w:r>
        <w:rPr>
          <w:rFonts w:ascii="Times New Roman" w:hAnsi="Times New Roman"/>
          <w:sz w:val="22"/>
        </w:rPr>
        <w:t>Les incertitudes de la conjoncture économique à court terme en Tunisie continueront d'affecter défavorablement la confiance des investisseurs.</w:t>
      </w:r>
      <w:r w:rsidR="006D6057">
        <w:rPr>
          <w:rFonts w:ascii="Times New Roman" w:hAnsi="Times New Roman"/>
          <w:sz w:val="22"/>
        </w:rPr>
        <w:t xml:space="preserve"> </w:t>
      </w:r>
      <w:r>
        <w:rPr>
          <w:rFonts w:ascii="Times New Roman" w:hAnsi="Times New Roman"/>
          <w:sz w:val="22"/>
        </w:rPr>
        <w:t>Les autorités devront aussi prendre en compte le fait que l'année 2013 sera une année électorale, ce qui aura des incidences sur le budget et le rythme des réformes au cours de cette année. Le programme de la Banque mondiale défini par la présente NSI vise à aider le Gouvernement à atténuer ces risques, notamment par un appui à la conception d'un programme de réforme qui aide à répondre aux besoins immédiats de la Tunisie tout en garantissant la stabilité macroéconomique et en préparant le terrain pour une relance durable pilotée par le secteur privé. Cet objectif s'appuiera sur des financements à décaissement rapide du programme 2012 du Gouvernement et sur une mobilisation d'appuis budgétaires. Le programme de la SFI sera également conçu pour appuyer la reprise économique et rétablir la confiance des investisseurs et pourra être ajusté en fonction de l'évolution des conditions du marché.</w:t>
      </w:r>
    </w:p>
    <w:p w:rsidR="00364891" w:rsidRPr="0080747E" w:rsidRDefault="00364891" w:rsidP="00AE57F5">
      <w:pPr>
        <w:jc w:val="both"/>
        <w:rPr>
          <w:rFonts w:ascii="Times New Roman" w:hAnsi="Times New Roman"/>
          <w:sz w:val="22"/>
          <w:szCs w:val="22"/>
        </w:rPr>
      </w:pPr>
    </w:p>
    <w:p w:rsidR="00364891" w:rsidRPr="0018036A" w:rsidRDefault="00FC64CF" w:rsidP="00BE735C">
      <w:pPr>
        <w:pStyle w:val="ListParagraph"/>
        <w:numPr>
          <w:ilvl w:val="0"/>
          <w:numId w:val="44"/>
        </w:numPr>
        <w:ind w:left="0" w:firstLine="0"/>
        <w:jc w:val="both"/>
        <w:rPr>
          <w:rFonts w:ascii="Times New Roman" w:hAnsi="Times New Roman"/>
          <w:sz w:val="22"/>
          <w:szCs w:val="22"/>
        </w:rPr>
      </w:pPr>
      <w:r>
        <w:rPr>
          <w:rFonts w:ascii="Times New Roman" w:hAnsi="Times New Roman"/>
          <w:b/>
          <w:i/>
          <w:sz w:val="22"/>
        </w:rPr>
        <w:t>Instabilité du secteur financier :</w:t>
      </w:r>
      <w:r>
        <w:rPr>
          <w:rFonts w:ascii="Times New Roman" w:hAnsi="Times New Roman"/>
          <w:sz w:val="22"/>
        </w:rPr>
        <w:t xml:space="preserve"> Malgré les efforts déployés récemment pour réduire les prêts improductifs et renforcer la supervision bancaire, la faiblesse du secteur financier pourrait avoir un impact sur la reprise économique.</w:t>
      </w:r>
      <w:r w:rsidR="006D6057">
        <w:rPr>
          <w:rFonts w:ascii="Times New Roman" w:hAnsi="Times New Roman"/>
          <w:sz w:val="22"/>
        </w:rPr>
        <w:t xml:space="preserve"> </w:t>
      </w:r>
      <w:r>
        <w:rPr>
          <w:rFonts w:ascii="Times New Roman" w:hAnsi="Times New Roman"/>
          <w:sz w:val="22"/>
        </w:rPr>
        <w:t xml:space="preserve">La récession européenne et le ralentissement significatif dans le secteur du tourisme ont accentué la baisse de la qualité — déjà médiocre — des actifs des banques commerciales. Le PESF réalisé conjointement avec le FMI a identifié un programme de réformes pouvant améliorer les capacités du secteur financier et renforcer sa résilience face aux chocs économiques. Au stade actuel, le risque pour le secteur financier résulterait de l'inaction des autorités. La Banque et le Gouvernement ont discuté du soutien à ces réformes dans le cadre d'un projet de PPD Ex. 13 et de prêts d'investissement. </w:t>
      </w:r>
    </w:p>
    <w:p w:rsidR="00AD2423" w:rsidRPr="0018036A" w:rsidRDefault="00AD2423" w:rsidP="00AD2423">
      <w:pPr>
        <w:pStyle w:val="ListParagraph"/>
        <w:rPr>
          <w:rFonts w:ascii="Times New Roman" w:hAnsi="Times New Roman"/>
          <w:sz w:val="22"/>
          <w:szCs w:val="22"/>
        </w:rPr>
      </w:pPr>
    </w:p>
    <w:p w:rsidR="00AD2423" w:rsidRPr="0018036A" w:rsidRDefault="00AD2423" w:rsidP="00BE735C">
      <w:pPr>
        <w:pStyle w:val="ListParagraph"/>
        <w:numPr>
          <w:ilvl w:val="0"/>
          <w:numId w:val="44"/>
        </w:numPr>
        <w:ind w:left="0" w:firstLine="0"/>
        <w:jc w:val="both"/>
        <w:rPr>
          <w:rFonts w:ascii="Times New Roman" w:hAnsi="Times New Roman"/>
          <w:sz w:val="22"/>
          <w:szCs w:val="22"/>
        </w:rPr>
      </w:pPr>
      <w:r>
        <w:rPr>
          <w:rFonts w:ascii="Times New Roman" w:hAnsi="Times New Roman"/>
          <w:b/>
          <w:i/>
          <w:sz w:val="22"/>
        </w:rPr>
        <w:t>Appropriation par le Gouvernement :</w:t>
      </w:r>
      <w:r w:rsidR="006D6057">
        <w:rPr>
          <w:rFonts w:ascii="Times New Roman" w:hAnsi="Times New Roman"/>
          <w:sz w:val="22"/>
        </w:rPr>
        <w:t xml:space="preserve"> </w:t>
      </w:r>
      <w:r>
        <w:rPr>
          <w:rFonts w:ascii="Times New Roman" w:hAnsi="Times New Roman"/>
          <w:sz w:val="22"/>
        </w:rPr>
        <w:t>Les objectifs de la NSI correspondent à un grand nombre des aspirations qui ont conduit à la révolution et sont cohérentes avec celles du Gouvernement de l'Assemblée constituante. Cela dit, le risque existe de voir le Gouvernement ne pas faire avancer des réformes difficiles si elles s'avèrent trop impopulaires ou si elles suscitent de nouvelles perturbations sociales, d'autant plus que le mandat du Gouvernement est de courte durée. Les attentes de la Banque devront être réalistes sur ce qui peut être réalisé au cours de la transition grâce à un dialogue ouvert avec le Gouvernement, la société civile et d'autres partenaires.</w:t>
      </w:r>
    </w:p>
    <w:p w:rsidR="00364891" w:rsidRPr="0018036A" w:rsidRDefault="00364891" w:rsidP="00AE57F5">
      <w:pPr>
        <w:jc w:val="both"/>
        <w:rPr>
          <w:rFonts w:ascii="Times New Roman" w:hAnsi="Times New Roman"/>
          <w:sz w:val="22"/>
          <w:szCs w:val="22"/>
        </w:rPr>
      </w:pPr>
    </w:p>
    <w:p w:rsidR="001E28CA" w:rsidRPr="0018036A" w:rsidRDefault="00364891" w:rsidP="00BE735C">
      <w:pPr>
        <w:pStyle w:val="ListParagraph"/>
        <w:numPr>
          <w:ilvl w:val="0"/>
          <w:numId w:val="44"/>
        </w:numPr>
        <w:ind w:left="0" w:firstLine="0"/>
        <w:jc w:val="both"/>
        <w:rPr>
          <w:rFonts w:ascii="Times New Roman" w:hAnsi="Times New Roman"/>
          <w:sz w:val="22"/>
          <w:szCs w:val="22"/>
        </w:rPr>
      </w:pPr>
      <w:r>
        <w:rPr>
          <w:rFonts w:ascii="Times New Roman" w:hAnsi="Times New Roman"/>
          <w:b/>
          <w:i/>
          <w:sz w:val="22"/>
        </w:rPr>
        <w:t>Limites institutionnelles et de capacité de mise en œuvre :</w:t>
      </w:r>
      <w:r>
        <w:rPr>
          <w:rFonts w:ascii="Times New Roman" w:hAnsi="Times New Roman"/>
          <w:i/>
          <w:sz w:val="22"/>
        </w:rPr>
        <w:t xml:space="preserve"> </w:t>
      </w:r>
      <w:r>
        <w:rPr>
          <w:rFonts w:ascii="Times New Roman" w:hAnsi="Times New Roman"/>
          <w:sz w:val="22"/>
        </w:rPr>
        <w:t>Alors que la Tunisie cherche à adopter un nouveau contrat social et à établir de nouvelles méthodes de travail, en introduisant par exemple des modèles de responsabilité sociale et en élargissant l'éventail d'acteurs impliqués au niveau local, le Groupe de la Banque mondiale devra s'assurer que les opérations anticipent convenablement le besoin de renforcer les capacités institutionnelles et de mise en œuvre tout en ayant des objectifs réalistes quant à ce qui peut être réalisé dans un temps limité. Les Tunisiens sont impatients de voir les choses changer et s'améliorer plus rapidement, mais les limites de capacité peuvent créer des risques pour la transition et la crédibilité du Groupe de la Banque mondiale. Le Groupe de la Banque mondiale continuera à identifier les opportunités d'appui rapide au renforcement des capacités et d'intensification des AT et des appuis à la mise en œuvre, en fonction des besoins, pour aider les réformes et les projets d'investissement.</w:t>
      </w:r>
    </w:p>
    <w:p w:rsidR="003A5FBC" w:rsidRDefault="003A5FBC" w:rsidP="001E28CA">
      <w:pPr>
        <w:autoSpaceDE w:val="0"/>
        <w:autoSpaceDN w:val="0"/>
        <w:adjustRightInd w:val="0"/>
        <w:jc w:val="both"/>
        <w:rPr>
          <w:rFonts w:ascii="Times New Roman" w:hAnsi="Times New Roman"/>
          <w:sz w:val="23"/>
          <w:szCs w:val="23"/>
        </w:rPr>
        <w:sectPr w:rsidR="003A5FBC" w:rsidSect="007D394A">
          <w:pgSz w:w="12240" w:h="15840" w:code="1"/>
          <w:pgMar w:top="1440" w:right="1224" w:bottom="1440" w:left="1224" w:header="720" w:footer="720" w:gutter="0"/>
          <w:pgNumType w:start="1"/>
          <w:cols w:space="720"/>
          <w:docGrid w:linePitch="360"/>
        </w:sectPr>
      </w:pPr>
    </w:p>
    <w:p w:rsidR="003A5FBC" w:rsidRDefault="00261598" w:rsidP="00D43382">
      <w:pPr>
        <w:pStyle w:val="Caption"/>
        <w:rPr>
          <w:noProof/>
        </w:rPr>
      </w:pPr>
      <w:bookmarkStart w:id="61" w:name="_Toc320651706"/>
      <w:bookmarkStart w:id="62" w:name="_Toc327979050"/>
      <w:r>
        <w:lastRenderedPageBreak/>
        <w:t xml:space="preserve">Annexe </w:t>
      </w:r>
      <w:fldSimple w:instr=" SEQ Annex \* ARABIC ">
        <w:r w:rsidR="002D5CED">
          <w:rPr>
            <w:noProof/>
          </w:rPr>
          <w:t>1</w:t>
        </w:r>
      </w:fldSimple>
      <w:r>
        <w:t>. Note de stratégie intérimaire — Cadre de résultats</w:t>
      </w:r>
      <w:bookmarkEnd w:id="61"/>
      <w:bookmarkEnd w:id="62"/>
    </w:p>
    <w:tbl>
      <w:tblPr>
        <w:tblStyle w:val="TableGrid"/>
        <w:tblpPr w:leftFromText="180" w:rightFromText="180" w:tblpY="420"/>
        <w:tblW w:w="5323" w:type="pct"/>
        <w:tblLayout w:type="fixed"/>
        <w:tblLook w:val="04A0"/>
      </w:tblPr>
      <w:tblGrid>
        <w:gridCol w:w="2985"/>
        <w:gridCol w:w="6604"/>
        <w:gridCol w:w="4438"/>
      </w:tblGrid>
      <w:tr w:rsidR="000F237B" w:rsidTr="000C70E6">
        <w:trPr>
          <w:trHeight w:val="305"/>
        </w:trPr>
        <w:tc>
          <w:tcPr>
            <w:tcW w:w="5000" w:type="pct"/>
            <w:gridSpan w:val="3"/>
            <w:shd w:val="clear" w:color="auto" w:fill="C0504D" w:themeFill="accent2"/>
          </w:tcPr>
          <w:p w:rsidR="000F237B" w:rsidRPr="001C05F6" w:rsidRDefault="000F237B" w:rsidP="000C70E6">
            <w:pPr>
              <w:jc w:val="center"/>
              <w:rPr>
                <w:b/>
                <w:bCs/>
                <w:color w:val="FFFFFF" w:themeColor="background1"/>
                <w:sz w:val="18"/>
                <w:szCs w:val="18"/>
              </w:rPr>
            </w:pPr>
            <w:r>
              <w:rPr>
                <w:b/>
                <w:color w:val="FFFFFF" w:themeColor="background1"/>
                <w:sz w:val="18"/>
              </w:rPr>
              <w:t>DOMAINE I. JETER LES BASES D'UNE CROISSANCE DURABLE ET CRÉATION D'EMPLOIS</w:t>
            </w:r>
          </w:p>
        </w:tc>
      </w:tr>
      <w:tr w:rsidR="000F237B" w:rsidRPr="00E611D4" w:rsidTr="000C70E6">
        <w:trPr>
          <w:trHeight w:val="305"/>
        </w:trPr>
        <w:tc>
          <w:tcPr>
            <w:tcW w:w="1064" w:type="pct"/>
            <w:shd w:val="clear" w:color="auto" w:fill="auto"/>
          </w:tcPr>
          <w:p w:rsidR="000F237B" w:rsidRPr="00755860" w:rsidRDefault="000F237B" w:rsidP="000C70E6">
            <w:pPr>
              <w:jc w:val="center"/>
              <w:rPr>
                <w:b/>
                <w:bCs/>
                <w:sz w:val="18"/>
                <w:szCs w:val="18"/>
              </w:rPr>
            </w:pPr>
            <w:r>
              <w:rPr>
                <w:b/>
                <w:sz w:val="18"/>
              </w:rPr>
              <w:t xml:space="preserve">Objectifs d'action </w:t>
            </w:r>
          </w:p>
        </w:tc>
        <w:tc>
          <w:tcPr>
            <w:tcW w:w="2354" w:type="pct"/>
            <w:shd w:val="clear" w:color="auto" w:fill="auto"/>
          </w:tcPr>
          <w:p w:rsidR="000F237B" w:rsidRPr="00755860" w:rsidRDefault="000F237B" w:rsidP="000C70E6">
            <w:pPr>
              <w:jc w:val="center"/>
              <w:rPr>
                <w:b/>
                <w:bCs/>
                <w:sz w:val="18"/>
                <w:szCs w:val="18"/>
              </w:rPr>
            </w:pPr>
            <w:r>
              <w:rPr>
                <w:b/>
                <w:sz w:val="18"/>
              </w:rPr>
              <w:t>Résultats et indicateurs</w:t>
            </w:r>
          </w:p>
        </w:tc>
        <w:tc>
          <w:tcPr>
            <w:tcW w:w="1582" w:type="pct"/>
            <w:shd w:val="clear" w:color="auto" w:fill="auto"/>
          </w:tcPr>
          <w:p w:rsidR="000F237B" w:rsidRPr="00755860" w:rsidRDefault="000F237B" w:rsidP="000C70E6">
            <w:pPr>
              <w:jc w:val="center"/>
              <w:rPr>
                <w:b/>
                <w:bCs/>
                <w:sz w:val="18"/>
                <w:szCs w:val="18"/>
              </w:rPr>
            </w:pPr>
            <w:r>
              <w:rPr>
                <w:b/>
                <w:sz w:val="18"/>
              </w:rPr>
              <w:t>Programme du Groupe de la Banque mondiale</w:t>
            </w:r>
          </w:p>
        </w:tc>
      </w:tr>
      <w:tr w:rsidR="000F237B" w:rsidRPr="00E611D4" w:rsidTr="000C70E6">
        <w:trPr>
          <w:trHeight w:val="1703"/>
        </w:trPr>
        <w:tc>
          <w:tcPr>
            <w:tcW w:w="1064" w:type="pct"/>
            <w:shd w:val="clear" w:color="auto" w:fill="auto"/>
          </w:tcPr>
          <w:p w:rsidR="000F237B" w:rsidRPr="001C05F6" w:rsidRDefault="000F237B" w:rsidP="000F237B">
            <w:pPr>
              <w:pStyle w:val="ListParagraph"/>
              <w:numPr>
                <w:ilvl w:val="0"/>
                <w:numId w:val="16"/>
              </w:numPr>
              <w:rPr>
                <w:bCs/>
                <w:i/>
                <w:sz w:val="16"/>
                <w:szCs w:val="16"/>
              </w:rPr>
            </w:pPr>
            <w:r>
              <w:rPr>
                <w:i/>
                <w:sz w:val="16"/>
              </w:rPr>
              <w:t xml:space="preserve">Appui à la stabilité macroéconomique et à la relance de l'économie </w:t>
            </w:r>
          </w:p>
        </w:tc>
        <w:tc>
          <w:tcPr>
            <w:tcW w:w="2354" w:type="pct"/>
            <w:shd w:val="clear" w:color="auto" w:fill="auto"/>
          </w:tcPr>
          <w:p w:rsidR="000F237B" w:rsidRPr="00BC1811" w:rsidRDefault="000F237B" w:rsidP="000F237B">
            <w:pPr>
              <w:pStyle w:val="ListParagraph"/>
              <w:numPr>
                <w:ilvl w:val="0"/>
                <w:numId w:val="28"/>
              </w:numPr>
              <w:spacing w:after="200" w:line="276" w:lineRule="auto"/>
              <w:rPr>
                <w:bCs/>
                <w:sz w:val="16"/>
                <w:szCs w:val="16"/>
              </w:rPr>
            </w:pPr>
            <w:r>
              <w:rPr>
                <w:sz w:val="16"/>
              </w:rPr>
              <w:t>Soutenir la reprise économique.</w:t>
            </w:r>
          </w:p>
          <w:p w:rsidR="000F237B" w:rsidRPr="00BC1811" w:rsidRDefault="000F237B" w:rsidP="000F237B">
            <w:pPr>
              <w:pStyle w:val="ListParagraph"/>
              <w:numPr>
                <w:ilvl w:val="1"/>
                <w:numId w:val="28"/>
              </w:numPr>
              <w:spacing w:after="200" w:line="276" w:lineRule="auto"/>
              <w:rPr>
                <w:bCs/>
                <w:sz w:val="16"/>
                <w:szCs w:val="16"/>
              </w:rPr>
            </w:pPr>
            <w:r>
              <w:rPr>
                <w:sz w:val="16"/>
              </w:rPr>
              <w:t>La relance budgétaire engagée par le Gouvernement est appuyée par la Banque et mobilise des ressources d'autres appuis budgétaires de bailleurs de fonds dans le cadre de la préparation d'un PPD conjoint. Valeur de référence : USD 1,3 milliard (2011)</w:t>
            </w:r>
          </w:p>
          <w:p w:rsidR="000F237B" w:rsidRPr="00BC1811" w:rsidRDefault="000F237B" w:rsidP="000F237B">
            <w:pPr>
              <w:pStyle w:val="ListParagraph"/>
              <w:numPr>
                <w:ilvl w:val="1"/>
                <w:numId w:val="28"/>
              </w:numPr>
              <w:spacing w:after="200" w:line="276" w:lineRule="auto"/>
              <w:rPr>
                <w:bCs/>
                <w:sz w:val="16"/>
                <w:szCs w:val="16"/>
              </w:rPr>
            </w:pPr>
            <w:r>
              <w:rPr>
                <w:sz w:val="16"/>
              </w:rPr>
              <w:t xml:space="preserve"> Les procédures de passation des marchés d'urgence sont rationalisées</w:t>
            </w:r>
          </w:p>
          <w:p w:rsidR="000F237B" w:rsidRPr="00BC1811" w:rsidRDefault="000F237B" w:rsidP="000F237B">
            <w:pPr>
              <w:pStyle w:val="ListParagraph"/>
              <w:numPr>
                <w:ilvl w:val="0"/>
                <w:numId w:val="28"/>
              </w:numPr>
              <w:spacing w:after="200" w:line="276" w:lineRule="auto"/>
              <w:rPr>
                <w:bCs/>
                <w:sz w:val="16"/>
                <w:szCs w:val="16"/>
              </w:rPr>
            </w:pPr>
            <w:r>
              <w:rPr>
                <w:sz w:val="16"/>
              </w:rPr>
              <w:t>Promotion de la viabilité et la consolidation budgétaires.</w:t>
            </w:r>
          </w:p>
          <w:p w:rsidR="000F237B" w:rsidRDefault="000F237B" w:rsidP="000F237B">
            <w:pPr>
              <w:pStyle w:val="ListParagraph"/>
              <w:numPr>
                <w:ilvl w:val="1"/>
                <w:numId w:val="28"/>
              </w:numPr>
              <w:spacing w:after="200" w:line="276" w:lineRule="auto"/>
              <w:rPr>
                <w:bCs/>
                <w:sz w:val="16"/>
                <w:szCs w:val="16"/>
              </w:rPr>
            </w:pPr>
            <w:r>
              <w:rPr>
                <w:sz w:val="16"/>
              </w:rPr>
              <w:t>Analyse de la viabilité du budget et de la dette réalisée</w:t>
            </w:r>
          </w:p>
          <w:p w:rsidR="000F237B" w:rsidRPr="00BC1811" w:rsidRDefault="000F237B" w:rsidP="000F237B">
            <w:pPr>
              <w:pStyle w:val="ListParagraph"/>
              <w:numPr>
                <w:ilvl w:val="1"/>
                <w:numId w:val="28"/>
              </w:numPr>
              <w:spacing w:after="200" w:line="276" w:lineRule="auto"/>
              <w:rPr>
                <w:bCs/>
                <w:sz w:val="16"/>
                <w:szCs w:val="16"/>
              </w:rPr>
            </w:pPr>
            <w:r>
              <w:rPr>
                <w:sz w:val="16"/>
              </w:rPr>
              <w:t xml:space="preserve"> Revue des dépenses publiques achevée</w:t>
            </w:r>
          </w:p>
        </w:tc>
        <w:tc>
          <w:tcPr>
            <w:tcW w:w="1582" w:type="pct"/>
            <w:shd w:val="clear" w:color="auto" w:fill="auto"/>
          </w:tcPr>
          <w:p w:rsidR="000F237B" w:rsidRPr="001C05F6" w:rsidRDefault="000F237B" w:rsidP="000C70E6">
            <w:pPr>
              <w:rPr>
                <w:b/>
                <w:bCs/>
                <w:iCs/>
                <w:sz w:val="16"/>
                <w:szCs w:val="16"/>
              </w:rPr>
            </w:pPr>
            <w:r>
              <w:rPr>
                <w:b/>
                <w:sz w:val="16"/>
              </w:rPr>
              <w:t>AAA en cours :</w:t>
            </w:r>
          </w:p>
          <w:p w:rsidR="000F237B" w:rsidRPr="001C05F6" w:rsidRDefault="000F237B" w:rsidP="000F237B">
            <w:pPr>
              <w:pStyle w:val="ListParagraph"/>
              <w:numPr>
                <w:ilvl w:val="0"/>
                <w:numId w:val="23"/>
              </w:numPr>
              <w:rPr>
                <w:bCs/>
                <w:iCs/>
                <w:sz w:val="16"/>
                <w:szCs w:val="16"/>
              </w:rPr>
            </w:pPr>
            <w:r>
              <w:rPr>
                <w:sz w:val="16"/>
              </w:rPr>
              <w:t xml:space="preserve">Suivi macroéconomique </w:t>
            </w:r>
          </w:p>
          <w:p w:rsidR="000F237B" w:rsidRDefault="000F237B" w:rsidP="000F237B">
            <w:pPr>
              <w:pStyle w:val="ListParagraph"/>
              <w:numPr>
                <w:ilvl w:val="0"/>
                <w:numId w:val="23"/>
              </w:numPr>
              <w:rPr>
                <w:bCs/>
                <w:iCs/>
                <w:sz w:val="16"/>
                <w:szCs w:val="16"/>
              </w:rPr>
            </w:pPr>
            <w:r>
              <w:rPr>
                <w:sz w:val="16"/>
              </w:rPr>
              <w:t>Analyse de la viabilité du budget et de la dette</w:t>
            </w:r>
          </w:p>
          <w:p w:rsidR="000F237B" w:rsidRPr="001C05F6" w:rsidRDefault="000F237B" w:rsidP="000F237B">
            <w:pPr>
              <w:pStyle w:val="ListParagraph"/>
              <w:numPr>
                <w:ilvl w:val="0"/>
                <w:numId w:val="23"/>
              </w:numPr>
              <w:rPr>
                <w:bCs/>
                <w:iCs/>
                <w:sz w:val="16"/>
                <w:szCs w:val="16"/>
              </w:rPr>
            </w:pPr>
            <w:r>
              <w:rPr>
                <w:sz w:val="16"/>
              </w:rPr>
              <w:t>Revue des dépenses publiques</w:t>
            </w:r>
          </w:p>
          <w:p w:rsidR="000F237B" w:rsidRPr="001C05F6" w:rsidRDefault="000F237B" w:rsidP="000C70E6">
            <w:pPr>
              <w:rPr>
                <w:b/>
                <w:bCs/>
                <w:sz w:val="16"/>
                <w:szCs w:val="16"/>
              </w:rPr>
            </w:pPr>
            <w:r>
              <w:rPr>
                <w:b/>
                <w:sz w:val="16"/>
              </w:rPr>
              <w:t>Proposition de prêt :</w:t>
            </w:r>
          </w:p>
          <w:p w:rsidR="000F237B" w:rsidRPr="001C05F6" w:rsidRDefault="000F237B" w:rsidP="000F237B">
            <w:pPr>
              <w:pStyle w:val="ListParagraph"/>
              <w:numPr>
                <w:ilvl w:val="0"/>
                <w:numId w:val="31"/>
              </w:numPr>
              <w:rPr>
                <w:bCs/>
                <w:sz w:val="16"/>
                <w:szCs w:val="16"/>
              </w:rPr>
            </w:pPr>
            <w:r>
              <w:rPr>
                <w:sz w:val="16"/>
              </w:rPr>
              <w:t>PPD annuel multisectoriel</w:t>
            </w:r>
          </w:p>
          <w:p w:rsidR="000F237B" w:rsidRPr="001C05F6" w:rsidRDefault="000F237B" w:rsidP="000F237B">
            <w:pPr>
              <w:pStyle w:val="ListParagraph"/>
              <w:numPr>
                <w:ilvl w:val="0"/>
                <w:numId w:val="31"/>
              </w:numPr>
              <w:rPr>
                <w:bCs/>
                <w:sz w:val="16"/>
                <w:szCs w:val="16"/>
              </w:rPr>
            </w:pPr>
            <w:r>
              <w:rPr>
                <w:sz w:val="16"/>
              </w:rPr>
              <w:t>Garantie sur base de politique</w:t>
            </w:r>
          </w:p>
          <w:p w:rsidR="000F237B" w:rsidRPr="001C05F6" w:rsidRDefault="000F237B" w:rsidP="000C70E6">
            <w:pPr>
              <w:rPr>
                <w:b/>
                <w:bCs/>
                <w:iCs/>
                <w:sz w:val="16"/>
                <w:szCs w:val="16"/>
              </w:rPr>
            </w:pPr>
            <w:r>
              <w:rPr>
                <w:b/>
                <w:sz w:val="16"/>
              </w:rPr>
              <w:t>Proposition d'AAA :</w:t>
            </w:r>
          </w:p>
          <w:p w:rsidR="000F237B" w:rsidRPr="001C05F6" w:rsidRDefault="000F237B" w:rsidP="000F237B">
            <w:pPr>
              <w:pStyle w:val="ListParagraph"/>
              <w:numPr>
                <w:ilvl w:val="0"/>
                <w:numId w:val="23"/>
              </w:numPr>
              <w:rPr>
                <w:bCs/>
                <w:iCs/>
                <w:sz w:val="16"/>
                <w:szCs w:val="16"/>
              </w:rPr>
            </w:pPr>
            <w:r>
              <w:rPr>
                <w:sz w:val="16"/>
              </w:rPr>
              <w:t>Suivi macroéconomique</w:t>
            </w:r>
          </w:p>
        </w:tc>
      </w:tr>
      <w:tr w:rsidR="000F237B" w:rsidRPr="00E611D4" w:rsidTr="000C70E6">
        <w:trPr>
          <w:trHeight w:val="2855"/>
        </w:trPr>
        <w:tc>
          <w:tcPr>
            <w:tcW w:w="1064" w:type="pct"/>
            <w:shd w:val="clear" w:color="auto" w:fill="auto"/>
          </w:tcPr>
          <w:p w:rsidR="000F237B" w:rsidRPr="001C05F6" w:rsidRDefault="000F237B" w:rsidP="000F237B">
            <w:pPr>
              <w:pStyle w:val="ListParagraph"/>
              <w:numPr>
                <w:ilvl w:val="0"/>
                <w:numId w:val="16"/>
              </w:numPr>
              <w:rPr>
                <w:bCs/>
                <w:i/>
                <w:sz w:val="16"/>
                <w:szCs w:val="16"/>
              </w:rPr>
            </w:pPr>
            <w:r>
              <w:rPr>
                <w:i/>
                <w:sz w:val="16"/>
              </w:rPr>
              <w:t xml:space="preserve"> Renforcement du cadre de l'activité économique et approfondissement de l'intégration</w:t>
            </w:r>
          </w:p>
        </w:tc>
        <w:tc>
          <w:tcPr>
            <w:tcW w:w="2354" w:type="pct"/>
            <w:shd w:val="clear" w:color="auto" w:fill="auto"/>
          </w:tcPr>
          <w:p w:rsidR="000F237B" w:rsidRPr="001C05F6" w:rsidRDefault="000F237B" w:rsidP="000F237B">
            <w:pPr>
              <w:pStyle w:val="ListParagraph"/>
              <w:numPr>
                <w:ilvl w:val="0"/>
                <w:numId w:val="19"/>
              </w:numPr>
              <w:spacing w:after="200" w:line="276" w:lineRule="auto"/>
              <w:rPr>
                <w:bCs/>
                <w:sz w:val="16"/>
                <w:szCs w:val="16"/>
              </w:rPr>
            </w:pPr>
            <w:r>
              <w:rPr>
                <w:sz w:val="16"/>
              </w:rPr>
              <w:t>Rationalisation des procédures douanières.</w:t>
            </w:r>
          </w:p>
          <w:p w:rsidR="000F237B" w:rsidRPr="001C05F6" w:rsidRDefault="000F237B" w:rsidP="000F237B">
            <w:pPr>
              <w:pStyle w:val="ListParagraph"/>
              <w:numPr>
                <w:ilvl w:val="1"/>
                <w:numId w:val="19"/>
              </w:numPr>
              <w:spacing w:after="200" w:line="276" w:lineRule="auto"/>
              <w:rPr>
                <w:bCs/>
                <w:sz w:val="16"/>
                <w:szCs w:val="16"/>
              </w:rPr>
            </w:pPr>
            <w:r>
              <w:rPr>
                <w:sz w:val="16"/>
              </w:rPr>
              <w:t>Durée maximale pour certaines procédures douanières et taxation réduite de 20% Valeur de référence : 3,6 jours (2010)</w:t>
            </w:r>
          </w:p>
          <w:p w:rsidR="000F237B" w:rsidRPr="001C05F6" w:rsidRDefault="000F237B" w:rsidP="000F237B">
            <w:pPr>
              <w:pStyle w:val="ListParagraph"/>
              <w:numPr>
                <w:ilvl w:val="1"/>
                <w:numId w:val="19"/>
              </w:numPr>
              <w:spacing w:after="200" w:line="276" w:lineRule="auto"/>
              <w:rPr>
                <w:bCs/>
                <w:sz w:val="16"/>
                <w:szCs w:val="16"/>
              </w:rPr>
            </w:pPr>
            <w:r>
              <w:rPr>
                <w:sz w:val="16"/>
              </w:rPr>
              <w:t>Réduction d'un jour du délai de traitement d'un conteneur de 20 m</w:t>
            </w:r>
            <w:r>
              <w:rPr>
                <w:sz w:val="16"/>
                <w:vertAlign w:val="superscript"/>
              </w:rPr>
              <w:t xml:space="preserve"> 3</w:t>
            </w:r>
            <w:r>
              <w:rPr>
                <w:sz w:val="16"/>
              </w:rPr>
              <w:t xml:space="preserve"> au port : Valeur de référence : 4 jours (2010)</w:t>
            </w:r>
          </w:p>
          <w:p w:rsidR="000F237B" w:rsidRPr="001C05F6" w:rsidRDefault="000F237B" w:rsidP="000F237B">
            <w:pPr>
              <w:pStyle w:val="ListParagraph"/>
              <w:numPr>
                <w:ilvl w:val="0"/>
                <w:numId w:val="19"/>
              </w:numPr>
              <w:spacing w:after="200" w:line="276" w:lineRule="auto"/>
              <w:rPr>
                <w:bCs/>
                <w:sz w:val="16"/>
                <w:szCs w:val="16"/>
              </w:rPr>
            </w:pPr>
            <w:r>
              <w:rPr>
                <w:sz w:val="16"/>
              </w:rPr>
              <w:t>Secteur bancaire stabilisé.</w:t>
            </w:r>
          </w:p>
          <w:p w:rsidR="000F237B" w:rsidRPr="001C05F6" w:rsidRDefault="000F237B" w:rsidP="000F237B">
            <w:pPr>
              <w:pStyle w:val="ListParagraph"/>
              <w:numPr>
                <w:ilvl w:val="1"/>
                <w:numId w:val="19"/>
              </w:numPr>
              <w:spacing w:after="200" w:line="276" w:lineRule="auto"/>
              <w:rPr>
                <w:bCs/>
                <w:sz w:val="16"/>
                <w:szCs w:val="16"/>
              </w:rPr>
            </w:pPr>
            <w:r>
              <w:rPr>
                <w:sz w:val="16"/>
              </w:rPr>
              <w:t>Ratio d'adéquation des fonds propres augmenté à 9 % (7 % niveau 1)</w:t>
            </w:r>
          </w:p>
          <w:p w:rsidR="000F237B" w:rsidRPr="001C05F6" w:rsidRDefault="000F237B" w:rsidP="000F237B">
            <w:pPr>
              <w:pStyle w:val="ListParagraph"/>
              <w:numPr>
                <w:ilvl w:val="1"/>
                <w:numId w:val="19"/>
              </w:numPr>
              <w:spacing w:after="200" w:line="276" w:lineRule="auto"/>
              <w:rPr>
                <w:bCs/>
                <w:sz w:val="16"/>
                <w:szCs w:val="16"/>
              </w:rPr>
            </w:pPr>
            <w:r>
              <w:rPr>
                <w:sz w:val="16"/>
              </w:rPr>
              <w:t>Au moins 18 établissements bancaires, y compris les 5 plus grands, ont nommé 2 ou plusieurs administrateurs indépendants.</w:t>
            </w:r>
          </w:p>
          <w:p w:rsidR="000F237B" w:rsidRPr="001C05F6" w:rsidRDefault="000F237B" w:rsidP="000F237B">
            <w:pPr>
              <w:pStyle w:val="ListParagraph"/>
              <w:numPr>
                <w:ilvl w:val="0"/>
                <w:numId w:val="19"/>
              </w:numPr>
              <w:spacing w:after="200" w:line="276" w:lineRule="auto"/>
              <w:rPr>
                <w:bCs/>
                <w:sz w:val="16"/>
                <w:szCs w:val="16"/>
              </w:rPr>
            </w:pPr>
            <w:r>
              <w:rPr>
                <w:sz w:val="16"/>
              </w:rPr>
              <w:t>Amélioration de l'accès au financement des MPME.</w:t>
            </w:r>
          </w:p>
          <w:p w:rsidR="000F237B" w:rsidRPr="001C05F6" w:rsidRDefault="000F237B" w:rsidP="000F237B">
            <w:pPr>
              <w:pStyle w:val="ListParagraph"/>
              <w:numPr>
                <w:ilvl w:val="1"/>
                <w:numId w:val="19"/>
              </w:numPr>
              <w:spacing w:after="200" w:line="276" w:lineRule="auto"/>
              <w:rPr>
                <w:bCs/>
                <w:sz w:val="16"/>
                <w:szCs w:val="16"/>
              </w:rPr>
            </w:pPr>
            <w:r>
              <w:rPr>
                <w:sz w:val="16"/>
              </w:rPr>
              <w:t>USD 30 millions en prêts octroyés à 200 MPME. Valeur de référence : 0 (2011)</w:t>
            </w:r>
          </w:p>
          <w:p w:rsidR="000F237B" w:rsidRPr="001C05F6" w:rsidRDefault="000F237B" w:rsidP="000F237B">
            <w:pPr>
              <w:pStyle w:val="ListParagraph"/>
              <w:numPr>
                <w:ilvl w:val="1"/>
                <w:numId w:val="19"/>
              </w:numPr>
              <w:spacing w:after="200" w:line="276" w:lineRule="auto"/>
              <w:rPr>
                <w:bCs/>
                <w:sz w:val="16"/>
                <w:szCs w:val="16"/>
              </w:rPr>
            </w:pPr>
            <w:r>
              <w:rPr>
                <w:sz w:val="16"/>
              </w:rPr>
              <w:t>Création de l'organe de contrôle des activités de microfinance Valeur de référence : 0 (2011)</w:t>
            </w:r>
          </w:p>
        </w:tc>
        <w:tc>
          <w:tcPr>
            <w:tcW w:w="1582" w:type="pct"/>
            <w:shd w:val="clear" w:color="auto" w:fill="auto"/>
          </w:tcPr>
          <w:p w:rsidR="000F237B" w:rsidRPr="001C05F6" w:rsidRDefault="000F237B" w:rsidP="000C70E6">
            <w:pPr>
              <w:rPr>
                <w:bCs/>
                <w:sz w:val="16"/>
                <w:szCs w:val="16"/>
              </w:rPr>
            </w:pPr>
            <w:r>
              <w:rPr>
                <w:b/>
                <w:sz w:val="16"/>
              </w:rPr>
              <w:t>Prêts en cours</w:t>
            </w:r>
            <w:r>
              <w:rPr>
                <w:sz w:val="16"/>
              </w:rPr>
              <w:t xml:space="preserve"> : </w:t>
            </w:r>
          </w:p>
          <w:p w:rsidR="000F237B" w:rsidRPr="001C05F6" w:rsidRDefault="000F237B" w:rsidP="000F237B">
            <w:pPr>
              <w:pStyle w:val="ListParagraph"/>
              <w:numPr>
                <w:ilvl w:val="0"/>
                <w:numId w:val="24"/>
              </w:numPr>
              <w:rPr>
                <w:bCs/>
                <w:iCs/>
                <w:sz w:val="16"/>
                <w:szCs w:val="16"/>
              </w:rPr>
            </w:pPr>
            <w:r>
              <w:rPr>
                <w:sz w:val="16"/>
              </w:rPr>
              <w:t>Projet de développement des exportations 2</w:t>
            </w:r>
          </w:p>
          <w:p w:rsidR="000F237B" w:rsidRPr="001C05F6" w:rsidRDefault="000F237B" w:rsidP="000F237B">
            <w:pPr>
              <w:pStyle w:val="ListParagraph"/>
              <w:numPr>
                <w:ilvl w:val="0"/>
                <w:numId w:val="23"/>
              </w:numPr>
              <w:rPr>
                <w:bCs/>
                <w:iCs/>
                <w:sz w:val="16"/>
                <w:szCs w:val="16"/>
              </w:rPr>
            </w:pPr>
            <w:r>
              <w:rPr>
                <w:sz w:val="16"/>
              </w:rPr>
              <w:t>Fonds AWI MPME</w:t>
            </w:r>
          </w:p>
          <w:p w:rsidR="000F237B" w:rsidRPr="001C05F6" w:rsidRDefault="000F237B" w:rsidP="000C70E6">
            <w:pPr>
              <w:rPr>
                <w:b/>
                <w:bCs/>
                <w:iCs/>
                <w:sz w:val="16"/>
                <w:szCs w:val="16"/>
              </w:rPr>
            </w:pPr>
            <w:r>
              <w:rPr>
                <w:b/>
                <w:sz w:val="16"/>
              </w:rPr>
              <w:t>AAA en cours :</w:t>
            </w:r>
          </w:p>
          <w:p w:rsidR="000F237B" w:rsidRPr="001C05F6" w:rsidRDefault="000F237B" w:rsidP="000F237B">
            <w:pPr>
              <w:pStyle w:val="ListParagraph"/>
              <w:numPr>
                <w:ilvl w:val="0"/>
                <w:numId w:val="23"/>
              </w:numPr>
              <w:rPr>
                <w:bCs/>
                <w:iCs/>
                <w:sz w:val="16"/>
                <w:szCs w:val="16"/>
              </w:rPr>
            </w:pPr>
            <w:r>
              <w:rPr>
                <w:sz w:val="16"/>
              </w:rPr>
              <w:t>Mise à jour du PESF</w:t>
            </w:r>
          </w:p>
          <w:p w:rsidR="000F237B" w:rsidRPr="001C05F6" w:rsidRDefault="000F237B" w:rsidP="000C70E6">
            <w:pPr>
              <w:rPr>
                <w:b/>
                <w:bCs/>
                <w:sz w:val="16"/>
                <w:szCs w:val="16"/>
              </w:rPr>
            </w:pPr>
            <w:r>
              <w:rPr>
                <w:b/>
                <w:sz w:val="16"/>
              </w:rPr>
              <w:t>Proposition de prêt :</w:t>
            </w:r>
          </w:p>
          <w:p w:rsidR="000F237B" w:rsidRPr="001C05F6" w:rsidRDefault="000F237B" w:rsidP="000F237B">
            <w:pPr>
              <w:pStyle w:val="ListParagraph"/>
              <w:numPr>
                <w:ilvl w:val="0"/>
                <w:numId w:val="31"/>
              </w:numPr>
              <w:ind w:left="761" w:hanging="390"/>
              <w:rPr>
                <w:rFonts w:asciiTheme="minorHAnsi" w:hAnsiTheme="minorHAnsi"/>
                <w:bCs/>
                <w:sz w:val="16"/>
                <w:szCs w:val="16"/>
              </w:rPr>
            </w:pPr>
            <w:r>
              <w:rPr>
                <w:sz w:val="16"/>
              </w:rPr>
              <w:t>PPD annuel multisectoriel</w:t>
            </w:r>
          </w:p>
          <w:p w:rsidR="000F237B" w:rsidRPr="001C05F6" w:rsidRDefault="000F237B" w:rsidP="000F237B">
            <w:pPr>
              <w:pStyle w:val="ListParagraph"/>
              <w:numPr>
                <w:ilvl w:val="0"/>
                <w:numId w:val="19"/>
              </w:numPr>
              <w:rPr>
                <w:bCs/>
                <w:sz w:val="16"/>
                <w:szCs w:val="16"/>
              </w:rPr>
            </w:pPr>
            <w:r>
              <w:rPr>
                <w:sz w:val="16"/>
              </w:rPr>
              <w:t>Garantie sur base de politique</w:t>
            </w:r>
          </w:p>
          <w:p w:rsidR="000F237B" w:rsidRPr="001C05F6" w:rsidRDefault="000F237B" w:rsidP="000C70E6">
            <w:pPr>
              <w:rPr>
                <w:b/>
                <w:bCs/>
                <w:iCs/>
                <w:sz w:val="16"/>
                <w:szCs w:val="16"/>
              </w:rPr>
            </w:pPr>
            <w:r>
              <w:rPr>
                <w:b/>
                <w:sz w:val="16"/>
              </w:rPr>
              <w:t>Proposition d'AAA :</w:t>
            </w:r>
          </w:p>
          <w:p w:rsidR="000F237B" w:rsidRPr="001C05F6" w:rsidRDefault="000F237B" w:rsidP="000F237B">
            <w:pPr>
              <w:pStyle w:val="ListParagraph"/>
              <w:numPr>
                <w:ilvl w:val="0"/>
                <w:numId w:val="19"/>
              </w:numPr>
              <w:rPr>
                <w:bCs/>
                <w:iCs/>
                <w:sz w:val="16"/>
                <w:szCs w:val="16"/>
              </w:rPr>
            </w:pPr>
            <w:r>
              <w:rPr>
                <w:sz w:val="16"/>
              </w:rPr>
              <w:t>Étude sur les finances en milieu rural</w:t>
            </w:r>
          </w:p>
          <w:p w:rsidR="000F237B" w:rsidRPr="001C05F6" w:rsidRDefault="000F237B" w:rsidP="000F237B">
            <w:pPr>
              <w:pStyle w:val="ListParagraph"/>
              <w:numPr>
                <w:ilvl w:val="0"/>
                <w:numId w:val="19"/>
              </w:numPr>
              <w:rPr>
                <w:bCs/>
                <w:iCs/>
                <w:sz w:val="16"/>
                <w:szCs w:val="16"/>
              </w:rPr>
            </w:pPr>
            <w:r>
              <w:rPr>
                <w:sz w:val="16"/>
              </w:rPr>
              <w:t>Revue de la politique de développement</w:t>
            </w:r>
          </w:p>
          <w:p w:rsidR="000F237B" w:rsidRPr="001C05F6" w:rsidRDefault="000F237B" w:rsidP="000F237B">
            <w:pPr>
              <w:pStyle w:val="ListParagraph"/>
              <w:numPr>
                <w:ilvl w:val="0"/>
                <w:numId w:val="19"/>
              </w:numPr>
              <w:rPr>
                <w:bCs/>
                <w:iCs/>
                <w:sz w:val="16"/>
                <w:szCs w:val="16"/>
              </w:rPr>
            </w:pPr>
            <w:r>
              <w:rPr>
                <w:sz w:val="16"/>
              </w:rPr>
              <w:t>Intégration commerciale avec l'UE</w:t>
            </w:r>
          </w:p>
          <w:p w:rsidR="000F237B" w:rsidRPr="001C05F6" w:rsidRDefault="000F237B" w:rsidP="000F237B">
            <w:pPr>
              <w:pStyle w:val="ListParagraph"/>
              <w:numPr>
                <w:ilvl w:val="0"/>
                <w:numId w:val="19"/>
              </w:numPr>
              <w:rPr>
                <w:bCs/>
                <w:iCs/>
                <w:sz w:val="16"/>
                <w:szCs w:val="16"/>
              </w:rPr>
            </w:pPr>
            <w:r>
              <w:rPr>
                <w:sz w:val="16"/>
              </w:rPr>
              <w:t>Évaluation du climat des investissements (Banque mondiale, SFI)</w:t>
            </w:r>
          </w:p>
          <w:p w:rsidR="000F237B" w:rsidRPr="001C05F6" w:rsidRDefault="000F237B" w:rsidP="000F237B">
            <w:pPr>
              <w:pStyle w:val="ListParagraph"/>
              <w:numPr>
                <w:ilvl w:val="0"/>
                <w:numId w:val="19"/>
              </w:numPr>
              <w:rPr>
                <w:b/>
                <w:bCs/>
                <w:sz w:val="16"/>
                <w:szCs w:val="16"/>
              </w:rPr>
            </w:pPr>
            <w:r>
              <w:rPr>
                <w:sz w:val="16"/>
              </w:rPr>
              <w:t>Enquête auprès des investisseurs (Banque mondiale, SFI)</w:t>
            </w:r>
          </w:p>
        </w:tc>
      </w:tr>
      <w:tr w:rsidR="000F237B" w:rsidRPr="00E611D4" w:rsidTr="000C70E6">
        <w:trPr>
          <w:trHeight w:val="1469"/>
        </w:trPr>
        <w:tc>
          <w:tcPr>
            <w:tcW w:w="1064" w:type="pct"/>
            <w:shd w:val="clear" w:color="auto" w:fill="auto"/>
          </w:tcPr>
          <w:p w:rsidR="000F237B" w:rsidRPr="001C05F6" w:rsidRDefault="000F237B" w:rsidP="000F237B">
            <w:pPr>
              <w:pStyle w:val="ListParagraph"/>
              <w:numPr>
                <w:ilvl w:val="0"/>
                <w:numId w:val="16"/>
              </w:numPr>
              <w:rPr>
                <w:bCs/>
                <w:i/>
                <w:sz w:val="16"/>
                <w:szCs w:val="16"/>
              </w:rPr>
            </w:pPr>
            <w:r>
              <w:rPr>
                <w:i/>
                <w:sz w:val="16"/>
              </w:rPr>
              <w:t>Créer un environnement propice aux réformes du marché du travail</w:t>
            </w:r>
          </w:p>
        </w:tc>
        <w:tc>
          <w:tcPr>
            <w:tcW w:w="2354" w:type="pct"/>
            <w:shd w:val="clear" w:color="auto" w:fill="auto"/>
          </w:tcPr>
          <w:p w:rsidR="000F237B" w:rsidRPr="001C05F6" w:rsidRDefault="000F237B" w:rsidP="000F237B">
            <w:pPr>
              <w:pStyle w:val="ListParagraph"/>
              <w:numPr>
                <w:ilvl w:val="0"/>
                <w:numId w:val="29"/>
              </w:numPr>
              <w:rPr>
                <w:bCs/>
                <w:sz w:val="16"/>
                <w:szCs w:val="16"/>
              </w:rPr>
            </w:pPr>
            <w:r>
              <w:rPr>
                <w:sz w:val="16"/>
              </w:rPr>
              <w:t>Processus lancé permettant de dégager un consensus national sur la réforme du marché du travail</w:t>
            </w:r>
          </w:p>
          <w:p w:rsidR="000F237B" w:rsidRPr="001C05F6" w:rsidRDefault="000F237B" w:rsidP="000F237B">
            <w:pPr>
              <w:pStyle w:val="ListParagraph"/>
              <w:numPr>
                <w:ilvl w:val="0"/>
                <w:numId w:val="26"/>
              </w:numPr>
              <w:rPr>
                <w:bCs/>
                <w:sz w:val="16"/>
                <w:szCs w:val="16"/>
              </w:rPr>
            </w:pPr>
            <w:r>
              <w:rPr>
                <w:sz w:val="16"/>
              </w:rPr>
              <w:t>Cadre institutionnel (par exemple une Commission nationale) établi pour discuter des options en matière de réforme du marché du travail</w:t>
            </w:r>
          </w:p>
          <w:p w:rsidR="000F237B" w:rsidRPr="001C05F6" w:rsidRDefault="000F237B" w:rsidP="000F237B">
            <w:pPr>
              <w:pStyle w:val="ListParagraph"/>
              <w:numPr>
                <w:ilvl w:val="0"/>
                <w:numId w:val="26"/>
              </w:numPr>
              <w:rPr>
                <w:bCs/>
                <w:sz w:val="16"/>
                <w:szCs w:val="16"/>
              </w:rPr>
            </w:pPr>
            <w:r>
              <w:rPr>
                <w:sz w:val="16"/>
              </w:rPr>
              <w:t xml:space="preserve">Nombre de réunions sur le dialogue social organisées conjointement par le Ministère de l'Emploi et de la formation professionnelle et le Ministère des Affaires sociales </w:t>
            </w:r>
          </w:p>
          <w:p w:rsidR="000F237B" w:rsidRPr="001C05F6" w:rsidRDefault="000F237B" w:rsidP="000F237B">
            <w:pPr>
              <w:pStyle w:val="ListParagraph"/>
              <w:numPr>
                <w:ilvl w:val="0"/>
                <w:numId w:val="26"/>
              </w:numPr>
              <w:rPr>
                <w:bCs/>
                <w:sz w:val="16"/>
                <w:szCs w:val="16"/>
              </w:rPr>
            </w:pPr>
            <w:r>
              <w:rPr>
                <w:sz w:val="16"/>
              </w:rPr>
              <w:t>Le Gouvernement commande une série d'études et identifie les options de réforme dans les domaines de la réforme de la sécurité sociale, la fiscalité du travail et la réglementation du travail</w:t>
            </w:r>
          </w:p>
        </w:tc>
        <w:tc>
          <w:tcPr>
            <w:tcW w:w="1582" w:type="pct"/>
            <w:shd w:val="clear" w:color="auto" w:fill="auto"/>
          </w:tcPr>
          <w:p w:rsidR="000F237B" w:rsidRPr="001C05F6" w:rsidRDefault="000F237B" w:rsidP="000C70E6">
            <w:pPr>
              <w:rPr>
                <w:bCs/>
                <w:sz w:val="16"/>
                <w:szCs w:val="16"/>
              </w:rPr>
            </w:pPr>
            <w:r>
              <w:rPr>
                <w:b/>
                <w:sz w:val="16"/>
              </w:rPr>
              <w:t>AAA en cours</w:t>
            </w:r>
            <w:r>
              <w:rPr>
                <w:sz w:val="16"/>
              </w:rPr>
              <w:t xml:space="preserve"> : </w:t>
            </w:r>
          </w:p>
          <w:p w:rsidR="000F237B" w:rsidRPr="001C05F6" w:rsidRDefault="000F237B" w:rsidP="000F237B">
            <w:pPr>
              <w:pStyle w:val="ListParagraph"/>
              <w:numPr>
                <w:ilvl w:val="0"/>
                <w:numId w:val="24"/>
              </w:numPr>
              <w:rPr>
                <w:bCs/>
                <w:iCs/>
                <w:sz w:val="16"/>
                <w:szCs w:val="16"/>
              </w:rPr>
            </w:pPr>
            <w:r>
              <w:rPr>
                <w:sz w:val="16"/>
              </w:rPr>
              <w:t>AT emploi</w:t>
            </w:r>
          </w:p>
          <w:p w:rsidR="000F237B" w:rsidRPr="001C05F6" w:rsidRDefault="000F237B" w:rsidP="000C70E6">
            <w:pPr>
              <w:rPr>
                <w:b/>
                <w:bCs/>
                <w:sz w:val="16"/>
                <w:szCs w:val="16"/>
              </w:rPr>
            </w:pPr>
            <w:r>
              <w:rPr>
                <w:b/>
                <w:sz w:val="16"/>
              </w:rPr>
              <w:t>Proposition de prêt :</w:t>
            </w:r>
          </w:p>
          <w:p w:rsidR="000F237B" w:rsidRPr="001C05F6" w:rsidRDefault="000F237B" w:rsidP="000F237B">
            <w:pPr>
              <w:pStyle w:val="ListParagraph"/>
              <w:numPr>
                <w:ilvl w:val="0"/>
                <w:numId w:val="31"/>
              </w:numPr>
              <w:ind w:left="761" w:hanging="390"/>
              <w:rPr>
                <w:rFonts w:asciiTheme="minorHAnsi" w:hAnsiTheme="minorHAnsi"/>
                <w:bCs/>
                <w:sz w:val="16"/>
                <w:szCs w:val="16"/>
              </w:rPr>
            </w:pPr>
            <w:r>
              <w:rPr>
                <w:sz w:val="16"/>
              </w:rPr>
              <w:t>PPD annuels multisectoriels</w:t>
            </w:r>
          </w:p>
          <w:p w:rsidR="000F237B" w:rsidRPr="001C05F6" w:rsidRDefault="000F237B" w:rsidP="000C70E6">
            <w:pPr>
              <w:rPr>
                <w:b/>
                <w:bCs/>
                <w:sz w:val="16"/>
                <w:szCs w:val="16"/>
              </w:rPr>
            </w:pPr>
            <w:r>
              <w:rPr>
                <w:b/>
                <w:sz w:val="16"/>
              </w:rPr>
              <w:t>Proposition d'AAA :</w:t>
            </w:r>
          </w:p>
          <w:p w:rsidR="000F237B" w:rsidRPr="001C05F6" w:rsidRDefault="000F237B" w:rsidP="000F237B">
            <w:pPr>
              <w:pStyle w:val="ListParagraph"/>
              <w:numPr>
                <w:ilvl w:val="0"/>
                <w:numId w:val="24"/>
              </w:numPr>
              <w:rPr>
                <w:bCs/>
                <w:sz w:val="16"/>
                <w:szCs w:val="16"/>
              </w:rPr>
            </w:pPr>
            <w:r>
              <w:rPr>
                <w:sz w:val="16"/>
              </w:rPr>
              <w:t>AT emploi (Dialogue social)</w:t>
            </w:r>
          </w:p>
        </w:tc>
      </w:tr>
      <w:tr w:rsidR="000F237B" w:rsidRPr="00755860" w:rsidTr="000C70E6">
        <w:trPr>
          <w:trHeight w:val="305"/>
        </w:trPr>
        <w:tc>
          <w:tcPr>
            <w:tcW w:w="1064" w:type="pct"/>
            <w:shd w:val="clear" w:color="auto" w:fill="auto"/>
          </w:tcPr>
          <w:p w:rsidR="000F237B" w:rsidRPr="001C05F6" w:rsidRDefault="000F237B" w:rsidP="000F237B">
            <w:pPr>
              <w:pStyle w:val="ListParagraph"/>
              <w:numPr>
                <w:ilvl w:val="0"/>
                <w:numId w:val="16"/>
              </w:numPr>
              <w:rPr>
                <w:bCs/>
                <w:i/>
                <w:sz w:val="16"/>
                <w:szCs w:val="16"/>
              </w:rPr>
            </w:pPr>
            <w:r>
              <w:rPr>
                <w:i/>
                <w:sz w:val="16"/>
              </w:rPr>
              <w:t xml:space="preserve"> Amélioration des programmes de politique active d'emploi pour les chômeurs</w:t>
            </w:r>
          </w:p>
        </w:tc>
        <w:tc>
          <w:tcPr>
            <w:tcW w:w="2354" w:type="pct"/>
            <w:shd w:val="clear" w:color="auto" w:fill="auto"/>
          </w:tcPr>
          <w:p w:rsidR="000F237B" w:rsidRPr="001C05F6" w:rsidRDefault="000F237B" w:rsidP="000F237B">
            <w:pPr>
              <w:pStyle w:val="ListParagraph"/>
              <w:numPr>
                <w:ilvl w:val="0"/>
                <w:numId w:val="30"/>
              </w:numPr>
              <w:rPr>
                <w:bCs/>
                <w:sz w:val="16"/>
                <w:szCs w:val="16"/>
              </w:rPr>
            </w:pPr>
            <w:r>
              <w:rPr>
                <w:sz w:val="16"/>
              </w:rPr>
              <w:t>Amélioration des prestations de services d'emploi/intermédiation.</w:t>
            </w:r>
          </w:p>
          <w:p w:rsidR="000F237B" w:rsidRPr="001C05F6" w:rsidRDefault="000F237B" w:rsidP="000F237B">
            <w:pPr>
              <w:numPr>
                <w:ilvl w:val="0"/>
                <w:numId w:val="26"/>
              </w:numPr>
              <w:rPr>
                <w:bCs/>
                <w:sz w:val="16"/>
                <w:szCs w:val="16"/>
              </w:rPr>
            </w:pPr>
            <w:r>
              <w:rPr>
                <w:sz w:val="16"/>
              </w:rPr>
              <w:t>Nombre de chômeurs inscrits recevant des services d'emploi via des prestataires privés.</w:t>
            </w:r>
            <w:r w:rsidR="006D6057">
              <w:rPr>
                <w:sz w:val="16"/>
              </w:rPr>
              <w:t xml:space="preserve"> </w:t>
            </w:r>
            <w:r>
              <w:rPr>
                <w:sz w:val="16"/>
              </w:rPr>
              <w:t>Valeur de référence : 0</w:t>
            </w:r>
          </w:p>
          <w:p w:rsidR="000F237B" w:rsidRPr="001C05F6" w:rsidRDefault="000F237B" w:rsidP="000F237B">
            <w:pPr>
              <w:pStyle w:val="ListParagraph"/>
              <w:numPr>
                <w:ilvl w:val="0"/>
                <w:numId w:val="26"/>
              </w:numPr>
              <w:rPr>
                <w:bCs/>
                <w:sz w:val="16"/>
                <w:szCs w:val="16"/>
              </w:rPr>
            </w:pPr>
            <w:r>
              <w:rPr>
                <w:sz w:val="16"/>
              </w:rPr>
              <w:t>Augmentation des conseillers à l'emploi de l'ANETI.</w:t>
            </w:r>
            <w:r w:rsidR="006D6057">
              <w:rPr>
                <w:sz w:val="16"/>
              </w:rPr>
              <w:t xml:space="preserve"> </w:t>
            </w:r>
            <w:r>
              <w:rPr>
                <w:sz w:val="16"/>
              </w:rPr>
              <w:t xml:space="preserve">Valeur de référence : 1 Conseiller pour 794 demandeurs d'emploi (2009) </w:t>
            </w:r>
          </w:p>
          <w:p w:rsidR="000F237B" w:rsidRPr="001C05F6" w:rsidRDefault="000F237B" w:rsidP="000F237B">
            <w:pPr>
              <w:pStyle w:val="ListParagraph"/>
              <w:numPr>
                <w:ilvl w:val="0"/>
                <w:numId w:val="30"/>
              </w:numPr>
              <w:rPr>
                <w:bCs/>
                <w:sz w:val="16"/>
                <w:szCs w:val="16"/>
              </w:rPr>
            </w:pPr>
            <w:r>
              <w:rPr>
                <w:sz w:val="16"/>
              </w:rPr>
              <w:t>Gouvernance et transparence des programmes d'emploi offerts par l'ANETI.</w:t>
            </w:r>
          </w:p>
          <w:p w:rsidR="000F237B" w:rsidRPr="001C05F6" w:rsidRDefault="000F237B" w:rsidP="000F237B">
            <w:pPr>
              <w:pStyle w:val="ListParagraph"/>
              <w:numPr>
                <w:ilvl w:val="0"/>
                <w:numId w:val="26"/>
              </w:numPr>
              <w:rPr>
                <w:bCs/>
                <w:sz w:val="16"/>
                <w:szCs w:val="16"/>
              </w:rPr>
            </w:pPr>
            <w:r>
              <w:rPr>
                <w:sz w:val="16"/>
              </w:rPr>
              <w:lastRenderedPageBreak/>
              <w:t xml:space="preserve">Mise en place d'un mécanisme de suivi basé sur les résultats des programmes de l'ANETI. Valeur de référence : Aucun système de suivi de résultats n'existe </w:t>
            </w:r>
          </w:p>
          <w:p w:rsidR="000F237B" w:rsidRPr="001C05F6" w:rsidRDefault="000F237B" w:rsidP="000F237B">
            <w:pPr>
              <w:pStyle w:val="ListParagraph"/>
              <w:numPr>
                <w:ilvl w:val="0"/>
                <w:numId w:val="26"/>
              </w:numPr>
              <w:rPr>
                <w:bCs/>
                <w:sz w:val="16"/>
                <w:szCs w:val="16"/>
              </w:rPr>
            </w:pPr>
            <w:r>
              <w:rPr>
                <w:sz w:val="16"/>
              </w:rPr>
              <w:t>Établissement périodique des rapports de suivi (basés sur les résultats) sur les PAE réalisés par l'ANETI. Valeur de référence : Aucun rapport périodique n'existe.</w:t>
            </w:r>
          </w:p>
        </w:tc>
        <w:tc>
          <w:tcPr>
            <w:tcW w:w="1582" w:type="pct"/>
            <w:shd w:val="clear" w:color="auto" w:fill="auto"/>
          </w:tcPr>
          <w:p w:rsidR="000F237B" w:rsidRPr="001C05F6" w:rsidRDefault="000F237B" w:rsidP="000C70E6">
            <w:pPr>
              <w:rPr>
                <w:bCs/>
                <w:sz w:val="16"/>
                <w:szCs w:val="16"/>
              </w:rPr>
            </w:pPr>
            <w:r>
              <w:rPr>
                <w:b/>
                <w:sz w:val="16"/>
              </w:rPr>
              <w:lastRenderedPageBreak/>
              <w:t>AAA en cours</w:t>
            </w:r>
            <w:r>
              <w:rPr>
                <w:sz w:val="16"/>
              </w:rPr>
              <w:t> :</w:t>
            </w:r>
          </w:p>
          <w:p w:rsidR="000F237B" w:rsidRPr="001C05F6" w:rsidRDefault="000F237B" w:rsidP="000F237B">
            <w:pPr>
              <w:pStyle w:val="ListParagraph"/>
              <w:numPr>
                <w:ilvl w:val="0"/>
                <w:numId w:val="24"/>
              </w:numPr>
              <w:rPr>
                <w:bCs/>
                <w:iCs/>
                <w:sz w:val="16"/>
                <w:szCs w:val="16"/>
              </w:rPr>
            </w:pPr>
            <w:r>
              <w:rPr>
                <w:sz w:val="16"/>
              </w:rPr>
              <w:t>AT emploi (programme de S&amp;E des programmes d'emploi)</w:t>
            </w:r>
          </w:p>
          <w:p w:rsidR="000F237B" w:rsidRPr="001C05F6" w:rsidRDefault="000F237B" w:rsidP="000C70E6">
            <w:pPr>
              <w:rPr>
                <w:b/>
                <w:bCs/>
                <w:iCs/>
                <w:sz w:val="16"/>
                <w:szCs w:val="16"/>
              </w:rPr>
            </w:pPr>
            <w:r>
              <w:rPr>
                <w:b/>
                <w:sz w:val="16"/>
              </w:rPr>
              <w:t>Proposition de prêt :</w:t>
            </w:r>
          </w:p>
          <w:p w:rsidR="000F237B" w:rsidRPr="001C05F6" w:rsidRDefault="000F237B" w:rsidP="000F237B">
            <w:pPr>
              <w:pStyle w:val="ListParagraph"/>
              <w:numPr>
                <w:ilvl w:val="0"/>
                <w:numId w:val="31"/>
              </w:numPr>
              <w:ind w:left="761" w:hanging="390"/>
              <w:rPr>
                <w:rFonts w:asciiTheme="minorHAnsi" w:hAnsiTheme="minorHAnsi"/>
                <w:bCs/>
                <w:sz w:val="16"/>
                <w:szCs w:val="16"/>
              </w:rPr>
            </w:pPr>
            <w:r>
              <w:rPr>
                <w:sz w:val="16"/>
              </w:rPr>
              <w:t>PPD annuel multisectoriel</w:t>
            </w:r>
          </w:p>
          <w:p w:rsidR="000F237B" w:rsidRPr="001C05F6" w:rsidRDefault="000F237B" w:rsidP="000F237B">
            <w:pPr>
              <w:pStyle w:val="ListParagraph"/>
              <w:numPr>
                <w:ilvl w:val="0"/>
                <w:numId w:val="24"/>
              </w:numPr>
              <w:rPr>
                <w:bCs/>
                <w:sz w:val="16"/>
                <w:szCs w:val="16"/>
              </w:rPr>
            </w:pPr>
            <w:r>
              <w:rPr>
                <w:sz w:val="16"/>
              </w:rPr>
              <w:t>Garantie sur base de politique</w:t>
            </w:r>
          </w:p>
          <w:p w:rsidR="000F237B" w:rsidRPr="001C05F6" w:rsidRDefault="000F237B" w:rsidP="000C70E6">
            <w:pPr>
              <w:rPr>
                <w:b/>
                <w:bCs/>
                <w:sz w:val="16"/>
                <w:szCs w:val="16"/>
              </w:rPr>
            </w:pPr>
            <w:r>
              <w:rPr>
                <w:b/>
                <w:sz w:val="16"/>
              </w:rPr>
              <w:lastRenderedPageBreak/>
              <w:t>Proposition d'AAA :</w:t>
            </w:r>
          </w:p>
          <w:p w:rsidR="000F237B" w:rsidRPr="001C05F6" w:rsidRDefault="000F237B" w:rsidP="000F237B">
            <w:pPr>
              <w:pStyle w:val="ListParagraph"/>
              <w:numPr>
                <w:ilvl w:val="0"/>
                <w:numId w:val="34"/>
              </w:numPr>
              <w:rPr>
                <w:bCs/>
                <w:sz w:val="16"/>
                <w:szCs w:val="16"/>
              </w:rPr>
            </w:pPr>
            <w:r>
              <w:rPr>
                <w:sz w:val="16"/>
              </w:rPr>
              <w:t>Évaluation des PAE</w:t>
            </w:r>
          </w:p>
          <w:p w:rsidR="000F237B" w:rsidRPr="001C05F6" w:rsidRDefault="000F237B" w:rsidP="000C70E6">
            <w:pPr>
              <w:pStyle w:val="ListParagraph"/>
              <w:rPr>
                <w:b/>
                <w:bCs/>
                <w:sz w:val="16"/>
                <w:szCs w:val="16"/>
              </w:rPr>
            </w:pPr>
          </w:p>
        </w:tc>
      </w:tr>
    </w:tbl>
    <w:tbl>
      <w:tblPr>
        <w:tblStyle w:val="TableGrid"/>
        <w:tblpPr w:leftFromText="180" w:rightFromText="180" w:vertAnchor="page" w:horzAnchor="margin" w:tblpY="3316"/>
        <w:tblW w:w="5323" w:type="pct"/>
        <w:tblLayout w:type="fixed"/>
        <w:tblLook w:val="04A0"/>
      </w:tblPr>
      <w:tblGrid>
        <w:gridCol w:w="2988"/>
        <w:gridCol w:w="6604"/>
        <w:gridCol w:w="4435"/>
      </w:tblGrid>
      <w:tr w:rsidR="00B2051E" w:rsidRPr="00E611D4" w:rsidTr="00B2051E">
        <w:trPr>
          <w:trHeight w:val="305"/>
        </w:trPr>
        <w:tc>
          <w:tcPr>
            <w:tcW w:w="5000" w:type="pct"/>
            <w:gridSpan w:val="3"/>
            <w:shd w:val="clear" w:color="auto" w:fill="C0504D" w:themeFill="accent2"/>
          </w:tcPr>
          <w:p w:rsidR="00B2051E" w:rsidRPr="00377550" w:rsidRDefault="00B2051E" w:rsidP="00B2051E">
            <w:pPr>
              <w:jc w:val="center"/>
              <w:rPr>
                <w:b/>
                <w:bCs/>
                <w:color w:val="FFFFFF" w:themeColor="background1"/>
              </w:rPr>
            </w:pPr>
            <w:r>
              <w:lastRenderedPageBreak/>
              <w:br w:type="page"/>
            </w:r>
            <w:r w:rsidRPr="00B2051E">
              <w:rPr>
                <w:b/>
                <w:color w:val="FFFFFF" w:themeColor="background1"/>
                <w:sz w:val="18"/>
              </w:rPr>
              <w:t>DOMAINE II. PROMOTION DE L'INCLUSION SOCIALE ET ÉCONOMIQUE</w:t>
            </w:r>
          </w:p>
        </w:tc>
      </w:tr>
      <w:tr w:rsidR="00B2051E" w:rsidRPr="000B3054" w:rsidTr="00B2051E">
        <w:trPr>
          <w:trHeight w:val="305"/>
        </w:trPr>
        <w:tc>
          <w:tcPr>
            <w:tcW w:w="1065" w:type="pct"/>
            <w:shd w:val="clear" w:color="auto" w:fill="auto"/>
          </w:tcPr>
          <w:p w:rsidR="00B2051E" w:rsidRPr="00755860" w:rsidRDefault="00B2051E" w:rsidP="00B2051E">
            <w:pPr>
              <w:jc w:val="center"/>
              <w:rPr>
                <w:b/>
                <w:bCs/>
                <w:color w:val="FFFFFF" w:themeColor="background1"/>
                <w:sz w:val="18"/>
                <w:szCs w:val="18"/>
              </w:rPr>
            </w:pPr>
            <w:r>
              <w:rPr>
                <w:b/>
                <w:sz w:val="18"/>
              </w:rPr>
              <w:t xml:space="preserve">Objectifs d'action </w:t>
            </w:r>
          </w:p>
        </w:tc>
        <w:tc>
          <w:tcPr>
            <w:tcW w:w="2354" w:type="pct"/>
            <w:shd w:val="clear" w:color="auto" w:fill="auto"/>
          </w:tcPr>
          <w:p w:rsidR="00B2051E" w:rsidRPr="00755860" w:rsidRDefault="00B2051E" w:rsidP="00B2051E">
            <w:pPr>
              <w:jc w:val="center"/>
              <w:rPr>
                <w:b/>
                <w:bCs/>
                <w:color w:val="FFFFFF" w:themeColor="background1"/>
                <w:sz w:val="18"/>
                <w:szCs w:val="18"/>
              </w:rPr>
            </w:pPr>
            <w:r>
              <w:rPr>
                <w:b/>
                <w:sz w:val="18"/>
              </w:rPr>
              <w:t>Résultats et indicateurs</w:t>
            </w:r>
          </w:p>
        </w:tc>
        <w:tc>
          <w:tcPr>
            <w:tcW w:w="1581" w:type="pct"/>
            <w:shd w:val="clear" w:color="auto" w:fill="auto"/>
          </w:tcPr>
          <w:p w:rsidR="00B2051E" w:rsidRPr="00755860" w:rsidRDefault="00B2051E" w:rsidP="00B2051E">
            <w:pPr>
              <w:jc w:val="center"/>
              <w:rPr>
                <w:b/>
                <w:bCs/>
                <w:color w:val="FFFFFF" w:themeColor="background1"/>
                <w:sz w:val="18"/>
                <w:szCs w:val="18"/>
              </w:rPr>
            </w:pPr>
            <w:r>
              <w:rPr>
                <w:b/>
                <w:sz w:val="18"/>
              </w:rPr>
              <w:t>Programme du Groupe de la Banque mondiale</w:t>
            </w:r>
          </w:p>
        </w:tc>
      </w:tr>
      <w:tr w:rsidR="00B2051E" w:rsidRPr="000B3054" w:rsidTr="00B2051E">
        <w:trPr>
          <w:trHeight w:val="305"/>
        </w:trPr>
        <w:tc>
          <w:tcPr>
            <w:tcW w:w="1065" w:type="pct"/>
            <w:shd w:val="clear" w:color="auto" w:fill="auto"/>
          </w:tcPr>
          <w:p w:rsidR="00B2051E" w:rsidRPr="001C05F6" w:rsidRDefault="00B2051E" w:rsidP="00B2051E">
            <w:pPr>
              <w:pStyle w:val="ListParagraph"/>
              <w:numPr>
                <w:ilvl w:val="0"/>
                <w:numId w:val="16"/>
              </w:numPr>
              <w:rPr>
                <w:bCs/>
                <w:i/>
                <w:sz w:val="16"/>
                <w:szCs w:val="16"/>
              </w:rPr>
            </w:pPr>
            <w:r>
              <w:rPr>
                <w:i/>
                <w:sz w:val="16"/>
              </w:rPr>
              <w:t>Amélioration de l'accès aux services de base des communautés mal desservies</w:t>
            </w:r>
          </w:p>
          <w:p w:rsidR="00B2051E" w:rsidRPr="001C05F6" w:rsidRDefault="00B2051E" w:rsidP="00B2051E">
            <w:pPr>
              <w:rPr>
                <w:b/>
                <w:bCs/>
                <w:color w:val="FFFFFF" w:themeColor="background1"/>
                <w:sz w:val="16"/>
                <w:szCs w:val="16"/>
              </w:rPr>
            </w:pPr>
          </w:p>
        </w:tc>
        <w:tc>
          <w:tcPr>
            <w:tcW w:w="2354" w:type="pct"/>
            <w:shd w:val="clear" w:color="auto" w:fill="auto"/>
          </w:tcPr>
          <w:p w:rsidR="00B2051E" w:rsidRPr="001C05F6" w:rsidRDefault="00B2051E" w:rsidP="00B2051E">
            <w:pPr>
              <w:pStyle w:val="ListParagraph"/>
              <w:numPr>
                <w:ilvl w:val="0"/>
                <w:numId w:val="24"/>
              </w:numPr>
              <w:spacing w:after="200" w:line="276" w:lineRule="auto"/>
              <w:rPr>
                <w:bCs/>
                <w:i/>
                <w:sz w:val="16"/>
                <w:szCs w:val="16"/>
              </w:rPr>
            </w:pPr>
            <w:r>
              <w:rPr>
                <w:sz w:val="16"/>
              </w:rPr>
              <w:t>Amélioration de l'accès aux infrastructures et services de base dans les communautés rurales.</w:t>
            </w:r>
          </w:p>
          <w:p w:rsidR="00B2051E" w:rsidRPr="001C05F6" w:rsidRDefault="00B2051E" w:rsidP="00B2051E">
            <w:pPr>
              <w:pStyle w:val="ListParagraph"/>
              <w:numPr>
                <w:ilvl w:val="1"/>
                <w:numId w:val="35"/>
              </w:numPr>
              <w:spacing w:after="200" w:line="276" w:lineRule="auto"/>
              <w:rPr>
                <w:bCs/>
                <w:i/>
                <w:sz w:val="16"/>
                <w:szCs w:val="16"/>
              </w:rPr>
            </w:pPr>
            <w:r>
              <w:rPr>
                <w:sz w:val="16"/>
              </w:rPr>
              <w:t xml:space="preserve">20% des Imadas rurales ciblées avec accès amélioré aux infrastructures et services de base. </w:t>
            </w:r>
          </w:p>
          <w:p w:rsidR="00B2051E" w:rsidRPr="001C05F6" w:rsidRDefault="00B2051E" w:rsidP="00B2051E">
            <w:pPr>
              <w:pStyle w:val="ListParagraph"/>
              <w:numPr>
                <w:ilvl w:val="1"/>
                <w:numId w:val="35"/>
              </w:numPr>
              <w:spacing w:after="200" w:line="276" w:lineRule="auto"/>
              <w:rPr>
                <w:bCs/>
                <w:i/>
                <w:sz w:val="16"/>
                <w:szCs w:val="16"/>
              </w:rPr>
            </w:pPr>
            <w:r>
              <w:rPr>
                <w:sz w:val="16"/>
              </w:rPr>
              <w:t>Capacité de stockage de l'eau augmentée de 12 000 m</w:t>
            </w:r>
            <w:r>
              <w:rPr>
                <w:sz w:val="16"/>
                <w:vertAlign w:val="superscript"/>
              </w:rPr>
              <w:t>3.</w:t>
            </w:r>
          </w:p>
          <w:p w:rsidR="00B2051E" w:rsidRPr="001C05F6" w:rsidRDefault="00B2051E" w:rsidP="00B2051E">
            <w:pPr>
              <w:pStyle w:val="ListParagraph"/>
              <w:numPr>
                <w:ilvl w:val="1"/>
                <w:numId w:val="35"/>
              </w:numPr>
              <w:spacing w:after="200" w:line="276" w:lineRule="auto"/>
              <w:rPr>
                <w:bCs/>
                <w:i/>
                <w:sz w:val="16"/>
                <w:szCs w:val="16"/>
              </w:rPr>
            </w:pPr>
            <w:r>
              <w:rPr>
                <w:rFonts w:asciiTheme="majorHAnsi" w:hAnsiTheme="majorHAnsi"/>
                <w:sz w:val="16"/>
              </w:rPr>
              <w:t>10% des personnes vulnérables, notamment les femmes et les jeunes, cherchant à se lancer dans des activités lucratives ont obtenu un financement. Valeur de référence 0 (2010)</w:t>
            </w:r>
          </w:p>
          <w:p w:rsidR="00B2051E" w:rsidRPr="001C05F6" w:rsidRDefault="00B2051E" w:rsidP="00B2051E">
            <w:pPr>
              <w:pStyle w:val="ListParagraph"/>
              <w:numPr>
                <w:ilvl w:val="0"/>
                <w:numId w:val="28"/>
              </w:numPr>
              <w:spacing w:after="200" w:line="276" w:lineRule="auto"/>
              <w:rPr>
                <w:bCs/>
                <w:sz w:val="16"/>
                <w:szCs w:val="16"/>
              </w:rPr>
            </w:pPr>
            <w:r>
              <w:rPr>
                <w:sz w:val="16"/>
              </w:rPr>
              <w:t>Amélioration de la gestion des ressources naturelles et développement participatif communautaire dans les communautés rurales.</w:t>
            </w:r>
          </w:p>
          <w:p w:rsidR="00B2051E" w:rsidRPr="001C05F6" w:rsidRDefault="00B2051E" w:rsidP="00B2051E">
            <w:pPr>
              <w:pStyle w:val="ListParagraph"/>
              <w:numPr>
                <w:ilvl w:val="1"/>
                <w:numId w:val="24"/>
              </w:numPr>
              <w:spacing w:after="200" w:line="276" w:lineRule="auto"/>
              <w:rPr>
                <w:bCs/>
                <w:sz w:val="16"/>
                <w:szCs w:val="16"/>
              </w:rPr>
            </w:pPr>
            <w:r>
              <w:rPr>
                <w:sz w:val="16"/>
              </w:rPr>
              <w:t>33% des terres engagées dans conservation des sols et de l'eau. Valeur de référence : 30,9 % (2010)</w:t>
            </w:r>
          </w:p>
          <w:p w:rsidR="00B2051E" w:rsidRPr="001C05F6" w:rsidRDefault="00B2051E" w:rsidP="00B2051E">
            <w:pPr>
              <w:pStyle w:val="ListParagraph"/>
              <w:numPr>
                <w:ilvl w:val="1"/>
                <w:numId w:val="24"/>
              </w:numPr>
              <w:spacing w:after="200" w:line="276" w:lineRule="auto"/>
              <w:rPr>
                <w:rFonts w:asciiTheme="minorHAnsi" w:hAnsiTheme="minorHAnsi"/>
                <w:bCs/>
                <w:sz w:val="16"/>
                <w:szCs w:val="16"/>
              </w:rPr>
            </w:pPr>
            <w:r>
              <w:rPr>
                <w:sz w:val="16"/>
              </w:rPr>
              <w:t>97 secteurs de l'administration ont leur population organisée en groupes de développement communautaire et ont préparé des Plans de développement communautaire mis en œuvre en collaboration avec un partenaire. Valeur de référence : 37 (2010)</w:t>
            </w:r>
          </w:p>
          <w:p w:rsidR="00B2051E" w:rsidRPr="001C05F6" w:rsidRDefault="00B2051E" w:rsidP="00B2051E">
            <w:pPr>
              <w:pStyle w:val="ListParagraph"/>
              <w:numPr>
                <w:ilvl w:val="1"/>
                <w:numId w:val="24"/>
              </w:numPr>
              <w:spacing w:after="200" w:line="276" w:lineRule="auto"/>
              <w:rPr>
                <w:rFonts w:asciiTheme="majorHAnsi" w:hAnsiTheme="majorHAnsi"/>
                <w:bCs/>
                <w:sz w:val="16"/>
                <w:szCs w:val="16"/>
              </w:rPr>
            </w:pPr>
            <w:r>
              <w:rPr>
                <w:rFonts w:asciiTheme="majorHAnsi" w:hAnsiTheme="majorHAnsi"/>
                <w:sz w:val="16"/>
              </w:rPr>
              <w:t>75 activités lucratives gérées par des femmes et de jeunes diplômés. Valeur de référence 0 (2010)</w:t>
            </w:r>
          </w:p>
        </w:tc>
        <w:tc>
          <w:tcPr>
            <w:tcW w:w="1581" w:type="pct"/>
            <w:shd w:val="clear" w:color="auto" w:fill="auto"/>
          </w:tcPr>
          <w:p w:rsidR="00B2051E" w:rsidRPr="001C05F6" w:rsidRDefault="00B2051E" w:rsidP="00B2051E">
            <w:pPr>
              <w:rPr>
                <w:bCs/>
                <w:sz w:val="16"/>
                <w:szCs w:val="16"/>
              </w:rPr>
            </w:pPr>
            <w:r>
              <w:rPr>
                <w:b/>
                <w:sz w:val="16"/>
              </w:rPr>
              <w:t>Prêts en cours</w:t>
            </w:r>
            <w:r>
              <w:rPr>
                <w:sz w:val="16"/>
              </w:rPr>
              <w:t xml:space="preserve"> : </w:t>
            </w:r>
          </w:p>
          <w:p w:rsidR="00B2051E" w:rsidRPr="001C05F6" w:rsidRDefault="00B2051E" w:rsidP="00B2051E">
            <w:pPr>
              <w:pStyle w:val="ListParagraph"/>
              <w:numPr>
                <w:ilvl w:val="0"/>
                <w:numId w:val="21"/>
              </w:numPr>
              <w:rPr>
                <w:bCs/>
                <w:iCs/>
                <w:sz w:val="16"/>
                <w:szCs w:val="16"/>
              </w:rPr>
            </w:pPr>
            <w:r>
              <w:rPr>
                <w:sz w:val="16"/>
              </w:rPr>
              <w:t>Quatrième Projet de développement des zones montagneuses et forestières du nord-ouest</w:t>
            </w:r>
          </w:p>
          <w:p w:rsidR="00B2051E" w:rsidRPr="001C05F6" w:rsidRDefault="00B2051E" w:rsidP="00B2051E">
            <w:pPr>
              <w:pStyle w:val="ListParagraph"/>
              <w:numPr>
                <w:ilvl w:val="0"/>
                <w:numId w:val="21"/>
              </w:numPr>
              <w:rPr>
                <w:b/>
                <w:bCs/>
                <w:sz w:val="16"/>
                <w:szCs w:val="16"/>
              </w:rPr>
            </w:pPr>
            <w:r>
              <w:rPr>
                <w:sz w:val="16"/>
              </w:rPr>
              <w:t>Deuxième Projet de gestion des ressources naturelles</w:t>
            </w:r>
          </w:p>
          <w:p w:rsidR="00B2051E" w:rsidRPr="001C05F6" w:rsidRDefault="00B2051E" w:rsidP="00B2051E">
            <w:pPr>
              <w:rPr>
                <w:b/>
                <w:bCs/>
                <w:sz w:val="16"/>
                <w:szCs w:val="16"/>
              </w:rPr>
            </w:pPr>
            <w:r>
              <w:rPr>
                <w:b/>
                <w:sz w:val="16"/>
              </w:rPr>
              <w:t>Proposition d'AAA :</w:t>
            </w:r>
          </w:p>
          <w:p w:rsidR="00B2051E" w:rsidRPr="001C05F6" w:rsidRDefault="00B2051E" w:rsidP="00B2051E">
            <w:pPr>
              <w:pStyle w:val="ListParagraph"/>
              <w:numPr>
                <w:ilvl w:val="0"/>
                <w:numId w:val="31"/>
              </w:numPr>
              <w:rPr>
                <w:bCs/>
                <w:sz w:val="16"/>
                <w:szCs w:val="16"/>
              </w:rPr>
            </w:pPr>
            <w:r>
              <w:rPr>
                <w:sz w:val="16"/>
              </w:rPr>
              <w:t>Évaluation périurbaine</w:t>
            </w:r>
          </w:p>
          <w:p w:rsidR="00B2051E" w:rsidRPr="001C05F6" w:rsidRDefault="00B2051E" w:rsidP="00B2051E">
            <w:pPr>
              <w:pStyle w:val="ListParagraph"/>
              <w:numPr>
                <w:ilvl w:val="0"/>
                <w:numId w:val="31"/>
              </w:numPr>
              <w:rPr>
                <w:bCs/>
                <w:sz w:val="16"/>
                <w:szCs w:val="16"/>
              </w:rPr>
            </w:pPr>
            <w:r>
              <w:rPr>
                <w:sz w:val="16"/>
              </w:rPr>
              <w:t>Finances municipales</w:t>
            </w:r>
          </w:p>
          <w:p w:rsidR="00B2051E" w:rsidRPr="001C05F6" w:rsidRDefault="00B2051E" w:rsidP="00B2051E">
            <w:pPr>
              <w:pStyle w:val="ListParagraph"/>
              <w:numPr>
                <w:ilvl w:val="0"/>
                <w:numId w:val="31"/>
              </w:numPr>
              <w:rPr>
                <w:bCs/>
                <w:sz w:val="16"/>
                <w:szCs w:val="16"/>
              </w:rPr>
            </w:pPr>
            <w:r>
              <w:rPr>
                <w:sz w:val="16"/>
              </w:rPr>
              <w:t>Décentralisation administrative</w:t>
            </w:r>
          </w:p>
          <w:p w:rsidR="00B2051E" w:rsidRPr="001C05F6" w:rsidRDefault="00B2051E" w:rsidP="00B2051E">
            <w:pPr>
              <w:pStyle w:val="ListParagraph"/>
              <w:numPr>
                <w:ilvl w:val="0"/>
                <w:numId w:val="31"/>
              </w:numPr>
              <w:rPr>
                <w:bCs/>
                <w:sz w:val="16"/>
                <w:szCs w:val="16"/>
              </w:rPr>
            </w:pPr>
            <w:r>
              <w:rPr>
                <w:sz w:val="16"/>
              </w:rPr>
              <w:t>Options de développement urbain</w:t>
            </w:r>
          </w:p>
        </w:tc>
      </w:tr>
      <w:tr w:rsidR="00B2051E" w:rsidRPr="000B3054" w:rsidTr="00B2051E">
        <w:trPr>
          <w:trHeight w:val="305"/>
        </w:trPr>
        <w:tc>
          <w:tcPr>
            <w:tcW w:w="1065" w:type="pct"/>
            <w:shd w:val="clear" w:color="auto" w:fill="auto"/>
          </w:tcPr>
          <w:p w:rsidR="00B2051E" w:rsidRPr="001C05F6" w:rsidRDefault="00B2051E" w:rsidP="00B2051E">
            <w:pPr>
              <w:pStyle w:val="ListParagraph"/>
              <w:numPr>
                <w:ilvl w:val="0"/>
                <w:numId w:val="16"/>
              </w:numPr>
              <w:rPr>
                <w:bCs/>
                <w:i/>
                <w:sz w:val="16"/>
                <w:szCs w:val="16"/>
              </w:rPr>
            </w:pPr>
            <w:r>
              <w:rPr>
                <w:i/>
                <w:sz w:val="16"/>
              </w:rPr>
              <w:t xml:space="preserve">Amélioration de l'efficacité des programmes de filets de protection sociale </w:t>
            </w:r>
          </w:p>
          <w:p w:rsidR="00B2051E" w:rsidRPr="001C05F6" w:rsidRDefault="00B2051E" w:rsidP="00B2051E">
            <w:pPr>
              <w:pStyle w:val="ListParagraph"/>
              <w:numPr>
                <w:ilvl w:val="1"/>
                <w:numId w:val="25"/>
              </w:numPr>
              <w:rPr>
                <w:b/>
                <w:bCs/>
                <w:color w:val="FFFFFF" w:themeColor="background1"/>
                <w:sz w:val="16"/>
                <w:szCs w:val="16"/>
              </w:rPr>
            </w:pPr>
          </w:p>
        </w:tc>
        <w:tc>
          <w:tcPr>
            <w:tcW w:w="2354" w:type="pct"/>
            <w:shd w:val="clear" w:color="auto" w:fill="auto"/>
          </w:tcPr>
          <w:p w:rsidR="00B2051E" w:rsidRDefault="00B2051E" w:rsidP="00B2051E">
            <w:pPr>
              <w:pStyle w:val="ListParagraph"/>
              <w:numPr>
                <w:ilvl w:val="1"/>
                <w:numId w:val="25"/>
              </w:numPr>
              <w:ind w:left="795" w:hanging="420"/>
              <w:rPr>
                <w:bCs/>
                <w:sz w:val="16"/>
                <w:szCs w:val="16"/>
              </w:rPr>
            </w:pPr>
            <w:r>
              <w:rPr>
                <w:sz w:val="16"/>
              </w:rPr>
              <w:t>Personnel de l'INS formé à la nouvelle méthodologie de mesure de la pauvreté et aux diagnostics de la pauvreté et de la protection sociale</w:t>
            </w:r>
          </w:p>
          <w:p w:rsidR="00B2051E" w:rsidRDefault="00B2051E" w:rsidP="00B2051E">
            <w:pPr>
              <w:pStyle w:val="ListParagraph"/>
              <w:numPr>
                <w:ilvl w:val="2"/>
                <w:numId w:val="25"/>
              </w:numPr>
              <w:ind w:left="1412" w:hanging="330"/>
              <w:rPr>
                <w:bCs/>
                <w:sz w:val="16"/>
                <w:szCs w:val="16"/>
              </w:rPr>
            </w:pPr>
            <w:r>
              <w:rPr>
                <w:sz w:val="16"/>
              </w:rPr>
              <w:t>Dix agents de l'INS formés aux nouvelles méthodologies. Valeur de référence : 0 (2011)</w:t>
            </w:r>
          </w:p>
          <w:p w:rsidR="00B2051E" w:rsidRPr="00300126" w:rsidRDefault="00B2051E" w:rsidP="00B2051E">
            <w:pPr>
              <w:pStyle w:val="ListParagraph"/>
              <w:numPr>
                <w:ilvl w:val="2"/>
                <w:numId w:val="25"/>
              </w:numPr>
              <w:ind w:left="1412" w:hanging="330"/>
              <w:rPr>
                <w:bCs/>
                <w:sz w:val="16"/>
                <w:szCs w:val="16"/>
              </w:rPr>
            </w:pPr>
            <w:r>
              <w:rPr>
                <w:sz w:val="16"/>
              </w:rPr>
              <w:t>Dix agents de l'INS formés aux diagnostics de la pauvreté et de la protection sociale. Valeur de référence : 0 (2011)</w:t>
            </w:r>
          </w:p>
          <w:p w:rsidR="00B2051E" w:rsidRPr="00300126" w:rsidRDefault="00B2051E" w:rsidP="00B2051E">
            <w:pPr>
              <w:pStyle w:val="ListParagraph"/>
              <w:ind w:left="795"/>
              <w:rPr>
                <w:bCs/>
                <w:sz w:val="16"/>
                <w:szCs w:val="16"/>
              </w:rPr>
            </w:pPr>
          </w:p>
          <w:p w:rsidR="00B2051E" w:rsidRPr="00300126" w:rsidRDefault="00B2051E" w:rsidP="00B2051E">
            <w:pPr>
              <w:pStyle w:val="ListParagraph"/>
              <w:numPr>
                <w:ilvl w:val="1"/>
                <w:numId w:val="25"/>
              </w:numPr>
              <w:ind w:left="795" w:hanging="420"/>
              <w:rPr>
                <w:bCs/>
                <w:sz w:val="16"/>
                <w:szCs w:val="16"/>
              </w:rPr>
            </w:pPr>
            <w:r>
              <w:rPr>
                <w:sz w:val="16"/>
              </w:rPr>
              <w:t>L'INS doit publier la méthodologie d'évaluation de la pauvreté en ligne.</w:t>
            </w:r>
          </w:p>
          <w:p w:rsidR="00B2051E" w:rsidRPr="00300126" w:rsidRDefault="00B2051E" w:rsidP="00B2051E">
            <w:pPr>
              <w:pStyle w:val="ListParagraph"/>
              <w:numPr>
                <w:ilvl w:val="2"/>
                <w:numId w:val="25"/>
              </w:numPr>
              <w:ind w:left="1412" w:hanging="330"/>
              <w:rPr>
                <w:bCs/>
                <w:sz w:val="16"/>
                <w:szCs w:val="16"/>
              </w:rPr>
            </w:pPr>
            <w:r>
              <w:rPr>
                <w:sz w:val="16"/>
              </w:rPr>
              <w:t>Les chercheurs peuvent accéder aux informations en ligne après la mise en place de la nouvelle méthodologie. Valeur de référence : 0 (2012)</w:t>
            </w:r>
          </w:p>
          <w:p w:rsidR="00B2051E" w:rsidRPr="00175549" w:rsidRDefault="00B2051E" w:rsidP="00B2051E">
            <w:pPr>
              <w:ind w:left="375"/>
              <w:rPr>
                <w:bCs/>
                <w:sz w:val="16"/>
                <w:szCs w:val="16"/>
              </w:rPr>
            </w:pPr>
          </w:p>
          <w:p w:rsidR="00B2051E" w:rsidRPr="00175549" w:rsidRDefault="00B2051E" w:rsidP="00B2051E">
            <w:pPr>
              <w:pStyle w:val="ListParagraph"/>
              <w:numPr>
                <w:ilvl w:val="1"/>
                <w:numId w:val="25"/>
              </w:numPr>
              <w:ind w:left="795" w:hanging="420"/>
              <w:rPr>
                <w:bCs/>
                <w:sz w:val="16"/>
                <w:szCs w:val="16"/>
              </w:rPr>
            </w:pPr>
            <w:r>
              <w:rPr>
                <w:sz w:val="16"/>
              </w:rPr>
              <w:t>Meilleur ciblage des services sociaux</w:t>
            </w:r>
          </w:p>
          <w:p w:rsidR="00B2051E" w:rsidRPr="00300126" w:rsidRDefault="00B2051E" w:rsidP="00B2051E">
            <w:pPr>
              <w:pStyle w:val="ListParagraph"/>
              <w:numPr>
                <w:ilvl w:val="2"/>
                <w:numId w:val="25"/>
              </w:numPr>
              <w:ind w:left="1412" w:hanging="330"/>
              <w:rPr>
                <w:bCs/>
                <w:sz w:val="16"/>
                <w:szCs w:val="16"/>
              </w:rPr>
            </w:pPr>
            <w:r>
              <w:rPr>
                <w:sz w:val="16"/>
              </w:rPr>
              <w:t>Mise à jour des critères d'éligibilité des bénéficiaires. Valeur de référence : Aucune mise à jour (2011)</w:t>
            </w:r>
          </w:p>
          <w:p w:rsidR="00B2051E" w:rsidRPr="00300126" w:rsidRDefault="00B2051E" w:rsidP="00B2051E">
            <w:pPr>
              <w:pStyle w:val="ListParagraph"/>
              <w:numPr>
                <w:ilvl w:val="2"/>
                <w:numId w:val="25"/>
              </w:numPr>
              <w:ind w:left="1412" w:hanging="330"/>
              <w:rPr>
                <w:bCs/>
                <w:sz w:val="16"/>
                <w:szCs w:val="16"/>
              </w:rPr>
            </w:pPr>
            <w:r>
              <w:rPr>
                <w:sz w:val="16"/>
              </w:rPr>
              <w:t>Base de données unifiée de renseignements sur les bénéficiaires créée. Valeur de référence : 0 (2011)</w:t>
            </w:r>
          </w:p>
          <w:p w:rsidR="00B2051E" w:rsidRDefault="00B2051E" w:rsidP="00B2051E">
            <w:pPr>
              <w:pStyle w:val="ListParagraph"/>
              <w:numPr>
                <w:ilvl w:val="2"/>
                <w:numId w:val="25"/>
              </w:numPr>
              <w:ind w:left="1412" w:hanging="330"/>
              <w:rPr>
                <w:bCs/>
                <w:sz w:val="16"/>
                <w:szCs w:val="16"/>
              </w:rPr>
            </w:pPr>
            <w:r>
              <w:rPr>
                <w:sz w:val="16"/>
              </w:rPr>
              <w:t>Cadre de suivi des mécanismes de ciblage créé. Valeur de référence : 0 (2011)</w:t>
            </w:r>
          </w:p>
          <w:p w:rsidR="00B2051E" w:rsidRPr="000F237B" w:rsidRDefault="00B2051E" w:rsidP="00B2051E">
            <w:pPr>
              <w:pStyle w:val="ListParagraph"/>
              <w:numPr>
                <w:ilvl w:val="2"/>
                <w:numId w:val="25"/>
              </w:numPr>
              <w:ind w:left="1412" w:hanging="330"/>
              <w:rPr>
                <w:bCs/>
                <w:sz w:val="16"/>
                <w:szCs w:val="16"/>
              </w:rPr>
            </w:pPr>
            <w:r>
              <w:rPr>
                <w:sz w:val="16"/>
              </w:rPr>
              <w:t>30 % des travailleurs communautaires sont des femmes. Valeur de référence : 0 (2011)</w:t>
            </w:r>
          </w:p>
          <w:p w:rsidR="00B2051E" w:rsidRPr="001C05F6" w:rsidRDefault="00B2051E" w:rsidP="00B2051E">
            <w:pPr>
              <w:jc w:val="center"/>
              <w:rPr>
                <w:b/>
                <w:bCs/>
                <w:color w:val="FFFFFF" w:themeColor="background1"/>
                <w:sz w:val="16"/>
                <w:szCs w:val="16"/>
              </w:rPr>
            </w:pPr>
          </w:p>
        </w:tc>
        <w:tc>
          <w:tcPr>
            <w:tcW w:w="1581" w:type="pct"/>
            <w:shd w:val="clear" w:color="auto" w:fill="auto"/>
          </w:tcPr>
          <w:p w:rsidR="00B2051E" w:rsidRPr="001C05F6" w:rsidRDefault="00B2051E" w:rsidP="00B2051E">
            <w:pPr>
              <w:rPr>
                <w:bCs/>
                <w:sz w:val="16"/>
                <w:szCs w:val="16"/>
              </w:rPr>
            </w:pPr>
            <w:r>
              <w:rPr>
                <w:b/>
                <w:sz w:val="16"/>
              </w:rPr>
              <w:t>AAA et fonds fiduciaires en cours</w:t>
            </w:r>
            <w:r>
              <w:rPr>
                <w:sz w:val="16"/>
              </w:rPr>
              <w:t xml:space="preserve"> : </w:t>
            </w:r>
          </w:p>
          <w:p w:rsidR="00B2051E" w:rsidRPr="001C05F6" w:rsidRDefault="00B2051E" w:rsidP="00B2051E">
            <w:pPr>
              <w:pStyle w:val="ListParagraph"/>
              <w:numPr>
                <w:ilvl w:val="0"/>
                <w:numId w:val="31"/>
              </w:numPr>
              <w:rPr>
                <w:bCs/>
                <w:sz w:val="16"/>
                <w:szCs w:val="16"/>
              </w:rPr>
            </w:pPr>
            <w:r>
              <w:rPr>
                <w:sz w:val="16"/>
              </w:rPr>
              <w:t>Évaluation programmatique de la pauvreté</w:t>
            </w:r>
          </w:p>
          <w:p w:rsidR="00B2051E" w:rsidRPr="001C05F6" w:rsidRDefault="00B2051E" w:rsidP="00B2051E">
            <w:pPr>
              <w:pStyle w:val="ListParagraph"/>
              <w:numPr>
                <w:ilvl w:val="0"/>
                <w:numId w:val="22"/>
              </w:numPr>
              <w:rPr>
                <w:bCs/>
                <w:iCs/>
                <w:sz w:val="16"/>
                <w:szCs w:val="16"/>
              </w:rPr>
            </w:pPr>
            <w:r>
              <w:rPr>
                <w:sz w:val="16"/>
              </w:rPr>
              <w:t>AT Gouvernance dans les secteurs sociaux</w:t>
            </w:r>
          </w:p>
          <w:p w:rsidR="00B2051E" w:rsidRPr="001C05F6" w:rsidRDefault="00B2051E" w:rsidP="00B2051E">
            <w:pPr>
              <w:pStyle w:val="ListParagraph"/>
              <w:numPr>
                <w:ilvl w:val="0"/>
                <w:numId w:val="22"/>
              </w:numPr>
              <w:rPr>
                <w:bCs/>
                <w:iCs/>
                <w:sz w:val="16"/>
                <w:szCs w:val="16"/>
              </w:rPr>
            </w:pPr>
            <w:r>
              <w:rPr>
                <w:sz w:val="16"/>
              </w:rPr>
              <w:t>Étude sur l'inclusion de la jeunesse</w:t>
            </w:r>
          </w:p>
          <w:p w:rsidR="00B2051E" w:rsidRPr="001C05F6" w:rsidRDefault="00B2051E" w:rsidP="00B2051E">
            <w:pPr>
              <w:pStyle w:val="ListParagraph"/>
              <w:numPr>
                <w:ilvl w:val="0"/>
                <w:numId w:val="22"/>
              </w:numPr>
              <w:rPr>
                <w:bCs/>
                <w:iCs/>
                <w:sz w:val="16"/>
                <w:szCs w:val="16"/>
              </w:rPr>
            </w:pPr>
            <w:r>
              <w:rPr>
                <w:sz w:val="16"/>
              </w:rPr>
              <w:t>JSDF Travaux communautaires et participation locale</w:t>
            </w:r>
          </w:p>
          <w:p w:rsidR="00B2051E" w:rsidRPr="001C05F6" w:rsidRDefault="00B2051E" w:rsidP="00B2051E">
            <w:pPr>
              <w:pStyle w:val="ListParagraph"/>
              <w:numPr>
                <w:ilvl w:val="0"/>
                <w:numId w:val="22"/>
              </w:numPr>
              <w:rPr>
                <w:bCs/>
                <w:iCs/>
                <w:sz w:val="16"/>
                <w:szCs w:val="16"/>
              </w:rPr>
            </w:pPr>
            <w:r>
              <w:rPr>
                <w:sz w:val="16"/>
              </w:rPr>
              <w:t>JSDF Aide d'urgence pour les jeunes</w:t>
            </w:r>
          </w:p>
          <w:p w:rsidR="00B2051E" w:rsidRPr="001C05F6" w:rsidRDefault="00B2051E" w:rsidP="00B2051E">
            <w:pPr>
              <w:pStyle w:val="ListParagraph"/>
              <w:numPr>
                <w:ilvl w:val="0"/>
                <w:numId w:val="22"/>
              </w:numPr>
              <w:rPr>
                <w:bCs/>
                <w:iCs/>
                <w:sz w:val="16"/>
                <w:szCs w:val="16"/>
              </w:rPr>
            </w:pPr>
            <w:r>
              <w:rPr>
                <w:sz w:val="16"/>
              </w:rPr>
              <w:t>SPF Prestation participative de services et réinsertion</w:t>
            </w:r>
          </w:p>
          <w:p w:rsidR="00B2051E" w:rsidRPr="001C05F6" w:rsidRDefault="00B2051E" w:rsidP="00B2051E">
            <w:pPr>
              <w:rPr>
                <w:b/>
                <w:bCs/>
                <w:sz w:val="16"/>
                <w:szCs w:val="16"/>
              </w:rPr>
            </w:pPr>
            <w:r>
              <w:rPr>
                <w:b/>
                <w:sz w:val="16"/>
              </w:rPr>
              <w:t>Proposition de prêt :</w:t>
            </w:r>
          </w:p>
          <w:p w:rsidR="00B2051E" w:rsidRPr="001C05F6" w:rsidRDefault="00B2051E" w:rsidP="00B2051E">
            <w:pPr>
              <w:pStyle w:val="ListParagraph"/>
              <w:numPr>
                <w:ilvl w:val="0"/>
                <w:numId w:val="31"/>
              </w:numPr>
              <w:ind w:left="761"/>
              <w:rPr>
                <w:bCs/>
                <w:sz w:val="16"/>
                <w:szCs w:val="16"/>
              </w:rPr>
            </w:pPr>
            <w:r>
              <w:rPr>
                <w:sz w:val="16"/>
              </w:rPr>
              <w:t>PPD annuel multisectoriel</w:t>
            </w:r>
          </w:p>
          <w:p w:rsidR="00B2051E" w:rsidRPr="001C05F6" w:rsidRDefault="00B2051E" w:rsidP="00B2051E">
            <w:pPr>
              <w:rPr>
                <w:b/>
                <w:bCs/>
                <w:sz w:val="16"/>
                <w:szCs w:val="16"/>
              </w:rPr>
            </w:pPr>
            <w:r>
              <w:rPr>
                <w:b/>
                <w:sz w:val="16"/>
              </w:rPr>
              <w:t>Proposition d'AAA :</w:t>
            </w:r>
          </w:p>
          <w:p w:rsidR="00B2051E" w:rsidRPr="001C05F6" w:rsidRDefault="00B2051E" w:rsidP="00B2051E">
            <w:pPr>
              <w:pStyle w:val="ListParagraph"/>
              <w:numPr>
                <w:ilvl w:val="0"/>
                <w:numId w:val="31"/>
              </w:numPr>
              <w:rPr>
                <w:bCs/>
                <w:sz w:val="16"/>
                <w:szCs w:val="16"/>
              </w:rPr>
            </w:pPr>
            <w:r>
              <w:rPr>
                <w:sz w:val="16"/>
              </w:rPr>
              <w:t>Revue des dépenses publiques</w:t>
            </w:r>
          </w:p>
        </w:tc>
      </w:tr>
    </w:tbl>
    <w:p w:rsidR="000F237B" w:rsidRPr="00755860" w:rsidRDefault="000F237B" w:rsidP="000F237B">
      <w:pPr>
        <w:rPr>
          <w:sz w:val="18"/>
          <w:szCs w:val="18"/>
        </w:rPr>
      </w:pPr>
    </w:p>
    <w:p w:rsidR="000F237B" w:rsidRDefault="000F237B">
      <w:r>
        <w:br w:type="page"/>
      </w:r>
    </w:p>
    <w:tbl>
      <w:tblPr>
        <w:tblStyle w:val="TableGrid"/>
        <w:tblpPr w:leftFromText="180" w:rightFromText="180" w:tblpY="420"/>
        <w:tblW w:w="5323" w:type="pct"/>
        <w:tblLayout w:type="fixed"/>
        <w:tblLook w:val="04A0"/>
      </w:tblPr>
      <w:tblGrid>
        <w:gridCol w:w="2988"/>
        <w:gridCol w:w="6604"/>
        <w:gridCol w:w="4435"/>
      </w:tblGrid>
      <w:tr w:rsidR="000F237B" w:rsidRPr="000B3054" w:rsidTr="000C70E6">
        <w:trPr>
          <w:trHeight w:val="305"/>
        </w:trPr>
        <w:tc>
          <w:tcPr>
            <w:tcW w:w="5000" w:type="pct"/>
            <w:gridSpan w:val="3"/>
            <w:shd w:val="clear" w:color="auto" w:fill="C0504D" w:themeFill="accent2"/>
          </w:tcPr>
          <w:p w:rsidR="000F237B" w:rsidRPr="001C05F6" w:rsidRDefault="000F237B" w:rsidP="000C70E6">
            <w:pPr>
              <w:jc w:val="center"/>
              <w:rPr>
                <w:sz w:val="18"/>
                <w:szCs w:val="18"/>
              </w:rPr>
            </w:pPr>
            <w:r>
              <w:rPr>
                <w:b/>
                <w:color w:val="FFFFFF" w:themeColor="background1"/>
                <w:sz w:val="18"/>
              </w:rPr>
              <w:lastRenderedPageBreak/>
              <w:t xml:space="preserve">Domaine III. RENFORCEMENT DE LA GOUVERNANCE : PARTICIPATION CITOYENNE, TRANSPARENCE ET RESPONSABILITÉ </w:t>
            </w:r>
          </w:p>
        </w:tc>
      </w:tr>
      <w:tr w:rsidR="000F237B" w:rsidRPr="000B3054" w:rsidTr="000C70E6">
        <w:tc>
          <w:tcPr>
            <w:tcW w:w="1065" w:type="pct"/>
          </w:tcPr>
          <w:p w:rsidR="000F237B" w:rsidRPr="001C05F6" w:rsidRDefault="000F237B" w:rsidP="000C70E6">
            <w:pPr>
              <w:jc w:val="center"/>
              <w:rPr>
                <w:sz w:val="18"/>
                <w:szCs w:val="18"/>
              </w:rPr>
            </w:pPr>
            <w:r>
              <w:rPr>
                <w:b/>
                <w:sz w:val="18"/>
              </w:rPr>
              <w:t xml:space="preserve">Objectifs d'action </w:t>
            </w:r>
          </w:p>
        </w:tc>
        <w:tc>
          <w:tcPr>
            <w:tcW w:w="2354" w:type="pct"/>
          </w:tcPr>
          <w:p w:rsidR="000F237B" w:rsidRPr="001C05F6" w:rsidRDefault="000F237B" w:rsidP="000C70E6">
            <w:pPr>
              <w:jc w:val="center"/>
              <w:rPr>
                <w:sz w:val="18"/>
                <w:szCs w:val="18"/>
              </w:rPr>
            </w:pPr>
            <w:r>
              <w:rPr>
                <w:b/>
                <w:sz w:val="18"/>
              </w:rPr>
              <w:t>Résultats et indicateurs</w:t>
            </w:r>
          </w:p>
        </w:tc>
        <w:tc>
          <w:tcPr>
            <w:tcW w:w="1581" w:type="pct"/>
          </w:tcPr>
          <w:p w:rsidR="000F237B" w:rsidRPr="001C05F6" w:rsidRDefault="000F237B" w:rsidP="000C70E6">
            <w:pPr>
              <w:jc w:val="center"/>
              <w:rPr>
                <w:sz w:val="18"/>
                <w:szCs w:val="18"/>
              </w:rPr>
            </w:pPr>
            <w:r>
              <w:rPr>
                <w:b/>
                <w:sz w:val="18"/>
              </w:rPr>
              <w:t>Programme du Groupe de la Banque mondiale</w:t>
            </w:r>
          </w:p>
        </w:tc>
      </w:tr>
      <w:tr w:rsidR="000F237B" w:rsidRPr="000B3054" w:rsidTr="000F237B">
        <w:trPr>
          <w:trHeight w:val="4310"/>
        </w:trPr>
        <w:tc>
          <w:tcPr>
            <w:tcW w:w="1065" w:type="pct"/>
          </w:tcPr>
          <w:p w:rsidR="000F237B" w:rsidRPr="001C05F6" w:rsidRDefault="000F237B" w:rsidP="000F237B">
            <w:pPr>
              <w:pStyle w:val="ListParagraph"/>
              <w:numPr>
                <w:ilvl w:val="0"/>
                <w:numId w:val="16"/>
              </w:numPr>
              <w:rPr>
                <w:b/>
                <w:bCs/>
                <w:sz w:val="16"/>
                <w:szCs w:val="16"/>
              </w:rPr>
            </w:pPr>
            <w:r>
              <w:rPr>
                <w:i/>
                <w:sz w:val="16"/>
              </w:rPr>
              <w:t xml:space="preserve">Accès à l'information et responsabilité sociale </w:t>
            </w:r>
          </w:p>
        </w:tc>
        <w:tc>
          <w:tcPr>
            <w:tcW w:w="2354" w:type="pct"/>
          </w:tcPr>
          <w:p w:rsidR="000F237B" w:rsidRPr="001C05F6" w:rsidRDefault="000F237B" w:rsidP="000F237B">
            <w:pPr>
              <w:pStyle w:val="ListParagraph"/>
              <w:numPr>
                <w:ilvl w:val="0"/>
                <w:numId w:val="31"/>
              </w:numPr>
              <w:rPr>
                <w:bCs/>
                <w:sz w:val="16"/>
                <w:szCs w:val="16"/>
              </w:rPr>
            </w:pPr>
            <w:r>
              <w:rPr>
                <w:sz w:val="16"/>
              </w:rPr>
              <w:t>Accès à l'information et aux statistiques et enquêtes économiques et sociales.</w:t>
            </w:r>
            <w:r w:rsidR="006D6057">
              <w:rPr>
                <w:sz w:val="16"/>
              </w:rPr>
              <w:t xml:space="preserve"> </w:t>
            </w:r>
          </w:p>
          <w:p w:rsidR="000F237B" w:rsidRPr="001C05F6" w:rsidRDefault="000F237B" w:rsidP="000F237B">
            <w:pPr>
              <w:pStyle w:val="ListParagraph"/>
              <w:numPr>
                <w:ilvl w:val="1"/>
                <w:numId w:val="18"/>
              </w:numPr>
              <w:spacing w:after="200" w:line="276" w:lineRule="auto"/>
              <w:rPr>
                <w:bCs/>
                <w:sz w:val="16"/>
                <w:szCs w:val="16"/>
              </w:rPr>
            </w:pPr>
            <w:r>
              <w:rPr>
                <w:sz w:val="16"/>
              </w:rPr>
              <w:t>Mise en place et publication de procédures et de modalités de contact claires et détaillées pour demander des informations publiques. Valeur de référence : 0 (2010)</w:t>
            </w:r>
          </w:p>
          <w:p w:rsidR="000F237B" w:rsidRPr="001C05F6" w:rsidRDefault="000F237B" w:rsidP="000F237B">
            <w:pPr>
              <w:pStyle w:val="ListParagraph"/>
              <w:numPr>
                <w:ilvl w:val="1"/>
                <w:numId w:val="18"/>
              </w:numPr>
              <w:rPr>
                <w:bCs/>
                <w:sz w:val="16"/>
                <w:szCs w:val="16"/>
              </w:rPr>
            </w:pPr>
            <w:r>
              <w:rPr>
                <w:sz w:val="16"/>
              </w:rPr>
              <w:t>Utilisation accrue du nouveau droit d'accès aux informations du secteur public : plus de 50 demandes officielles réalisées. Valeur de référence 0 (2010)</w:t>
            </w:r>
          </w:p>
          <w:p w:rsidR="000F237B" w:rsidRPr="001C05F6" w:rsidRDefault="000F237B" w:rsidP="000F237B">
            <w:pPr>
              <w:pStyle w:val="ListParagraph"/>
              <w:numPr>
                <w:ilvl w:val="1"/>
                <w:numId w:val="18"/>
              </w:numPr>
              <w:rPr>
                <w:bCs/>
                <w:sz w:val="16"/>
                <w:szCs w:val="16"/>
              </w:rPr>
            </w:pPr>
            <w:r>
              <w:rPr>
                <w:sz w:val="16"/>
              </w:rPr>
              <w:t>Publication des enquêtes sur la main- d'œuvre 2007 et 2009.</w:t>
            </w:r>
            <w:r w:rsidR="006D6057">
              <w:rPr>
                <w:sz w:val="16"/>
              </w:rPr>
              <w:t xml:space="preserve"> </w:t>
            </w:r>
            <w:r>
              <w:rPr>
                <w:sz w:val="16"/>
              </w:rPr>
              <w:t>Valeur de référence : 0 (2010)</w:t>
            </w:r>
          </w:p>
          <w:p w:rsidR="000F237B" w:rsidRPr="001C05F6" w:rsidRDefault="000F237B" w:rsidP="000F237B">
            <w:pPr>
              <w:pStyle w:val="ListParagraph"/>
              <w:numPr>
                <w:ilvl w:val="1"/>
                <w:numId w:val="18"/>
              </w:numPr>
              <w:rPr>
                <w:bCs/>
                <w:sz w:val="16"/>
                <w:szCs w:val="16"/>
              </w:rPr>
            </w:pPr>
            <w:r>
              <w:rPr>
                <w:sz w:val="16"/>
              </w:rPr>
              <w:t xml:space="preserve">Enquêtes auprès des ménages 2000, 2005 et 2010 publiées. Valeur de référence : 0 (2010) </w:t>
            </w:r>
          </w:p>
          <w:p w:rsidR="000F237B" w:rsidRPr="001C05F6" w:rsidRDefault="000F237B" w:rsidP="000F237B">
            <w:pPr>
              <w:pStyle w:val="ListParagraph"/>
              <w:numPr>
                <w:ilvl w:val="1"/>
                <w:numId w:val="18"/>
              </w:numPr>
              <w:rPr>
                <w:bCs/>
                <w:sz w:val="16"/>
                <w:szCs w:val="16"/>
              </w:rPr>
            </w:pPr>
            <w:r>
              <w:rPr>
                <w:sz w:val="16"/>
              </w:rPr>
              <w:t>Comptes nationaux détaillés pour 400 produits publiés. Valeur de référence : 0 (2010)</w:t>
            </w:r>
          </w:p>
          <w:p w:rsidR="000F237B" w:rsidRPr="001C05F6" w:rsidRDefault="000F237B" w:rsidP="000C70E6">
            <w:pPr>
              <w:pStyle w:val="ListParagraph"/>
              <w:ind w:left="1026"/>
              <w:rPr>
                <w:bCs/>
                <w:sz w:val="16"/>
                <w:szCs w:val="16"/>
              </w:rPr>
            </w:pPr>
          </w:p>
          <w:p w:rsidR="000F237B" w:rsidRPr="001C05F6" w:rsidRDefault="000F237B" w:rsidP="000F237B">
            <w:pPr>
              <w:pStyle w:val="ListParagraph"/>
              <w:numPr>
                <w:ilvl w:val="0"/>
                <w:numId w:val="17"/>
              </w:numPr>
              <w:ind w:left="756"/>
              <w:rPr>
                <w:bCs/>
                <w:sz w:val="16"/>
                <w:szCs w:val="16"/>
              </w:rPr>
            </w:pPr>
            <w:r>
              <w:rPr>
                <w:sz w:val="16"/>
              </w:rPr>
              <w:t xml:space="preserve">Le processus budgétaire est plus transparent et participatif. </w:t>
            </w:r>
          </w:p>
          <w:p w:rsidR="000F237B" w:rsidRPr="001C05F6" w:rsidRDefault="000F237B" w:rsidP="000F237B">
            <w:pPr>
              <w:pStyle w:val="ListParagraph"/>
              <w:numPr>
                <w:ilvl w:val="1"/>
                <w:numId w:val="17"/>
              </w:numPr>
              <w:rPr>
                <w:sz w:val="16"/>
                <w:szCs w:val="16"/>
              </w:rPr>
            </w:pPr>
            <w:r>
              <w:rPr>
                <w:sz w:val="16"/>
              </w:rPr>
              <w:t>Transparence du processus budgétaire, avec présentation et débat sur les déclarations pré budgétaires et divulgation publique des propositions budgétaires. Valeur de référence : 0 (2010)</w:t>
            </w:r>
          </w:p>
          <w:p w:rsidR="000F237B" w:rsidRPr="001C05F6" w:rsidRDefault="000F237B" w:rsidP="000F237B">
            <w:pPr>
              <w:pStyle w:val="ListParagraph"/>
              <w:numPr>
                <w:ilvl w:val="1"/>
                <w:numId w:val="17"/>
              </w:numPr>
              <w:rPr>
                <w:bCs/>
                <w:sz w:val="16"/>
                <w:szCs w:val="16"/>
              </w:rPr>
            </w:pPr>
            <w:r>
              <w:rPr>
                <w:sz w:val="16"/>
              </w:rPr>
              <w:t>Responsabilisation accrue en matière d'exécution du budget : publication de rapports d'exécution budgétaires trimestriels, semestriels et de fin d'année.</w:t>
            </w:r>
            <w:r w:rsidR="006D6057">
              <w:rPr>
                <w:sz w:val="16"/>
              </w:rPr>
              <w:t xml:space="preserve"> </w:t>
            </w:r>
            <w:r>
              <w:rPr>
                <w:sz w:val="16"/>
              </w:rPr>
              <w:t xml:space="preserve">Valeur de référence : 0 (2010) </w:t>
            </w:r>
          </w:p>
          <w:p w:rsidR="000F237B" w:rsidRPr="001C05F6" w:rsidRDefault="000F237B" w:rsidP="000C70E6">
            <w:pPr>
              <w:rPr>
                <w:rFonts w:asciiTheme="minorHAnsi" w:hAnsiTheme="minorHAnsi"/>
                <w:bCs/>
                <w:sz w:val="16"/>
                <w:szCs w:val="16"/>
              </w:rPr>
            </w:pPr>
          </w:p>
          <w:p w:rsidR="000F237B" w:rsidRPr="001C05F6" w:rsidRDefault="000F237B" w:rsidP="000F237B">
            <w:pPr>
              <w:pStyle w:val="ListParagraph"/>
              <w:numPr>
                <w:ilvl w:val="0"/>
                <w:numId w:val="17"/>
              </w:numPr>
              <w:ind w:left="756"/>
              <w:rPr>
                <w:bCs/>
                <w:sz w:val="16"/>
                <w:szCs w:val="16"/>
              </w:rPr>
            </w:pPr>
            <w:r>
              <w:rPr>
                <w:sz w:val="16"/>
              </w:rPr>
              <w:t>Demande privée d'utilisation d'internet satisfaite.</w:t>
            </w:r>
            <w:r w:rsidR="006D6057">
              <w:rPr>
                <w:sz w:val="16"/>
              </w:rPr>
              <w:t xml:space="preserve"> </w:t>
            </w:r>
          </w:p>
          <w:p w:rsidR="000F237B" w:rsidRPr="001C05F6" w:rsidRDefault="000F237B" w:rsidP="000F237B">
            <w:pPr>
              <w:pStyle w:val="ListParagraph"/>
              <w:numPr>
                <w:ilvl w:val="1"/>
                <w:numId w:val="17"/>
              </w:numPr>
              <w:rPr>
                <w:bCs/>
                <w:sz w:val="16"/>
                <w:szCs w:val="16"/>
              </w:rPr>
            </w:pPr>
            <w:r>
              <w:rPr>
                <w:sz w:val="16"/>
              </w:rPr>
              <w:t xml:space="preserve"> Augmentation de 50 % de la demande de</w:t>
            </w:r>
            <w:r>
              <w:rPr>
                <w:i/>
                <w:sz w:val="16"/>
              </w:rPr>
              <w:t xml:space="preserve"> noms de domaines .tn</w:t>
            </w:r>
            <w:r>
              <w:rPr>
                <w:sz w:val="16"/>
              </w:rPr>
              <w:t xml:space="preserve"> Valeur de référence : 8 000 noms de domaines (2010)</w:t>
            </w:r>
          </w:p>
        </w:tc>
        <w:tc>
          <w:tcPr>
            <w:tcW w:w="1581" w:type="pct"/>
          </w:tcPr>
          <w:p w:rsidR="000F237B" w:rsidRPr="001C05F6" w:rsidRDefault="000F237B" w:rsidP="000C70E6">
            <w:pPr>
              <w:rPr>
                <w:bCs/>
                <w:sz w:val="16"/>
                <w:szCs w:val="16"/>
              </w:rPr>
            </w:pPr>
            <w:r>
              <w:rPr>
                <w:b/>
                <w:sz w:val="16"/>
              </w:rPr>
              <w:t>Prêts en cours</w:t>
            </w:r>
          </w:p>
          <w:p w:rsidR="000F237B" w:rsidRPr="001C05F6" w:rsidRDefault="000F237B" w:rsidP="000F237B">
            <w:pPr>
              <w:pStyle w:val="ListParagraph"/>
              <w:numPr>
                <w:ilvl w:val="0"/>
                <w:numId w:val="20"/>
              </w:numPr>
              <w:rPr>
                <w:bCs/>
                <w:sz w:val="16"/>
                <w:szCs w:val="16"/>
              </w:rPr>
            </w:pPr>
            <w:r>
              <w:rPr>
                <w:sz w:val="16"/>
              </w:rPr>
              <w:t>PPD GO</w:t>
            </w:r>
          </w:p>
          <w:p w:rsidR="000F237B" w:rsidRPr="001C05F6" w:rsidRDefault="000F237B" w:rsidP="000C70E6">
            <w:pPr>
              <w:rPr>
                <w:b/>
                <w:bCs/>
                <w:sz w:val="16"/>
                <w:szCs w:val="16"/>
              </w:rPr>
            </w:pPr>
            <w:r>
              <w:rPr>
                <w:b/>
                <w:sz w:val="16"/>
              </w:rPr>
              <w:t>Proposition de prêt :</w:t>
            </w:r>
          </w:p>
          <w:p w:rsidR="000F237B" w:rsidRPr="001C05F6" w:rsidRDefault="000F237B" w:rsidP="000F237B">
            <w:pPr>
              <w:pStyle w:val="ListParagraph"/>
              <w:numPr>
                <w:ilvl w:val="0"/>
                <w:numId w:val="31"/>
              </w:numPr>
              <w:ind w:left="761"/>
              <w:rPr>
                <w:bCs/>
                <w:sz w:val="16"/>
                <w:szCs w:val="16"/>
              </w:rPr>
            </w:pPr>
            <w:r>
              <w:rPr>
                <w:sz w:val="16"/>
              </w:rPr>
              <w:t>PPD annuel multisectoriel</w:t>
            </w:r>
          </w:p>
          <w:p w:rsidR="000F237B" w:rsidRPr="001C05F6" w:rsidRDefault="000F237B" w:rsidP="000F237B">
            <w:pPr>
              <w:pStyle w:val="ListParagraph"/>
              <w:numPr>
                <w:ilvl w:val="0"/>
                <w:numId w:val="31"/>
              </w:numPr>
              <w:rPr>
                <w:bCs/>
                <w:sz w:val="16"/>
                <w:szCs w:val="16"/>
              </w:rPr>
            </w:pPr>
            <w:r>
              <w:rPr>
                <w:sz w:val="16"/>
              </w:rPr>
              <w:t>Garantie sur base de politique</w:t>
            </w:r>
          </w:p>
          <w:p w:rsidR="000F237B" w:rsidRPr="001C05F6" w:rsidRDefault="000F237B" w:rsidP="000C70E6">
            <w:pPr>
              <w:rPr>
                <w:b/>
                <w:bCs/>
                <w:sz w:val="16"/>
                <w:szCs w:val="16"/>
              </w:rPr>
            </w:pPr>
            <w:r>
              <w:rPr>
                <w:b/>
                <w:sz w:val="16"/>
              </w:rPr>
              <w:t>Proposition d'AAA :</w:t>
            </w:r>
          </w:p>
          <w:p w:rsidR="000F237B" w:rsidRPr="001C05F6" w:rsidRDefault="000F237B" w:rsidP="000F237B">
            <w:pPr>
              <w:pStyle w:val="ListParagraph"/>
              <w:numPr>
                <w:ilvl w:val="0"/>
                <w:numId w:val="32"/>
              </w:numPr>
              <w:rPr>
                <w:bCs/>
                <w:iCs/>
                <w:sz w:val="16"/>
                <w:szCs w:val="16"/>
              </w:rPr>
            </w:pPr>
            <w:r>
              <w:rPr>
                <w:sz w:val="16"/>
              </w:rPr>
              <w:t xml:space="preserve">AT TIC </w:t>
            </w:r>
          </w:p>
          <w:p w:rsidR="000F237B" w:rsidRPr="001C05F6" w:rsidRDefault="000F237B" w:rsidP="000F237B">
            <w:pPr>
              <w:pStyle w:val="ListParagraph"/>
              <w:numPr>
                <w:ilvl w:val="0"/>
                <w:numId w:val="32"/>
              </w:numPr>
              <w:rPr>
                <w:bCs/>
                <w:iCs/>
                <w:sz w:val="16"/>
                <w:szCs w:val="16"/>
              </w:rPr>
            </w:pPr>
            <w:r>
              <w:rPr>
                <w:sz w:val="16"/>
              </w:rPr>
              <w:t>AT Gouvernance et secteurs sociaux</w:t>
            </w:r>
          </w:p>
        </w:tc>
      </w:tr>
      <w:tr w:rsidR="000F237B" w:rsidRPr="000B3054" w:rsidTr="000C70E6">
        <w:tc>
          <w:tcPr>
            <w:tcW w:w="1065" w:type="pct"/>
          </w:tcPr>
          <w:p w:rsidR="000F237B" w:rsidRPr="001C05F6" w:rsidRDefault="000F237B" w:rsidP="000F237B">
            <w:pPr>
              <w:pStyle w:val="ListParagraph"/>
              <w:numPr>
                <w:ilvl w:val="0"/>
                <w:numId w:val="16"/>
              </w:numPr>
              <w:tabs>
                <w:tab w:val="left" w:pos="450"/>
              </w:tabs>
              <w:rPr>
                <w:b/>
                <w:bCs/>
                <w:sz w:val="16"/>
                <w:szCs w:val="16"/>
              </w:rPr>
            </w:pPr>
            <w:r>
              <w:rPr>
                <w:i/>
                <w:sz w:val="16"/>
              </w:rPr>
              <w:t>Accroissement de la transparence et redevabilité des institutions</w:t>
            </w:r>
          </w:p>
        </w:tc>
        <w:tc>
          <w:tcPr>
            <w:tcW w:w="2354" w:type="pct"/>
          </w:tcPr>
          <w:p w:rsidR="000F237B" w:rsidRPr="001C05F6" w:rsidRDefault="000F237B" w:rsidP="000F237B">
            <w:pPr>
              <w:pStyle w:val="ListParagraph"/>
              <w:numPr>
                <w:ilvl w:val="0"/>
                <w:numId w:val="19"/>
              </w:numPr>
              <w:spacing w:after="200" w:line="276" w:lineRule="auto"/>
              <w:rPr>
                <w:bCs/>
                <w:i/>
                <w:sz w:val="16"/>
                <w:szCs w:val="16"/>
              </w:rPr>
            </w:pPr>
            <w:r>
              <w:rPr>
                <w:sz w:val="16"/>
              </w:rPr>
              <w:t>Le cadre juridique et institutionnel permettant de favoriser un renforcement de la redevabilité des institutions publiques et de lutter contre la corruption a été révisé.</w:t>
            </w:r>
          </w:p>
          <w:p w:rsidR="000F237B" w:rsidRPr="001C05F6" w:rsidRDefault="000F237B" w:rsidP="000F237B">
            <w:pPr>
              <w:pStyle w:val="ListParagraph"/>
              <w:numPr>
                <w:ilvl w:val="1"/>
                <w:numId w:val="19"/>
              </w:numPr>
              <w:spacing w:after="200"/>
              <w:rPr>
                <w:bCs/>
                <w:i/>
                <w:sz w:val="16"/>
                <w:szCs w:val="16"/>
              </w:rPr>
            </w:pPr>
            <w:r>
              <w:rPr>
                <w:sz w:val="16"/>
              </w:rPr>
              <w:t>Une institution permanente anti-corruption a été établie et est opérationnelle. Valeur de référence : 0 (2010)</w:t>
            </w:r>
          </w:p>
          <w:p w:rsidR="000F237B" w:rsidRPr="001C05F6" w:rsidRDefault="000F237B" w:rsidP="000F237B">
            <w:pPr>
              <w:pStyle w:val="ListParagraph"/>
              <w:numPr>
                <w:ilvl w:val="1"/>
                <w:numId w:val="19"/>
              </w:numPr>
              <w:spacing w:after="200"/>
              <w:rPr>
                <w:bCs/>
                <w:i/>
                <w:sz w:val="16"/>
                <w:szCs w:val="16"/>
              </w:rPr>
            </w:pPr>
            <w:r>
              <w:rPr>
                <w:sz w:val="16"/>
              </w:rPr>
              <w:t>Un processus budgétaire plus transparent et basé sur les résultats est mis en place, avec publication des plans et rapports d'exécution du ministère. Valeur de référence : 0 (2010)</w:t>
            </w:r>
          </w:p>
          <w:p w:rsidR="000F237B" w:rsidRPr="001C05F6" w:rsidRDefault="000F237B" w:rsidP="000F237B">
            <w:pPr>
              <w:pStyle w:val="ListParagraph"/>
              <w:numPr>
                <w:ilvl w:val="1"/>
                <w:numId w:val="19"/>
              </w:numPr>
              <w:spacing w:after="200"/>
              <w:rPr>
                <w:bCs/>
                <w:i/>
                <w:sz w:val="16"/>
                <w:szCs w:val="16"/>
              </w:rPr>
            </w:pPr>
            <w:r>
              <w:rPr>
                <w:sz w:val="16"/>
              </w:rPr>
              <w:t>Les contrôles financiers internes sont en cours de révision pour intégrer une approche basée sur le risque et favoriser une plus grande redevabilité des institutions publiques. Deux des quatre mandats et opérations des principaux organismes de contrôle ont été révisés. Valeur de référence : 0 (2010)</w:t>
            </w:r>
            <w:r w:rsidR="006D6057">
              <w:rPr>
                <w:sz w:val="16"/>
              </w:rPr>
              <w:t xml:space="preserve"> </w:t>
            </w:r>
          </w:p>
          <w:p w:rsidR="000F237B" w:rsidRPr="001C05F6" w:rsidRDefault="000F237B" w:rsidP="000F237B">
            <w:pPr>
              <w:pStyle w:val="ListParagraph"/>
              <w:numPr>
                <w:ilvl w:val="0"/>
                <w:numId w:val="19"/>
              </w:numPr>
              <w:spacing w:after="200"/>
              <w:rPr>
                <w:bCs/>
                <w:i/>
                <w:sz w:val="16"/>
                <w:szCs w:val="16"/>
              </w:rPr>
            </w:pPr>
            <w:r>
              <w:rPr>
                <w:sz w:val="16"/>
              </w:rPr>
              <w:t>Accès en ligne à toutes les attributions de marchés publics.</w:t>
            </w:r>
          </w:p>
          <w:p w:rsidR="000F237B" w:rsidRPr="001C05F6" w:rsidRDefault="000F237B" w:rsidP="000F237B">
            <w:pPr>
              <w:pStyle w:val="ListParagraph"/>
              <w:numPr>
                <w:ilvl w:val="1"/>
                <w:numId w:val="19"/>
              </w:numPr>
              <w:rPr>
                <w:bCs/>
                <w:i/>
                <w:sz w:val="16"/>
                <w:szCs w:val="16"/>
              </w:rPr>
            </w:pPr>
            <w:r>
              <w:rPr>
                <w:sz w:val="16"/>
              </w:rPr>
              <w:t>100 % des informations sur l'attribution des marchés sont disponibles sur le site web de l'Observatoire national des marchés Valeur de référence : 0 % (2010)</w:t>
            </w:r>
          </w:p>
          <w:p w:rsidR="000F237B" w:rsidRPr="001C05F6" w:rsidRDefault="000F237B" w:rsidP="000F237B">
            <w:pPr>
              <w:pStyle w:val="ListParagraph"/>
              <w:numPr>
                <w:ilvl w:val="0"/>
                <w:numId w:val="19"/>
              </w:numPr>
              <w:rPr>
                <w:bCs/>
                <w:sz w:val="16"/>
                <w:szCs w:val="16"/>
              </w:rPr>
            </w:pPr>
            <w:r>
              <w:rPr>
                <w:sz w:val="16"/>
              </w:rPr>
              <w:t>Simplification du processus de passation des marchés.</w:t>
            </w:r>
          </w:p>
          <w:p w:rsidR="000F237B" w:rsidRPr="001C05F6" w:rsidRDefault="000F237B" w:rsidP="000F237B">
            <w:pPr>
              <w:pStyle w:val="ListParagraph"/>
              <w:numPr>
                <w:ilvl w:val="1"/>
                <w:numId w:val="19"/>
              </w:numPr>
              <w:rPr>
                <w:bCs/>
                <w:sz w:val="16"/>
                <w:szCs w:val="16"/>
              </w:rPr>
            </w:pPr>
            <w:r>
              <w:rPr>
                <w:sz w:val="16"/>
              </w:rPr>
              <w:t>Réduction de la durée totale du cycle complet du processus de passation des marchés de 50%. Valeur de référence : 6 mois (2011)</w:t>
            </w:r>
          </w:p>
          <w:p w:rsidR="000F237B" w:rsidRPr="001C05F6" w:rsidRDefault="000F237B" w:rsidP="000F237B">
            <w:pPr>
              <w:pStyle w:val="ListParagraph"/>
              <w:numPr>
                <w:ilvl w:val="0"/>
                <w:numId w:val="19"/>
              </w:numPr>
              <w:rPr>
                <w:bCs/>
                <w:sz w:val="16"/>
                <w:szCs w:val="16"/>
              </w:rPr>
            </w:pPr>
            <w:r>
              <w:rPr>
                <w:sz w:val="16"/>
              </w:rPr>
              <w:lastRenderedPageBreak/>
              <w:t xml:space="preserve">Mise en place de mécanismes de dépôt de plaintes des citoyens en ligne en matière de gouvernance (e-gouvernance). </w:t>
            </w:r>
          </w:p>
          <w:p w:rsidR="000F237B" w:rsidRPr="001C05F6" w:rsidRDefault="000F237B" w:rsidP="000F237B">
            <w:pPr>
              <w:pStyle w:val="ListParagraph"/>
              <w:numPr>
                <w:ilvl w:val="1"/>
                <w:numId w:val="19"/>
              </w:numPr>
              <w:rPr>
                <w:b/>
                <w:bCs/>
                <w:sz w:val="16"/>
                <w:szCs w:val="16"/>
              </w:rPr>
            </w:pPr>
            <w:r>
              <w:rPr>
                <w:sz w:val="16"/>
              </w:rPr>
              <w:t xml:space="preserve">Les sites web du GdT disposent d'un mécanisme opérationnel de rétro-information. </w:t>
            </w:r>
          </w:p>
        </w:tc>
        <w:tc>
          <w:tcPr>
            <w:tcW w:w="1581" w:type="pct"/>
          </w:tcPr>
          <w:p w:rsidR="000F237B" w:rsidRPr="001C05F6" w:rsidRDefault="000F237B" w:rsidP="000C70E6">
            <w:pPr>
              <w:rPr>
                <w:bCs/>
                <w:sz w:val="16"/>
                <w:szCs w:val="16"/>
              </w:rPr>
            </w:pPr>
            <w:r>
              <w:rPr>
                <w:b/>
                <w:sz w:val="16"/>
              </w:rPr>
              <w:lastRenderedPageBreak/>
              <w:t>Prêts en cours</w:t>
            </w:r>
          </w:p>
          <w:p w:rsidR="000F237B" w:rsidRPr="001C05F6" w:rsidRDefault="000F237B" w:rsidP="000F237B">
            <w:pPr>
              <w:pStyle w:val="ListParagraph"/>
              <w:numPr>
                <w:ilvl w:val="0"/>
                <w:numId w:val="20"/>
              </w:numPr>
              <w:rPr>
                <w:bCs/>
                <w:sz w:val="16"/>
                <w:szCs w:val="16"/>
              </w:rPr>
            </w:pPr>
            <w:r>
              <w:rPr>
                <w:sz w:val="16"/>
              </w:rPr>
              <w:t>PPD GO</w:t>
            </w:r>
          </w:p>
          <w:p w:rsidR="000F237B" w:rsidRPr="001C05F6" w:rsidRDefault="000F237B" w:rsidP="000C70E6">
            <w:pPr>
              <w:rPr>
                <w:b/>
                <w:bCs/>
                <w:sz w:val="16"/>
                <w:szCs w:val="16"/>
              </w:rPr>
            </w:pPr>
            <w:r>
              <w:rPr>
                <w:b/>
                <w:sz w:val="16"/>
              </w:rPr>
              <w:t>AAA en cours :</w:t>
            </w:r>
          </w:p>
          <w:p w:rsidR="000F237B" w:rsidRPr="001C05F6" w:rsidRDefault="000F237B" w:rsidP="000F237B">
            <w:pPr>
              <w:pStyle w:val="ListParagraph"/>
              <w:numPr>
                <w:ilvl w:val="0"/>
                <w:numId w:val="20"/>
              </w:numPr>
              <w:rPr>
                <w:bCs/>
                <w:sz w:val="16"/>
                <w:szCs w:val="16"/>
              </w:rPr>
            </w:pPr>
            <w:r>
              <w:rPr>
                <w:sz w:val="16"/>
              </w:rPr>
              <w:t>AT Réforme de la passation des marchés (FDI)</w:t>
            </w:r>
          </w:p>
          <w:p w:rsidR="000F237B" w:rsidRPr="001C05F6" w:rsidRDefault="000F237B" w:rsidP="000C70E6">
            <w:pPr>
              <w:rPr>
                <w:b/>
                <w:bCs/>
                <w:sz w:val="16"/>
                <w:szCs w:val="16"/>
              </w:rPr>
            </w:pPr>
            <w:r>
              <w:rPr>
                <w:b/>
                <w:sz w:val="16"/>
              </w:rPr>
              <w:t>Proposition de prêt :</w:t>
            </w:r>
          </w:p>
          <w:p w:rsidR="000F237B" w:rsidRPr="001C05F6" w:rsidRDefault="000F237B" w:rsidP="000F237B">
            <w:pPr>
              <w:pStyle w:val="ListParagraph"/>
              <w:numPr>
                <w:ilvl w:val="0"/>
                <w:numId w:val="31"/>
              </w:numPr>
              <w:ind w:left="761"/>
              <w:rPr>
                <w:bCs/>
                <w:sz w:val="16"/>
                <w:szCs w:val="16"/>
              </w:rPr>
            </w:pPr>
            <w:r>
              <w:rPr>
                <w:sz w:val="16"/>
              </w:rPr>
              <w:t>PPD annuel multisectoriel</w:t>
            </w:r>
          </w:p>
          <w:p w:rsidR="000F237B" w:rsidRPr="001C05F6" w:rsidRDefault="000F237B" w:rsidP="000F237B">
            <w:pPr>
              <w:pStyle w:val="ListParagraph"/>
              <w:numPr>
                <w:ilvl w:val="0"/>
                <w:numId w:val="31"/>
              </w:numPr>
              <w:rPr>
                <w:bCs/>
                <w:sz w:val="16"/>
                <w:szCs w:val="16"/>
              </w:rPr>
            </w:pPr>
            <w:r>
              <w:rPr>
                <w:sz w:val="16"/>
              </w:rPr>
              <w:t>Garantie sur base de politique</w:t>
            </w:r>
          </w:p>
          <w:p w:rsidR="000F237B" w:rsidRPr="001C05F6" w:rsidRDefault="000F237B" w:rsidP="000C70E6">
            <w:pPr>
              <w:rPr>
                <w:b/>
                <w:bCs/>
                <w:sz w:val="16"/>
                <w:szCs w:val="16"/>
              </w:rPr>
            </w:pPr>
            <w:r>
              <w:rPr>
                <w:b/>
                <w:sz w:val="16"/>
              </w:rPr>
              <w:t>Proposition d'AAA :</w:t>
            </w:r>
          </w:p>
          <w:p w:rsidR="000F237B" w:rsidRPr="001C05F6" w:rsidRDefault="000F237B" w:rsidP="000F237B">
            <w:pPr>
              <w:pStyle w:val="ListParagraph"/>
              <w:numPr>
                <w:ilvl w:val="0"/>
                <w:numId w:val="33"/>
              </w:numPr>
              <w:rPr>
                <w:bCs/>
                <w:sz w:val="16"/>
                <w:szCs w:val="16"/>
              </w:rPr>
            </w:pPr>
            <w:r>
              <w:rPr>
                <w:sz w:val="16"/>
              </w:rPr>
              <w:t>AT Gouvernance et anti-corruption</w:t>
            </w:r>
          </w:p>
          <w:p w:rsidR="000F237B" w:rsidRPr="001C05F6" w:rsidRDefault="000F237B" w:rsidP="000F237B">
            <w:pPr>
              <w:pStyle w:val="ListParagraph"/>
              <w:numPr>
                <w:ilvl w:val="0"/>
                <w:numId w:val="33"/>
              </w:numPr>
              <w:rPr>
                <w:bCs/>
                <w:sz w:val="16"/>
                <w:szCs w:val="16"/>
              </w:rPr>
            </w:pPr>
            <w:r>
              <w:rPr>
                <w:sz w:val="16"/>
              </w:rPr>
              <w:t>Mise à jour du PEFA</w:t>
            </w:r>
          </w:p>
          <w:p w:rsidR="000F237B" w:rsidRPr="001C05F6" w:rsidRDefault="000F237B" w:rsidP="000F237B">
            <w:pPr>
              <w:pStyle w:val="ListParagraph"/>
              <w:numPr>
                <w:ilvl w:val="0"/>
                <w:numId w:val="33"/>
              </w:numPr>
              <w:rPr>
                <w:bCs/>
                <w:sz w:val="16"/>
                <w:szCs w:val="16"/>
              </w:rPr>
            </w:pPr>
            <w:r>
              <w:rPr>
                <w:sz w:val="16"/>
              </w:rPr>
              <w:t>Revue des dépenses publiques</w:t>
            </w:r>
          </w:p>
          <w:p w:rsidR="000F237B" w:rsidRPr="001C05F6" w:rsidRDefault="000F237B" w:rsidP="000F237B">
            <w:pPr>
              <w:pStyle w:val="ListParagraph"/>
              <w:numPr>
                <w:ilvl w:val="0"/>
                <w:numId w:val="33"/>
              </w:numPr>
              <w:rPr>
                <w:b/>
                <w:bCs/>
                <w:sz w:val="16"/>
                <w:szCs w:val="16"/>
              </w:rPr>
            </w:pPr>
            <w:r>
              <w:rPr>
                <w:sz w:val="16"/>
              </w:rPr>
              <w:t>Gouvernance d'entreprise (SFI)</w:t>
            </w:r>
          </w:p>
        </w:tc>
      </w:tr>
    </w:tbl>
    <w:p w:rsidR="00CF6285" w:rsidRDefault="00CF6285" w:rsidP="003A5FBC">
      <w:pPr>
        <w:autoSpaceDE w:val="0"/>
        <w:autoSpaceDN w:val="0"/>
        <w:adjustRightInd w:val="0"/>
        <w:jc w:val="both"/>
        <w:sectPr w:rsidR="00CF6285" w:rsidSect="007D394A">
          <w:pgSz w:w="15840" w:h="12240" w:orient="landscape" w:code="1"/>
          <w:pgMar w:top="1440" w:right="1440" w:bottom="1440" w:left="1440" w:header="720" w:footer="720" w:gutter="0"/>
          <w:cols w:space="720"/>
          <w:docGrid w:linePitch="360"/>
        </w:sectPr>
      </w:pPr>
    </w:p>
    <w:p w:rsidR="00CF6285" w:rsidRDefault="00CF6285" w:rsidP="003A5FBC">
      <w:pPr>
        <w:autoSpaceDE w:val="0"/>
        <w:autoSpaceDN w:val="0"/>
        <w:adjustRightInd w:val="0"/>
        <w:jc w:val="both"/>
      </w:pPr>
    </w:p>
    <w:p w:rsidR="00CF6285" w:rsidRPr="00656792" w:rsidRDefault="00E92FC4" w:rsidP="004F369E">
      <w:pPr>
        <w:pStyle w:val="Caption"/>
      </w:pPr>
      <w:bookmarkStart w:id="63" w:name="_Toc320651707"/>
      <w:r>
        <w:t>Annexe 2</w:t>
      </w:r>
      <w:r w:rsidR="004F369E">
        <w:t xml:space="preserve">. </w:t>
      </w:r>
      <w:r>
        <w:t>Résumé des consultations</w:t>
      </w:r>
      <w:bookmarkEnd w:id="63"/>
    </w:p>
    <w:p w:rsidR="00E347AA" w:rsidRPr="00A14B79" w:rsidRDefault="00E347AA" w:rsidP="00A66B2D">
      <w:pPr>
        <w:jc w:val="both"/>
        <w:rPr>
          <w:rFonts w:ascii="Times New Roman" w:hAnsi="Times New Roman"/>
          <w:b/>
          <w:sz w:val="23"/>
          <w:szCs w:val="23"/>
        </w:rPr>
      </w:pPr>
    </w:p>
    <w:p w:rsidR="00E347AA" w:rsidRPr="00656792" w:rsidRDefault="00E347AA" w:rsidP="003E3F83">
      <w:pPr>
        <w:pStyle w:val="ListParagraph"/>
        <w:numPr>
          <w:ilvl w:val="0"/>
          <w:numId w:val="36"/>
        </w:numPr>
        <w:ind w:left="0" w:firstLine="0"/>
        <w:jc w:val="both"/>
        <w:rPr>
          <w:rFonts w:ascii="Times New Roman" w:hAnsi="Times New Roman"/>
          <w:sz w:val="22"/>
          <w:szCs w:val="22"/>
        </w:rPr>
      </w:pPr>
      <w:r>
        <w:rPr>
          <w:rFonts w:ascii="Times New Roman" w:hAnsi="Times New Roman"/>
          <w:sz w:val="22"/>
        </w:rPr>
        <w:t>Dans le sillage de la révolution de janvier 2011, le nouvel environnement a permis à la Banque d'élargir le dialogue à un ensemble plus large de parties prenantes en Tunisie, incluant des groupes avec lesquels elle n'avait eu précédemment que des contacts officiels limités. Figurent parmi ces groupes les associations de jeunesse, les organisations civiques, les blogueurs, les étudiants, les associations de femmes, des représentants du secteur privé, des représentants du peuple</w:t>
      </w:r>
      <w:r>
        <w:rPr>
          <w:rStyle w:val="FootnoteReference"/>
          <w:rFonts w:ascii="Times New Roman" w:hAnsi="Times New Roman"/>
          <w:sz w:val="22"/>
        </w:rPr>
        <w:footnoteReference w:id="25"/>
      </w:r>
      <w:r>
        <w:rPr>
          <w:rFonts w:ascii="Times New Roman" w:hAnsi="Times New Roman"/>
          <w:sz w:val="22"/>
        </w:rPr>
        <w:t xml:space="preserve"> et d'autres. Le personnel de la Banque les a consultés dans le cadre de la préparation du Prêt à l’appui de la politique de développement pour la gouvernance et les opportunités lancé en février 2011, pour aider à concevoir une série de mesures emblématiques engagées par le Gouvernement dans un effort de rupture claire avec le passé. Les consultations avec la nouvelle société civile naissante tunisienne ont couvert les thèmes de l'emploi, de la gouvernance, des services de santé et d'éducation et des filets de protection sociale. Le Prêt a été approuvé par le Conseil en juin 2011. Depuis lors, la Banque a cherché à inclure systématiquement des activités et consultations de proximité avec les nouveaux acteurs concernés au cours de la préparation des nouveaux prêts et travaux d'analyse.</w:t>
      </w:r>
      <w:r w:rsidR="006D6057">
        <w:rPr>
          <w:rFonts w:ascii="Times New Roman" w:hAnsi="Times New Roman"/>
          <w:sz w:val="22"/>
        </w:rPr>
        <w:t xml:space="preserve"> </w:t>
      </w:r>
      <w:r>
        <w:rPr>
          <w:rFonts w:ascii="Times New Roman" w:hAnsi="Times New Roman"/>
          <w:sz w:val="22"/>
        </w:rPr>
        <w:t>La Banque mondiale a réalisé plus de 25 séries de consultations en 2011 et au début de 2012, en recourant notamment à des ateliers, des séminaires, des conférences et des discussions interactives, ainsi que lors de la préparation des projets et des travaux d'analyse</w:t>
      </w:r>
      <w:r>
        <w:rPr>
          <w:rStyle w:val="FootnoteReference"/>
          <w:rFonts w:ascii="Times New Roman" w:hAnsi="Times New Roman"/>
          <w:sz w:val="22"/>
        </w:rPr>
        <w:footnoteReference w:id="26"/>
      </w:r>
      <w:r w:rsidR="00B2051E" w:rsidRPr="00B2051E">
        <w:rPr>
          <w:rFonts w:ascii="Times New Roman" w:hAnsi="Times New Roman"/>
          <w:sz w:val="22"/>
        </w:rPr>
        <w:t>.</w:t>
      </w:r>
    </w:p>
    <w:p w:rsidR="00E347AA" w:rsidRPr="00656792" w:rsidRDefault="00E347AA" w:rsidP="00A66B2D">
      <w:pPr>
        <w:pStyle w:val="ListParagraph"/>
        <w:ind w:left="0"/>
        <w:jc w:val="both"/>
        <w:rPr>
          <w:rFonts w:ascii="Times New Roman" w:hAnsi="Times New Roman"/>
          <w:sz w:val="22"/>
          <w:szCs w:val="22"/>
        </w:rPr>
      </w:pPr>
    </w:p>
    <w:p w:rsidR="00E347AA" w:rsidRPr="00656792" w:rsidRDefault="00E347AA" w:rsidP="00A66B2D">
      <w:pPr>
        <w:pStyle w:val="ListParagraph"/>
        <w:numPr>
          <w:ilvl w:val="0"/>
          <w:numId w:val="36"/>
        </w:numPr>
        <w:ind w:left="0" w:firstLine="0"/>
        <w:jc w:val="both"/>
        <w:rPr>
          <w:rFonts w:ascii="Times New Roman" w:hAnsi="Times New Roman"/>
          <w:sz w:val="22"/>
          <w:szCs w:val="22"/>
        </w:rPr>
      </w:pPr>
      <w:r>
        <w:rPr>
          <w:rFonts w:ascii="Times New Roman" w:hAnsi="Times New Roman"/>
          <w:sz w:val="22"/>
        </w:rPr>
        <w:t>La Banque a organisé des consultations spécifiques pour la préparation de la Note de stratégie intérimaire 2013-2014 à la fin du mois de janvier 2012, à la suite de l'installation du nouveau Gouvernement de l'Assemblée constituante, et une réunion interne d'examen de la Note de présentation d'un avant-projet de la NSI. Les consultations ont été menées, conjointement avec la SFI, en deux étapes : réunions initiales avec les ministres du Gouvernement de l'Assemblée constituante à Tunis et avec des groupes de la société civile à Bizerte, dirigées par le Directeur des opérations et le Directeur-pays de la SFI, suivies d'une discussion élargie avec des représentants du gouvernement, du secteur privé, des milieux universitaires et des communautés locales à Tunis, Nabeul et à Kélibia, ainsi qu'avec d'autres partenaires du développement. Ce dialogue reste ouvert avec un blog publié sur le site web externe de la Banque et hébergé par le Directeur des opérations</w:t>
      </w:r>
      <w:r>
        <w:rPr>
          <w:rStyle w:val="FootnoteReference"/>
          <w:rFonts w:ascii="Times New Roman" w:hAnsi="Times New Roman"/>
          <w:sz w:val="22"/>
        </w:rPr>
        <w:footnoteReference w:id="27"/>
      </w:r>
      <w:r>
        <w:rPr>
          <w:rFonts w:ascii="Times New Roman" w:hAnsi="Times New Roman"/>
          <w:sz w:val="22"/>
        </w:rPr>
        <w:t>.</w:t>
      </w:r>
    </w:p>
    <w:p w:rsidR="00E347AA" w:rsidRPr="00656792" w:rsidRDefault="00E347AA" w:rsidP="00A66B2D">
      <w:pPr>
        <w:pStyle w:val="ListParagraph"/>
        <w:ind w:left="0"/>
        <w:jc w:val="both"/>
        <w:rPr>
          <w:rFonts w:ascii="Times New Roman" w:hAnsi="Times New Roman"/>
          <w:sz w:val="22"/>
          <w:szCs w:val="22"/>
        </w:rPr>
      </w:pPr>
    </w:p>
    <w:p w:rsidR="00E347AA" w:rsidRPr="00656792" w:rsidRDefault="00E347AA" w:rsidP="00BB5F02">
      <w:pPr>
        <w:pStyle w:val="ListParagraph"/>
        <w:numPr>
          <w:ilvl w:val="0"/>
          <w:numId w:val="36"/>
        </w:numPr>
        <w:ind w:left="0" w:firstLine="0"/>
        <w:jc w:val="both"/>
        <w:rPr>
          <w:rFonts w:ascii="Times New Roman" w:hAnsi="Times New Roman"/>
          <w:sz w:val="22"/>
          <w:szCs w:val="22"/>
        </w:rPr>
      </w:pPr>
      <w:r>
        <w:rPr>
          <w:rFonts w:ascii="Times New Roman" w:eastAsiaTheme="minorHAnsi" w:hAnsi="Times New Roman"/>
          <w:color w:val="000000"/>
          <w:sz w:val="22"/>
        </w:rPr>
        <w:t xml:space="preserve">Au cours des consultations, qui ont eu lieu immédiatement après la désignation du nouveau gouvernement, les représentants du Gouvernement de l'Assemblée constituante, de même que les parties prenantes non gouvernementales, ont souligné l'amplitude des tensions sociales liées aux incertitudes quant à la direction du pays et aux difficultés économiques dues à un taux de chômage élevé (qui a augmenté de 13% en 2010 à 19% en 2011) et à la faiblesse de l'activité économique résultant de la révolution, de la récession en Europe et des conflits en Libye. </w:t>
      </w:r>
      <w:r>
        <w:rPr>
          <w:rFonts w:ascii="Times New Roman" w:hAnsi="Times New Roman"/>
          <w:sz w:val="22"/>
        </w:rPr>
        <w:t xml:space="preserve">L'ensemble des consultations a laissé transparaître un sentiment fort de fierté et de réussite parmi les participants pour avoir été les agents du changement et avoir mené ou participé à la révolution, et du fait que la révolution tunisienne avait </w:t>
      </w:r>
      <w:r>
        <w:rPr>
          <w:rFonts w:ascii="Times New Roman" w:hAnsi="Times New Roman"/>
          <w:sz w:val="22"/>
        </w:rPr>
        <w:lastRenderedPageBreak/>
        <w:t xml:space="preserve">déclenché le Printemps arabe. Dans le même temps, s'y mêlait un sentiment de désillusion face au rythme du changement et à l'absence d'améliorations concrètes du niveau de vie après la révolution. </w:t>
      </w:r>
      <w:r>
        <w:rPr>
          <w:rFonts w:ascii="Times New Roman" w:eastAsiaTheme="minorHAnsi" w:hAnsi="Times New Roman"/>
          <w:color w:val="000000"/>
          <w:sz w:val="22"/>
        </w:rPr>
        <w:t>Les participants étaient impatients de voir le Gouvernement définir son programme et fournir une vision claire pour le pays. Les besoins en matière d'emploi et l'amélioration des conditions de vie étaient un leitmotiv récurrent. Dans le même temps, le développement local et la participation communautaire à la prise de décision ont également été soulignés comme des éléments déterminants pour établir une meilleure relation entre l'État et le public</w:t>
      </w:r>
      <w:r>
        <w:rPr>
          <w:rFonts w:ascii="Times New Roman" w:hAnsi="Times New Roman"/>
          <w:sz w:val="22"/>
        </w:rPr>
        <w:t xml:space="preserve">. </w:t>
      </w:r>
    </w:p>
    <w:p w:rsidR="00A32FAC" w:rsidRPr="00656792" w:rsidRDefault="00A32FAC" w:rsidP="00A66B2D">
      <w:pPr>
        <w:autoSpaceDE w:val="0"/>
        <w:autoSpaceDN w:val="0"/>
        <w:adjustRightInd w:val="0"/>
        <w:jc w:val="both"/>
        <w:rPr>
          <w:rFonts w:ascii="Times New Roman" w:eastAsiaTheme="minorHAnsi" w:hAnsi="Times New Roman"/>
          <w:color w:val="000000"/>
          <w:sz w:val="22"/>
          <w:szCs w:val="22"/>
        </w:rPr>
      </w:pPr>
    </w:p>
    <w:p w:rsidR="00E347AA" w:rsidRPr="00A36359" w:rsidRDefault="00E347AA" w:rsidP="00A36359">
      <w:pPr>
        <w:pStyle w:val="ListParagraph"/>
        <w:numPr>
          <w:ilvl w:val="0"/>
          <w:numId w:val="36"/>
        </w:numPr>
        <w:autoSpaceDE w:val="0"/>
        <w:autoSpaceDN w:val="0"/>
        <w:adjustRightInd w:val="0"/>
        <w:ind w:left="0" w:firstLine="0"/>
        <w:jc w:val="both"/>
        <w:rPr>
          <w:rFonts w:ascii="Times New Roman" w:eastAsiaTheme="minorHAnsi" w:hAnsi="Times New Roman"/>
          <w:color w:val="000000"/>
          <w:sz w:val="22"/>
          <w:szCs w:val="22"/>
        </w:rPr>
      </w:pPr>
      <w:r>
        <w:rPr>
          <w:rFonts w:ascii="Times New Roman" w:eastAsiaTheme="minorHAnsi" w:hAnsi="Times New Roman"/>
          <w:color w:val="000000"/>
          <w:sz w:val="22"/>
        </w:rPr>
        <w:t xml:space="preserve">Les consultations de la NSI ont été menées sous la forme de réunions, de présentations et de conversations informelles portant sur les trois Domaines d'engagement et sur les objectifs d'action correspondants. </w:t>
      </w:r>
      <w:r>
        <w:rPr>
          <w:rFonts w:ascii="Times New Roman" w:hAnsi="Times New Roman"/>
          <w:sz w:val="22"/>
        </w:rPr>
        <w:t>Voici les principaux thèmes et enjeux évoqués lors de ces échanges.</w:t>
      </w:r>
    </w:p>
    <w:p w:rsidR="00A32FAC" w:rsidRPr="00656792" w:rsidRDefault="00A32FAC"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jc w:val="both"/>
        <w:rPr>
          <w:rFonts w:ascii="Times New Roman" w:hAnsi="Times New Roman"/>
          <w:b/>
          <w:bCs/>
          <w:sz w:val="22"/>
          <w:szCs w:val="22"/>
        </w:rPr>
      </w:pPr>
      <w:r>
        <w:rPr>
          <w:rFonts w:ascii="Times New Roman" w:hAnsi="Times New Roman"/>
          <w:b/>
          <w:sz w:val="22"/>
        </w:rPr>
        <w:t>Domaine 1 : Jeter les bases assurant la relance d'une croissance durable et la création d'emplois</w:t>
      </w:r>
    </w:p>
    <w:p w:rsidR="00A66B2D" w:rsidRPr="00656792" w:rsidRDefault="00A66B2D" w:rsidP="00A66B2D">
      <w:pPr>
        <w:jc w:val="both"/>
        <w:rPr>
          <w:rFonts w:ascii="Times New Roman" w:hAnsi="Times New Roman"/>
          <w:b/>
          <w:bCs/>
          <w:sz w:val="22"/>
          <w:szCs w:val="22"/>
        </w:rPr>
      </w:pPr>
    </w:p>
    <w:p w:rsidR="00E347AA" w:rsidRPr="00656792" w:rsidRDefault="00E347AA" w:rsidP="00A66B2D">
      <w:pPr>
        <w:jc w:val="both"/>
        <w:rPr>
          <w:rFonts w:ascii="Times New Roman" w:hAnsi="Times New Roman"/>
          <w:i/>
          <w:iCs/>
          <w:sz w:val="22"/>
          <w:szCs w:val="22"/>
        </w:rPr>
      </w:pPr>
      <w:r>
        <w:rPr>
          <w:rFonts w:ascii="Times New Roman" w:hAnsi="Times New Roman"/>
          <w:i/>
          <w:sz w:val="22"/>
        </w:rPr>
        <w:t>« L'accès au crédit est un outil essentiel pour renforcer le secteur privé local et créer des emplois » (représentant du secteur privé, Tunis)</w:t>
      </w:r>
    </w:p>
    <w:p w:rsidR="00A66B2D" w:rsidRPr="00656792" w:rsidRDefault="00A66B2D" w:rsidP="00A66B2D">
      <w:pPr>
        <w:jc w:val="both"/>
        <w:rPr>
          <w:rFonts w:ascii="Times New Roman" w:hAnsi="Times New Roman"/>
          <w:i/>
          <w:iCs/>
          <w:sz w:val="22"/>
          <w:szCs w:val="22"/>
        </w:rPr>
      </w:pPr>
    </w:p>
    <w:p w:rsidR="00E347AA" w:rsidRPr="00656792" w:rsidRDefault="00E347AA" w:rsidP="00A66B2D">
      <w:pPr>
        <w:pStyle w:val="ListParagraph"/>
        <w:numPr>
          <w:ilvl w:val="0"/>
          <w:numId w:val="40"/>
        </w:numPr>
        <w:ind w:left="360"/>
        <w:jc w:val="both"/>
        <w:rPr>
          <w:rFonts w:ascii="Times New Roman" w:hAnsi="Times New Roman"/>
          <w:sz w:val="22"/>
          <w:szCs w:val="22"/>
        </w:rPr>
      </w:pPr>
      <w:r>
        <w:rPr>
          <w:rFonts w:ascii="Times New Roman" w:hAnsi="Times New Roman"/>
          <w:sz w:val="22"/>
        </w:rPr>
        <w:t>Les représentants du secteur privé ont dit qu'ils opéraient dans un nouvel environnement incertain où le précédent cadre de contrôles publics avait été démantelé sans être encore remplacé par un nouveau cadre. La situation est également mouvante quant aux termes du contrat social qui va être établi pour assurer la médiation dans les relations entre les entreprises et les travailleurs, ainsi qu'avec les communautés dans lesquelles ils opèrent. Le manque de clarté des orientations stratégiques au cours de la transition politique a bridé leur confiance à l'égard de l'environnement des affaires dans l'attente de la publication d'un programme gouvernemental clair.</w:t>
      </w:r>
    </w:p>
    <w:p w:rsidR="00E347AA" w:rsidRPr="00656792" w:rsidRDefault="00E347AA" w:rsidP="00A66B2D">
      <w:pPr>
        <w:pStyle w:val="ListParagraph"/>
        <w:ind w:left="0"/>
        <w:jc w:val="both"/>
        <w:rPr>
          <w:rFonts w:ascii="Times New Roman" w:hAnsi="Times New Roman"/>
          <w:sz w:val="22"/>
          <w:szCs w:val="22"/>
        </w:rPr>
      </w:pPr>
    </w:p>
    <w:p w:rsidR="00E347AA" w:rsidRPr="00656792" w:rsidRDefault="00E347AA" w:rsidP="00270DB5">
      <w:pPr>
        <w:pStyle w:val="ListParagraph"/>
        <w:numPr>
          <w:ilvl w:val="0"/>
          <w:numId w:val="40"/>
        </w:numPr>
        <w:ind w:left="360"/>
        <w:jc w:val="both"/>
        <w:rPr>
          <w:rFonts w:ascii="Times New Roman" w:hAnsi="Times New Roman"/>
          <w:sz w:val="22"/>
          <w:szCs w:val="22"/>
        </w:rPr>
      </w:pPr>
      <w:r>
        <w:rPr>
          <w:rFonts w:ascii="Times New Roman" w:hAnsi="Times New Roman"/>
          <w:sz w:val="22"/>
        </w:rPr>
        <w:t>Les participants du secteur privé ont également noté que l'accentuation des tensions sociales depuis la révolution avait aggravé les conditions prévalant dans les régions accusant du retard, gênant le fonctionnement des entreprises, suscitant également de nouveaux risques (par exemple, des dommages lors des manifestations ou grèves ayant basculé dans la violence et l'absence d'indemnisation de ce type de dommages). Le sentiment d'incertitude et de risque a incité un certain nombre d'entreprises internationales et locales importantes à quitter le pays. Certains représentants ont dit que la Banque et d'autres donateurs devraient proposer un appui spécial ou des exceptions en faveur des sociétés tunisiennes afin de faciliter leurs efforts d'exportations de produits vers l'Europe et les États-Unis, notamment au vu des déclarations publiques d'appui à la transition de la communauté internationale.</w:t>
      </w:r>
    </w:p>
    <w:p w:rsidR="00E347AA" w:rsidRPr="00656792" w:rsidRDefault="00E347AA" w:rsidP="00A66B2D">
      <w:pPr>
        <w:pStyle w:val="ListParagraph"/>
        <w:ind w:left="0"/>
        <w:jc w:val="both"/>
        <w:rPr>
          <w:rFonts w:ascii="Times New Roman" w:hAnsi="Times New Roman"/>
          <w:sz w:val="22"/>
          <w:szCs w:val="22"/>
        </w:rPr>
      </w:pPr>
    </w:p>
    <w:p w:rsidR="00A32FAC" w:rsidRPr="00656792" w:rsidRDefault="00E347AA" w:rsidP="00270DB5">
      <w:pPr>
        <w:pStyle w:val="ListParagraph"/>
        <w:numPr>
          <w:ilvl w:val="0"/>
          <w:numId w:val="40"/>
        </w:numPr>
        <w:ind w:left="360"/>
        <w:jc w:val="both"/>
        <w:rPr>
          <w:rFonts w:ascii="Times New Roman" w:eastAsia="Times New Roman" w:hAnsi="Times New Roman"/>
          <w:sz w:val="22"/>
          <w:szCs w:val="22"/>
        </w:rPr>
      </w:pPr>
      <w:r>
        <w:rPr>
          <w:rFonts w:ascii="Times New Roman" w:eastAsiaTheme="minorHAnsi" w:hAnsi="Times New Roman"/>
          <w:color w:val="000000"/>
          <w:sz w:val="22"/>
        </w:rPr>
        <w:t>Les intervenants ont convenu qu'il existait une forte inadéquation quant aux compétences qu'ils recherchent, mais qu'ils avaient des difficultés à les trouver (en particulier, les compétences mécaniques, d'ingénierie et d'autres compétences « pratiques »). Les étudiants ont dit qu'ils attendaient la fin de la récession en restant scolarisés et en obtenant d'autres diplômes dans l'espoir de se retrouver dans un meilleur marché de l'emploi après la transition. Le Gouvernement, le secteur privé et la société civile ont tous souligné la nécessité d'appuyer l'entrepreneuriat et les MPME pour créer des emplois et de la richesse.</w:t>
      </w:r>
      <w:r w:rsidR="006D6057">
        <w:rPr>
          <w:rFonts w:ascii="Times New Roman" w:eastAsiaTheme="minorHAnsi" w:hAnsi="Times New Roman"/>
          <w:color w:val="000000"/>
          <w:sz w:val="22"/>
        </w:rPr>
        <w:t xml:space="preserve"> </w:t>
      </w:r>
      <w:r>
        <w:rPr>
          <w:rFonts w:ascii="Times New Roman" w:eastAsiaTheme="minorHAnsi" w:hAnsi="Times New Roman"/>
          <w:color w:val="000000"/>
          <w:sz w:val="22"/>
        </w:rPr>
        <w:t>La professionnalisation du secteur financier est jugée cruciale pour que les petites entreprises et les start-up puissent y accéder. Un certain nombre d'intervenants — représentants du gouvernement, secteur privé, associations communautaires, professeurs d'université et étudiants — ont formulé des propositions d'initiatives de développement innovantes dans les domaines de l'écotourisme, la protection de l'environnement, la gestion des déchets et l'énergie.</w:t>
      </w:r>
    </w:p>
    <w:p w:rsidR="00656792" w:rsidRDefault="00656792" w:rsidP="00656792">
      <w:pPr>
        <w:rPr>
          <w:rFonts w:ascii="Times New Roman" w:hAnsi="Times New Roman"/>
          <w:b/>
          <w:bCs/>
          <w:sz w:val="22"/>
          <w:szCs w:val="22"/>
        </w:rPr>
      </w:pPr>
    </w:p>
    <w:p w:rsidR="00E347AA" w:rsidRPr="00656792" w:rsidRDefault="00E347AA" w:rsidP="00656792">
      <w:pPr>
        <w:rPr>
          <w:rFonts w:ascii="Times New Roman" w:hAnsi="Times New Roman"/>
          <w:b/>
          <w:bCs/>
          <w:sz w:val="22"/>
          <w:szCs w:val="22"/>
        </w:rPr>
      </w:pPr>
      <w:r>
        <w:rPr>
          <w:rFonts w:ascii="Times New Roman" w:hAnsi="Times New Roman"/>
          <w:b/>
          <w:sz w:val="22"/>
        </w:rPr>
        <w:t>Domaine 2 : Promotion de l'inclusion sociale et économique</w:t>
      </w:r>
    </w:p>
    <w:p w:rsidR="00A32FAC" w:rsidRPr="00656792" w:rsidRDefault="00A32FAC" w:rsidP="00A66B2D">
      <w:pPr>
        <w:jc w:val="both"/>
        <w:rPr>
          <w:rFonts w:ascii="Times New Roman" w:hAnsi="Times New Roman"/>
          <w:b/>
          <w:bCs/>
          <w:sz w:val="22"/>
          <w:szCs w:val="22"/>
        </w:rPr>
      </w:pPr>
    </w:p>
    <w:p w:rsidR="00E347AA" w:rsidRPr="00656792" w:rsidRDefault="00E347AA" w:rsidP="00A32FAC">
      <w:pPr>
        <w:pStyle w:val="ListParagraph"/>
        <w:autoSpaceDE w:val="0"/>
        <w:autoSpaceDN w:val="0"/>
        <w:adjustRightInd w:val="0"/>
        <w:ind w:left="360"/>
        <w:jc w:val="both"/>
        <w:rPr>
          <w:rFonts w:ascii="Times New Roman" w:eastAsiaTheme="minorHAnsi" w:hAnsi="Times New Roman"/>
          <w:i/>
          <w:iCs/>
          <w:color w:val="000000"/>
          <w:sz w:val="22"/>
          <w:szCs w:val="22"/>
        </w:rPr>
      </w:pPr>
      <w:r>
        <w:rPr>
          <w:rFonts w:ascii="Times New Roman" w:eastAsiaTheme="minorHAnsi" w:hAnsi="Times New Roman"/>
          <w:i/>
          <w:color w:val="000000"/>
          <w:sz w:val="22"/>
        </w:rPr>
        <w:lastRenderedPageBreak/>
        <w:t>"Nous avons besoin de déléguer plus de responsabilités et d'autonomiser les communautés pour agir sur le chômage" (réunion OSC, Kélibia)</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9"/>
        </w:numPr>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Les parties prenantes ont souligné l'importance d'investir localement pour fournir des services, créer des emplois et des débouchés et relancer la croissance. Outre l'emploi, elles ont dénoncé l'inadaptation des services d'infrastructure (routes, gestion des déchets, éducation et centres communautaires). Elles ont convenu que les jeunes des petites villes n'ont aucune ressource — il n'y a rien pour les occuper en dehors de l'école ; s'ils ne vont pas à l'école, ils ne font rien de leurs journées. La Banque pourrait appuyer des programmes éducatifs et d'activités post scolaires pour ces jeunes, incluant un renforcement des compétences ou des activités de loisirs.</w:t>
      </w:r>
    </w:p>
    <w:p w:rsidR="00E347AA" w:rsidRPr="00656792" w:rsidRDefault="00E347AA" w:rsidP="00A66B2D">
      <w:pPr>
        <w:pStyle w:val="ListParagraph"/>
        <w:ind w:left="0"/>
        <w:jc w:val="both"/>
        <w:rPr>
          <w:rFonts w:ascii="Times New Roman" w:hAnsi="Times New Roman"/>
          <w:sz w:val="22"/>
          <w:szCs w:val="22"/>
        </w:rPr>
      </w:pPr>
    </w:p>
    <w:p w:rsidR="00E347AA" w:rsidRPr="005B0AF5" w:rsidRDefault="00E347AA" w:rsidP="00A66B2D">
      <w:pPr>
        <w:pStyle w:val="ListParagraph"/>
        <w:numPr>
          <w:ilvl w:val="0"/>
          <w:numId w:val="39"/>
        </w:numPr>
        <w:ind w:left="360"/>
        <w:jc w:val="both"/>
        <w:rPr>
          <w:rFonts w:ascii="Times New Roman" w:eastAsiaTheme="minorHAnsi" w:hAnsi="Times New Roman"/>
          <w:color w:val="000000"/>
          <w:sz w:val="22"/>
          <w:szCs w:val="22"/>
        </w:rPr>
      </w:pPr>
      <w:r>
        <w:rPr>
          <w:rFonts w:ascii="Times New Roman" w:hAnsi="Times New Roman"/>
          <w:sz w:val="22"/>
        </w:rPr>
        <w:t>Les représentants de la société civile ont estimé que les classifications des différentes régions antérieures à la révolution, en fonction de leur richesse économique moyenne estimée, n'étaient plus pertinentes. Ils ont indiqué que des poches de pauvreté et de vulnérabilité existent dans toutes les régions, et que les ressources du Gouvernement ne devraient pas se limiter à une sélection de régions, mais être plutôt réparties en fonction des différents besoins et priorités des communautés. Ils ont affirmé que les tensions économiques et sociales exigent des stratégies de développement au niveau des communautés, plutôt qu'au niveau régional.</w:t>
      </w:r>
    </w:p>
    <w:p w:rsidR="005B0AF5" w:rsidRPr="00656792" w:rsidRDefault="005B0AF5" w:rsidP="005B0AF5">
      <w:pPr>
        <w:pStyle w:val="ListParagraph"/>
        <w:ind w:left="36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9"/>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Les communautés locales ont déclaré que les associations jouent un rôle de plus en plus important depuis la révolution pour faire entendre la voix des citoyens, mais elles ont dit que les administrations centrales et municipales ne les consultaient ou ne les soutenaient pas suffisamment. Elles ont cité l'appui de la Banque à des organismes non gouvernementaux comme un canal important de promotion de la participation communautaire.</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9"/>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 xml:space="preserve">Les participants aux discussions ont également souligné la nécessité d'un appui aux municipalités, car les communautés s'adressent à elles pour tout — de l'emploi aux services de base — alors qu'elles ne sont souvent que mal équipées ou dépourvues de ressources. Toutes les parties prenantes, y compris les chômeurs, se sont montrés farouchement opposés au programme gouvernemental d'allocations et de formation (AMAL) et ont dit qu'il devait être complètement remanié dans la mesure où ses composantes de formation et de placement n'avaient pas donné de résultats, et où l'allocation avait un effet de distorsion encourageant ses bénéficiaires à ne pas accepter les emplois moins rémunérés que l'allocation. </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9"/>
        </w:numPr>
        <w:ind w:left="360"/>
        <w:jc w:val="both"/>
        <w:rPr>
          <w:rFonts w:ascii="Times New Roman" w:hAnsi="Times New Roman"/>
          <w:sz w:val="22"/>
          <w:szCs w:val="22"/>
        </w:rPr>
      </w:pPr>
      <w:r>
        <w:rPr>
          <w:rFonts w:ascii="Times New Roman" w:hAnsi="Times New Roman"/>
          <w:sz w:val="22"/>
        </w:rPr>
        <w:t xml:space="preserve">La participation de la société civile au niveau local a été évoquée en ce qui a trait aux modalités de mise en œuvre des projets. Les participants ont dit que de tels projets seraient plus efficaces s'ils étaient mis en œuvre par des ONG et des OSC. À cet égard, l'équipe de la Banque a noté que les dispositifs institutionnels existants, ainsi que la gestion centralisée de l'administration publique ne facilitent pas de tels transferts de capacité. </w:t>
      </w:r>
    </w:p>
    <w:p w:rsidR="00E347AA" w:rsidRPr="00656792" w:rsidRDefault="00E347AA" w:rsidP="00A66B2D">
      <w:pPr>
        <w:pStyle w:val="ListParagraph"/>
        <w:ind w:left="360"/>
        <w:jc w:val="both"/>
        <w:rPr>
          <w:rFonts w:ascii="Times New Roman" w:hAnsi="Times New Roman"/>
          <w:sz w:val="22"/>
          <w:szCs w:val="22"/>
        </w:rPr>
      </w:pPr>
    </w:p>
    <w:p w:rsidR="00A66B2D" w:rsidRPr="00656792" w:rsidRDefault="00E347AA" w:rsidP="00A66B2D">
      <w:pPr>
        <w:pStyle w:val="ListParagraph"/>
        <w:numPr>
          <w:ilvl w:val="0"/>
          <w:numId w:val="39"/>
        </w:numPr>
        <w:ind w:left="360"/>
        <w:jc w:val="both"/>
        <w:rPr>
          <w:rFonts w:ascii="Times New Roman" w:hAnsi="Times New Roman"/>
          <w:sz w:val="22"/>
          <w:szCs w:val="22"/>
        </w:rPr>
      </w:pPr>
      <w:r>
        <w:rPr>
          <w:rFonts w:ascii="Times New Roman" w:hAnsi="Times New Roman"/>
          <w:sz w:val="22"/>
        </w:rPr>
        <w:t xml:space="preserve">La gestion durable des ressources naturelles a été évoquée comme un problème critique par les communautés locales vivant dans les régions côtières. </w:t>
      </w:r>
    </w:p>
    <w:p w:rsidR="00E347AA" w:rsidRPr="00656792" w:rsidRDefault="00E347AA" w:rsidP="00A32FAC">
      <w:pPr>
        <w:pStyle w:val="ListParagraph"/>
        <w:ind w:left="0"/>
        <w:jc w:val="both"/>
        <w:rPr>
          <w:rFonts w:ascii="Times New Roman" w:hAnsi="Times New Roman"/>
          <w:sz w:val="22"/>
          <w:szCs w:val="22"/>
        </w:rPr>
      </w:pPr>
    </w:p>
    <w:p w:rsidR="00E347AA" w:rsidRPr="00656792" w:rsidRDefault="00E347AA" w:rsidP="00A66B2D">
      <w:pPr>
        <w:autoSpaceDE w:val="0"/>
        <w:autoSpaceDN w:val="0"/>
        <w:adjustRightInd w:val="0"/>
        <w:jc w:val="both"/>
        <w:rPr>
          <w:rFonts w:ascii="Times New Roman" w:eastAsiaTheme="minorHAnsi" w:hAnsi="Times New Roman"/>
          <w:b/>
          <w:bCs/>
          <w:color w:val="000000"/>
          <w:sz w:val="22"/>
          <w:szCs w:val="22"/>
        </w:rPr>
      </w:pPr>
      <w:r>
        <w:rPr>
          <w:rFonts w:ascii="Times New Roman" w:eastAsiaTheme="minorHAnsi" w:hAnsi="Times New Roman"/>
          <w:b/>
          <w:color w:val="000000"/>
          <w:sz w:val="22"/>
        </w:rPr>
        <w:t>Domaine 3 : Renforcement de la gouvernance : Participation citoyenne, responsabilité et transparence</w:t>
      </w:r>
    </w:p>
    <w:p w:rsidR="00E347AA" w:rsidRPr="00656792" w:rsidRDefault="00E347AA" w:rsidP="00A66B2D">
      <w:pPr>
        <w:autoSpaceDE w:val="0"/>
        <w:autoSpaceDN w:val="0"/>
        <w:adjustRightInd w:val="0"/>
        <w:jc w:val="both"/>
        <w:rPr>
          <w:rFonts w:ascii="Times New Roman" w:eastAsiaTheme="minorHAnsi" w:hAnsi="Times New Roman"/>
          <w:i/>
          <w:iCs/>
          <w:color w:val="000000"/>
          <w:sz w:val="22"/>
          <w:szCs w:val="22"/>
        </w:rPr>
      </w:pPr>
    </w:p>
    <w:p w:rsidR="00E347AA" w:rsidRPr="001E0286" w:rsidRDefault="00E347AA" w:rsidP="00793983">
      <w:pPr>
        <w:autoSpaceDE w:val="0"/>
        <w:autoSpaceDN w:val="0"/>
        <w:adjustRightInd w:val="0"/>
        <w:jc w:val="both"/>
        <w:rPr>
          <w:rFonts w:ascii="Times New Roman" w:eastAsiaTheme="minorHAnsi" w:hAnsi="Times New Roman"/>
          <w:i/>
          <w:iCs/>
          <w:color w:val="000000"/>
          <w:sz w:val="22"/>
          <w:szCs w:val="22"/>
        </w:rPr>
      </w:pPr>
      <w:r>
        <w:rPr>
          <w:rFonts w:ascii="Times New Roman" w:eastAsiaTheme="minorHAnsi" w:hAnsi="Times New Roman"/>
          <w:i/>
          <w:color w:val="000000"/>
          <w:sz w:val="22"/>
        </w:rPr>
        <w:t>"La gouvernance est un vecteur essentiel à la création d'emplois." (École supérieure des sciences économiques et commerciales de Tunis)</w:t>
      </w:r>
    </w:p>
    <w:p w:rsidR="00E347AA" w:rsidRPr="001E0286"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8"/>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lastRenderedPageBreak/>
        <w:t xml:space="preserve">Les échanges sur la NSI ont révélé des impressions contrastées sur les réformes politiques entreprises par le Gouvernement pour accroître l'accès à l'information et faire entendre la voix citoyenne. Les participants ont convenu que la Banque devrait poursuivre son action au service du renforcement de la gouvernance à tous les niveaux, notamment pour promouvoir la transparence et la responsabilité dans les administrations centrales, et aussi pour responsabiliser les communautés locales en leur donnant les moyens de se faire entendre et de prendre des décisions sur ce qui affecte leur bien-être et leurs opportunités. </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8"/>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 xml:space="preserve">Si les intervenants ont convenu que la législation sur la liberté d'association a été une réalisation importante, ayant réduit les contrôles gouvernementaux qui avaient entravé les organisations de la société civile, d'autres réformes n'ont cependant pas donné autant de résultats, l'administration publique restant, par exemple, encore très pesante. </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8"/>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Alors que la loi a renforcé le droit d'accès à l'information publique, y compris aux données économiques et sociales et aux informations sur les finances publiques, ces informations ne sont que partiellement disponibles.</w:t>
      </w:r>
    </w:p>
    <w:p w:rsidR="00E347AA" w:rsidRPr="00656792" w:rsidRDefault="00E347AA" w:rsidP="00A66B2D">
      <w:pPr>
        <w:autoSpaceDE w:val="0"/>
        <w:autoSpaceDN w:val="0"/>
        <w:adjustRightInd w:val="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8"/>
        </w:numPr>
        <w:autoSpaceDE w:val="0"/>
        <w:autoSpaceDN w:val="0"/>
        <w:adjustRightInd w:val="0"/>
        <w:ind w:left="360"/>
        <w:jc w:val="both"/>
        <w:rPr>
          <w:rFonts w:ascii="Times New Roman" w:eastAsiaTheme="minorHAnsi" w:hAnsi="Times New Roman"/>
          <w:color w:val="000000"/>
          <w:sz w:val="22"/>
          <w:szCs w:val="22"/>
        </w:rPr>
      </w:pPr>
      <w:r>
        <w:rPr>
          <w:rFonts w:ascii="Times New Roman" w:eastAsiaTheme="minorHAnsi" w:hAnsi="Times New Roman"/>
          <w:color w:val="000000"/>
          <w:sz w:val="22"/>
        </w:rPr>
        <w:t>Entre-temps, l'utilisation de l'Internet s'est considérablement élargie, reliant les Tunisiens et ouvrant la Tunisie sur le monde, avec une forte augmentation du nombre de sites web « .tn ». Toutefois, un grand nombre de Tunisiens n'ont pas facilement accès à un ordinateur ou à Internet pour profiter de ces améliorations. En outre, il reste un sentiment de méfiance à l'égard des institutions publiques chargées de l'enregistrement des noms de domaine et le coût de l'enregistrement entrave également la poursuite du développement de l'Internet comme outil pour les organismes locaux permettant d'enregistrer et d'atteindre le grand public. Les participants ont néanmoins approuvé l'orientation des réformes et comptent sur la Banque pour qu'elle s'assure qu'elles sont pleinement mises en œuvre.</w:t>
      </w:r>
    </w:p>
    <w:p w:rsidR="00E347AA" w:rsidRPr="00656792" w:rsidRDefault="00E347AA" w:rsidP="00A66B2D">
      <w:pPr>
        <w:pStyle w:val="ListParagraph"/>
        <w:ind w:left="360"/>
        <w:jc w:val="both"/>
        <w:rPr>
          <w:rFonts w:ascii="Times New Roman" w:eastAsiaTheme="minorHAnsi" w:hAnsi="Times New Roman"/>
          <w:color w:val="000000"/>
          <w:sz w:val="22"/>
          <w:szCs w:val="22"/>
        </w:rPr>
      </w:pPr>
    </w:p>
    <w:p w:rsidR="00E347AA" w:rsidRPr="00656792" w:rsidRDefault="00E347AA" w:rsidP="00A66B2D">
      <w:pPr>
        <w:pStyle w:val="ListParagraph"/>
        <w:numPr>
          <w:ilvl w:val="0"/>
          <w:numId w:val="37"/>
        </w:numPr>
        <w:ind w:left="360"/>
        <w:jc w:val="both"/>
        <w:rPr>
          <w:rFonts w:ascii="Times New Roman" w:hAnsi="Times New Roman"/>
          <w:bCs/>
          <w:sz w:val="22"/>
          <w:szCs w:val="22"/>
        </w:rPr>
      </w:pPr>
      <w:r>
        <w:rPr>
          <w:rFonts w:ascii="Times New Roman" w:hAnsi="Times New Roman"/>
          <w:sz w:val="22"/>
        </w:rPr>
        <w:t>Les participants se sont interrogés sur le rôle de la Banque pour aider à récupérer les avoirs volés par le régime de Ben Ali. En particulier, dans la mesure où la Banque a appuyé le régime, il semble normal que la Banque ait un rôle dans ce domaine. À cet égard, les participants du secteur privé ont dit qu'il serait important de conclure rapidement ou de débloquer les avoirs des familles et associés de Ben Ali qui ont été confisqués par l'État.</w:t>
      </w:r>
      <w:r w:rsidR="006D6057">
        <w:rPr>
          <w:rFonts w:ascii="Times New Roman" w:hAnsi="Times New Roman"/>
          <w:sz w:val="22"/>
        </w:rPr>
        <w:t xml:space="preserve"> </w:t>
      </w:r>
      <w:r>
        <w:rPr>
          <w:rFonts w:ascii="Times New Roman" w:hAnsi="Times New Roman"/>
          <w:sz w:val="22"/>
        </w:rPr>
        <w:t>Ces actifs représentent d'importantes opportunités pour l'économie et le rétablissement de l'activité économique (par exemple, des biens immobiliers qui pourraient être utilisés par l'administration, pour des services publics ou vendus pour usage privé).</w:t>
      </w:r>
    </w:p>
    <w:p w:rsidR="00E347AA" w:rsidRPr="00656792" w:rsidRDefault="00E347AA" w:rsidP="00A66B2D">
      <w:pPr>
        <w:jc w:val="both"/>
        <w:rPr>
          <w:rFonts w:ascii="Times New Roman" w:hAnsi="Times New Roman"/>
          <w:sz w:val="22"/>
          <w:szCs w:val="22"/>
        </w:rPr>
      </w:pPr>
    </w:p>
    <w:p w:rsidR="00CF6285" w:rsidRPr="00656792" w:rsidRDefault="00CF6285" w:rsidP="00E347AA">
      <w:pPr>
        <w:pStyle w:val="ListParagraph"/>
        <w:spacing w:after="200" w:line="276" w:lineRule="auto"/>
        <w:ind w:left="0"/>
        <w:jc w:val="both"/>
        <w:rPr>
          <w:rFonts w:ascii="Times New Roman" w:hAnsi="Times New Roman"/>
          <w:sz w:val="22"/>
          <w:szCs w:val="22"/>
        </w:rPr>
      </w:pPr>
    </w:p>
    <w:p w:rsidR="00CF6285" w:rsidRPr="00656792" w:rsidRDefault="00CF6285" w:rsidP="00AC0270">
      <w:pPr>
        <w:pStyle w:val="ListParagraph"/>
        <w:ind w:left="0"/>
        <w:jc w:val="lowKashida"/>
        <w:rPr>
          <w:rFonts w:ascii="Times New Roman" w:hAnsi="Times New Roman"/>
          <w:sz w:val="22"/>
          <w:szCs w:val="22"/>
        </w:rPr>
      </w:pPr>
    </w:p>
    <w:p w:rsidR="00CB66DD" w:rsidRPr="00656792" w:rsidRDefault="00CB66DD">
      <w:pPr>
        <w:rPr>
          <w:rFonts w:ascii="Times New Roman" w:hAnsi="Times New Roman"/>
          <w:sz w:val="22"/>
          <w:szCs w:val="22"/>
        </w:rPr>
      </w:pPr>
      <w:r>
        <w:br w:type="page"/>
      </w:r>
    </w:p>
    <w:p w:rsidR="005B0AF5" w:rsidRDefault="00CB66DD" w:rsidP="00D43382">
      <w:pPr>
        <w:pStyle w:val="Caption"/>
      </w:pPr>
      <w:bookmarkStart w:id="64" w:name="_Toc327979051"/>
      <w:bookmarkStart w:id="65" w:name="_Toc320651708"/>
      <w:r>
        <w:lastRenderedPageBreak/>
        <w:t xml:space="preserve">Annexe </w:t>
      </w:r>
      <w:fldSimple w:instr=" SEQ Annex \* ARABIC ">
        <w:r w:rsidR="002D5CED">
          <w:rPr>
            <w:noProof/>
          </w:rPr>
          <w:t>2</w:t>
        </w:r>
        <w:bookmarkEnd w:id="64"/>
      </w:fldSimple>
    </w:p>
    <w:p w:rsidR="00CB66DD" w:rsidRDefault="00CB66DD" w:rsidP="00D43382">
      <w:pPr>
        <w:pStyle w:val="Caption"/>
        <w:rPr>
          <w:noProof/>
        </w:rPr>
      </w:pPr>
      <w:r>
        <w:t>Tunisie : Principaux indicateurs macroéconomiques 2008-2015</w:t>
      </w:r>
      <w:bookmarkEnd w:id="65"/>
    </w:p>
    <w:p w:rsidR="00020F16" w:rsidRPr="00020F16" w:rsidRDefault="00020F16" w:rsidP="00020F16"/>
    <w:p w:rsidR="00CB66DD" w:rsidRDefault="00BE3333" w:rsidP="00CB66DD">
      <w:pPr>
        <w:autoSpaceDE w:val="0"/>
        <w:autoSpaceDN w:val="0"/>
        <w:adjustRightInd w:val="0"/>
      </w:pPr>
      <w:r>
        <w:rPr>
          <w:noProof/>
          <w:lang w:val="en-US" w:eastAsia="en-US" w:bidi="ar-SA"/>
        </w:rPr>
      </w:r>
      <w:r w:rsidRPr="00BE3333">
        <w:rPr>
          <w:noProof/>
          <w:lang w:val="en-US" w:eastAsia="en-US" w:bidi="ar-SA"/>
        </w:rPr>
        <w:pict>
          <v:group id="Canvas 110" o:spid="_x0000_s1029" editas="canvas" style="width:482pt;height:484.95pt;mso-position-horizontal-relative:char;mso-position-vertical-relative:line" coordsize="61214,6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1214;height:61588;visibility:visible;mso-wrap-style:square">
              <v:fill o:detectmouseclick="t"/>
              <v:path o:connecttype="none"/>
            </v:shape>
            <v:group id="Group 311" o:spid="_x0000_s1031" style="position:absolute;left:279;top:120;width:60046;height:37967" coordorigin="29,19" coordsize="9456,5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11" o:spid="_x0000_s1032" style="position:absolute;left:3539;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E6192" w:rsidRDefault="006E6192">
                      <w:r>
                        <w:rPr>
                          <w:rFonts w:ascii="Times New Roman" w:hAnsi="Times New Roman"/>
                          <w:b/>
                          <w:bCs/>
                          <w:color w:val="000000"/>
                          <w:sz w:val="14"/>
                          <w:szCs w:val="14"/>
                        </w:rPr>
                        <w:t>2008</w:t>
                      </w:r>
                    </w:p>
                  </w:txbxContent>
                </v:textbox>
              </v:rect>
              <v:rect id="Rectangle 112" o:spid="_x0000_s1033" style="position:absolute;left:4312;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E6192" w:rsidRDefault="006E6192">
                      <w:r>
                        <w:rPr>
                          <w:rFonts w:ascii="Times New Roman" w:hAnsi="Times New Roman"/>
                          <w:b/>
                          <w:bCs/>
                          <w:color w:val="000000"/>
                          <w:sz w:val="14"/>
                          <w:szCs w:val="14"/>
                        </w:rPr>
                        <w:t>2009</w:t>
                      </w:r>
                    </w:p>
                  </w:txbxContent>
                </v:textbox>
              </v:rect>
              <v:rect id="Rectangle 113" o:spid="_x0000_s1034" style="position:absolute;left:5086;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E6192" w:rsidRDefault="006E6192">
                      <w:r>
                        <w:rPr>
                          <w:rFonts w:ascii="Times New Roman" w:hAnsi="Times New Roman"/>
                          <w:b/>
                          <w:bCs/>
                          <w:color w:val="000000"/>
                          <w:sz w:val="14"/>
                          <w:szCs w:val="14"/>
                        </w:rPr>
                        <w:t>2010</w:t>
                      </w:r>
                    </w:p>
                  </w:txbxContent>
                </v:textbox>
              </v:rect>
              <v:rect id="Rectangle 114" o:spid="_x0000_s1035" style="position:absolute;left:5859;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E6192" w:rsidRDefault="006E6192">
                      <w:r>
                        <w:rPr>
                          <w:rFonts w:ascii="Times New Roman" w:hAnsi="Times New Roman"/>
                          <w:b/>
                          <w:bCs/>
                          <w:color w:val="000000"/>
                          <w:sz w:val="14"/>
                          <w:szCs w:val="14"/>
                        </w:rPr>
                        <w:t>2011</w:t>
                      </w:r>
                    </w:p>
                  </w:txbxContent>
                </v:textbox>
              </v:rect>
              <v:rect id="Rectangle 115" o:spid="_x0000_s1036" style="position:absolute;left:6633;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E6192" w:rsidRDefault="006E6192">
                      <w:r>
                        <w:rPr>
                          <w:rFonts w:ascii="Times New Roman" w:hAnsi="Times New Roman"/>
                          <w:b/>
                          <w:bCs/>
                          <w:color w:val="000000"/>
                          <w:sz w:val="14"/>
                          <w:szCs w:val="14"/>
                        </w:rPr>
                        <w:t>2012</w:t>
                      </w:r>
                    </w:p>
                  </w:txbxContent>
                </v:textbox>
              </v:rect>
              <v:rect id="Rectangle 116" o:spid="_x0000_s1037" style="position:absolute;left:7406;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E6192" w:rsidRDefault="006E6192">
                      <w:r>
                        <w:rPr>
                          <w:rFonts w:ascii="Times New Roman" w:hAnsi="Times New Roman"/>
                          <w:b/>
                          <w:bCs/>
                          <w:color w:val="000000"/>
                          <w:sz w:val="14"/>
                          <w:szCs w:val="14"/>
                        </w:rPr>
                        <w:t>2013</w:t>
                      </w:r>
                    </w:p>
                  </w:txbxContent>
                </v:textbox>
              </v:rect>
              <v:rect id="Rectangle 117" o:spid="_x0000_s1038" style="position:absolute;left:8180;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E6192" w:rsidRDefault="006E6192">
                      <w:r>
                        <w:rPr>
                          <w:rFonts w:ascii="Times New Roman" w:hAnsi="Times New Roman"/>
                          <w:b/>
                          <w:bCs/>
                          <w:color w:val="000000"/>
                          <w:sz w:val="14"/>
                          <w:szCs w:val="14"/>
                        </w:rPr>
                        <w:t>2014</w:t>
                      </w:r>
                    </w:p>
                  </w:txbxContent>
                </v:textbox>
              </v:rect>
              <v:rect id="Rectangle 118" o:spid="_x0000_s1039" style="position:absolute;left:8954;top:19;width:28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E6192" w:rsidRDefault="006E6192">
                      <w:r>
                        <w:rPr>
                          <w:rFonts w:ascii="Times New Roman" w:hAnsi="Times New Roman"/>
                          <w:b/>
                          <w:bCs/>
                          <w:color w:val="000000"/>
                          <w:sz w:val="14"/>
                          <w:szCs w:val="14"/>
                        </w:rPr>
                        <w:t>2015</w:t>
                      </w:r>
                    </w:p>
                  </w:txbxContent>
                </v:textbox>
              </v:rect>
              <v:rect id="Rectangle 119" o:spid="_x0000_s1040" style="position:absolute;left:5859;top:223;width:35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E6192" w:rsidRDefault="00D82532">
                      <w:r>
                        <w:rPr>
                          <w:rFonts w:ascii="Times New Roman" w:hAnsi="Times New Roman"/>
                          <w:color w:val="000000"/>
                          <w:sz w:val="14"/>
                          <w:szCs w:val="14"/>
                        </w:rPr>
                        <w:t>(Prél.</w:t>
                      </w:r>
                      <w:r w:rsidR="006E6192">
                        <w:rPr>
                          <w:rFonts w:ascii="Times New Roman" w:hAnsi="Times New Roman"/>
                          <w:color w:val="000000"/>
                          <w:sz w:val="14"/>
                          <w:szCs w:val="14"/>
                        </w:rPr>
                        <w:t>)</w:t>
                      </w:r>
                    </w:p>
                  </w:txbxContent>
                </v:textbox>
              </v:rect>
              <v:rect id="Rectangle 120" o:spid="_x0000_s1041" style="position:absolute;left:6604;top:223;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(Proj.)</w:t>
                      </w:r>
                    </w:p>
                  </w:txbxContent>
                </v:textbox>
              </v:rect>
              <v:rect id="Rectangle 121" o:spid="_x0000_s1042" style="position:absolute;left:7377;top:223;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(Proj.)</w:t>
                      </w:r>
                    </w:p>
                  </w:txbxContent>
                </v:textbox>
              </v:rect>
              <v:rect id="Rectangle 122" o:spid="_x0000_s1043" style="position:absolute;left:8151;top:223;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(Proj.)</w:t>
                      </w:r>
                    </w:p>
                  </w:txbxContent>
                </v:textbox>
              </v:rect>
              <v:rect id="Rectangle 123" o:spid="_x0000_s1044" style="position:absolute;left:8925;top:223;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(Proj.)</w:t>
                      </w:r>
                    </w:p>
                  </w:txbxContent>
                </v:textbox>
              </v:rect>
              <v:rect id="Rectangle 124" o:spid="_x0000_s1045" style="position:absolute;left:29;top:600;width:71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E6192" w:rsidRDefault="00D82532">
                      <w:r>
                        <w:rPr>
                          <w:rFonts w:ascii="Times New Roman" w:hAnsi="Times New Roman"/>
                          <w:b/>
                          <w:bCs/>
                          <w:color w:val="000000"/>
                          <w:sz w:val="14"/>
                          <w:szCs w:val="14"/>
                        </w:rPr>
                        <w:t>Secteur réel</w:t>
                      </w:r>
                    </w:p>
                  </w:txbxContent>
                </v:textbox>
              </v:rect>
              <v:rect id="Rectangle 125" o:spid="_x0000_s1046" style="position:absolute;left:29;top:803;width:223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E6192" w:rsidRDefault="009D6F9B">
                      <w:r>
                        <w:rPr>
                          <w:rFonts w:ascii="Times New Roman" w:hAnsi="Times New Roman"/>
                          <w:color w:val="000000"/>
                          <w:sz w:val="14"/>
                          <w:szCs w:val="14"/>
                        </w:rPr>
                        <w:t xml:space="preserve">Croissance du PIB réel </w:t>
                      </w:r>
                      <w:r w:rsidR="006E6192">
                        <w:rPr>
                          <w:rFonts w:ascii="Times New Roman" w:hAnsi="Times New Roman"/>
                          <w:color w:val="000000"/>
                          <w:sz w:val="14"/>
                          <w:szCs w:val="14"/>
                        </w:rPr>
                        <w:t>(</w:t>
                      </w:r>
                      <w:r>
                        <w:rPr>
                          <w:rFonts w:ascii="Times New Roman" w:hAnsi="Times New Roman"/>
                          <w:color w:val="000000"/>
                          <w:sz w:val="14"/>
                          <w:szCs w:val="14"/>
                        </w:rPr>
                        <w:t>variation en %</w:t>
                      </w:r>
                      <w:r w:rsidR="006E6192">
                        <w:rPr>
                          <w:rFonts w:ascii="Times New Roman" w:hAnsi="Times New Roman"/>
                          <w:color w:val="000000"/>
                          <w:sz w:val="14"/>
                          <w:szCs w:val="14"/>
                        </w:rPr>
                        <w:t>)</w:t>
                      </w:r>
                    </w:p>
                  </w:txbxContent>
                </v:textbox>
              </v:rect>
              <v:rect id="Rectangle 126" o:spid="_x0000_s1047" style="position:absolute;left:3877;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4.5</w:t>
                      </w:r>
                    </w:p>
                  </w:txbxContent>
                </v:textbox>
              </v:rect>
              <v:rect id="Rectangle 127" o:spid="_x0000_s1048" style="position:absolute;left:4651;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3.1</w:t>
                      </w:r>
                    </w:p>
                  </w:txbxContent>
                </v:textbox>
              </v:rect>
              <v:rect id="Rectangle 128" o:spid="_x0000_s1049" style="position:absolute;left:5531;top:803;width:7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w:t>
                      </w:r>
                    </w:p>
                  </w:txbxContent>
                </v:textbox>
              </v:rect>
              <v:rect id="Rectangle 129" o:spid="_x0000_s1050" style="position:absolute;left:6150;top:803;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-1.8</w:t>
                      </w:r>
                    </w:p>
                  </w:txbxContent>
                </v:textbox>
              </v:rect>
              <v:rect id="Rectangle 130" o:spid="_x0000_s1051" style="position:absolute;left:6971;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2.4</w:t>
                      </w:r>
                    </w:p>
                  </w:txbxContent>
                </v:textbox>
              </v:rect>
              <v:rect id="Rectangle 131" o:spid="_x0000_s1052" style="position:absolute;left:7745;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3.7</w:t>
                      </w:r>
                    </w:p>
                  </w:txbxContent>
                </v:textbox>
              </v:rect>
              <v:rect id="Rectangle 132" o:spid="_x0000_s1053" style="position:absolute;left:8518;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4.9</w:t>
                      </w:r>
                    </w:p>
                  </w:txbxContent>
                </v:textbox>
              </v:rect>
              <v:rect id="Rectangle 133" o:spid="_x0000_s1054" style="position:absolute;left:9292;top:803;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4.8</w:t>
                      </w:r>
                    </w:p>
                  </w:txbxContent>
                </v:textbox>
              </v:rect>
              <v:rect id="Rectangle 134" o:spid="_x0000_s1055" style="position:absolute;left:29;top:997;width:176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Inves</w:t>
                      </w:r>
                      <w:r w:rsidR="00515363">
                        <w:rPr>
                          <w:rFonts w:ascii="Times New Roman" w:hAnsi="Times New Roman"/>
                          <w:color w:val="000000"/>
                          <w:sz w:val="14"/>
                          <w:szCs w:val="14"/>
                        </w:rPr>
                        <w:t>tissement brut (% du PIB</w:t>
                      </w:r>
                      <w:r>
                        <w:rPr>
                          <w:rFonts w:ascii="Times New Roman" w:hAnsi="Times New Roman"/>
                          <w:color w:val="000000"/>
                          <w:sz w:val="14"/>
                          <w:szCs w:val="14"/>
                        </w:rPr>
                        <w:t>)</w:t>
                      </w:r>
                    </w:p>
                  </w:txbxContent>
                </v:textbox>
              </v:rect>
              <v:rect id="Rectangle 135" o:spid="_x0000_s1056" style="position:absolute;left:3810;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25.9</w:t>
                      </w:r>
                    </w:p>
                  </w:txbxContent>
                </v:textbox>
              </v:rect>
              <v:rect id="Rectangle 136" o:spid="_x0000_s1057" style="position:absolute;left:4583;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24.8</w:t>
                      </w:r>
                    </w:p>
                  </w:txbxContent>
                </v:textbox>
              </v:rect>
              <v:rect id="Rectangle 137" o:spid="_x0000_s1058" style="position:absolute;left:5357;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26.4</w:t>
                      </w:r>
                    </w:p>
                  </w:txbxContent>
                </v:textbox>
              </v:rect>
              <v:rect id="Rectangle 138" o:spid="_x0000_s1059" style="position:absolute;left:6130;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24.1</w:t>
                      </w:r>
                    </w:p>
                  </w:txbxContent>
                </v:textbox>
              </v:rect>
              <v:rect id="Rectangle 139" o:spid="_x0000_s1060" style="position:absolute;left:6904;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24.9</w:t>
                      </w:r>
                    </w:p>
                  </w:txbxContent>
                </v:textbox>
              </v:rect>
              <v:rect id="Rectangle 140" o:spid="_x0000_s1061" style="position:absolute;left:7677;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24.4</w:t>
                      </w:r>
                    </w:p>
                  </w:txbxContent>
                </v:textbox>
              </v:rect>
              <v:rect id="Rectangle 141" o:spid="_x0000_s1062" style="position:absolute;left:8451;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26.1</w:t>
                      </w:r>
                    </w:p>
                  </w:txbxContent>
                </v:textbox>
              </v:rect>
              <v:rect id="Rectangle 142" o:spid="_x0000_s1063" style="position:absolute;left:9224;top:99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26.5</w:t>
                      </w:r>
                    </w:p>
                  </w:txbxContent>
                </v:textbox>
              </v:rect>
              <v:rect id="Rectangle 143" o:spid="_x0000_s1064" style="position:absolute;left:29;top:1191;width:201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E6192" w:rsidRDefault="00075788">
                      <w:r>
                        <w:rPr>
                          <w:rFonts w:ascii="Times New Roman" w:hAnsi="Times New Roman"/>
                          <w:color w:val="000000"/>
                          <w:sz w:val="14"/>
                          <w:szCs w:val="14"/>
                        </w:rPr>
                        <w:t xml:space="preserve">Epargne </w:t>
                      </w:r>
                      <w:r w:rsidR="001E5DA1">
                        <w:rPr>
                          <w:rFonts w:ascii="Times New Roman" w:hAnsi="Times New Roman"/>
                          <w:color w:val="000000"/>
                          <w:sz w:val="14"/>
                          <w:szCs w:val="14"/>
                        </w:rPr>
                        <w:t xml:space="preserve">nationale </w:t>
                      </w:r>
                      <w:r>
                        <w:rPr>
                          <w:rFonts w:ascii="Times New Roman" w:hAnsi="Times New Roman"/>
                          <w:color w:val="000000"/>
                          <w:sz w:val="14"/>
                          <w:szCs w:val="14"/>
                        </w:rPr>
                        <w:t>brut</w:t>
                      </w:r>
                      <w:r w:rsidR="001E5DA1">
                        <w:rPr>
                          <w:rFonts w:ascii="Times New Roman" w:hAnsi="Times New Roman"/>
                          <w:color w:val="000000"/>
                          <w:sz w:val="14"/>
                          <w:szCs w:val="14"/>
                        </w:rPr>
                        <w:t>e</w:t>
                      </w:r>
                      <w:r>
                        <w:rPr>
                          <w:rFonts w:ascii="Times New Roman" w:hAnsi="Times New Roman"/>
                          <w:color w:val="000000"/>
                          <w:sz w:val="14"/>
                          <w:szCs w:val="14"/>
                        </w:rPr>
                        <w:t xml:space="preserve"> </w:t>
                      </w:r>
                      <w:r w:rsidR="006E6192">
                        <w:rPr>
                          <w:rFonts w:ascii="Times New Roman" w:hAnsi="Times New Roman"/>
                          <w:color w:val="000000"/>
                          <w:sz w:val="14"/>
                          <w:szCs w:val="14"/>
                        </w:rPr>
                        <w:t>(</w:t>
                      </w:r>
                      <w:r>
                        <w:rPr>
                          <w:rFonts w:ascii="Times New Roman" w:hAnsi="Times New Roman"/>
                          <w:color w:val="000000"/>
                          <w:sz w:val="14"/>
                          <w:szCs w:val="14"/>
                        </w:rPr>
                        <w:t xml:space="preserve">% </w:t>
                      </w:r>
                      <w:r w:rsidR="00515363">
                        <w:rPr>
                          <w:rFonts w:ascii="Times New Roman" w:hAnsi="Times New Roman"/>
                          <w:color w:val="000000"/>
                          <w:sz w:val="14"/>
                          <w:szCs w:val="14"/>
                        </w:rPr>
                        <w:t>du</w:t>
                      </w:r>
                      <w:r>
                        <w:rPr>
                          <w:rFonts w:ascii="Times New Roman" w:hAnsi="Times New Roman"/>
                          <w:color w:val="000000"/>
                          <w:sz w:val="14"/>
                          <w:szCs w:val="14"/>
                        </w:rPr>
                        <w:t xml:space="preserve"> PIB</w:t>
                      </w:r>
                      <w:r w:rsidR="006E6192">
                        <w:rPr>
                          <w:rFonts w:ascii="Times New Roman" w:hAnsi="Times New Roman"/>
                          <w:color w:val="000000"/>
                          <w:sz w:val="14"/>
                          <w:szCs w:val="14"/>
                        </w:rPr>
                        <w:t>)</w:t>
                      </w:r>
                    </w:p>
                  </w:txbxContent>
                </v:textbox>
              </v:rect>
              <v:rect id="Rectangle 144" o:spid="_x0000_s1065" style="position:absolute;left:3810;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22.1</w:t>
                      </w:r>
                    </w:p>
                  </w:txbxContent>
                </v:textbox>
              </v:rect>
              <v:rect id="Rectangle 145" o:spid="_x0000_s1066" style="position:absolute;left:4583;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21.9</w:t>
                      </w:r>
                    </w:p>
                  </w:txbxContent>
                </v:textbox>
              </v:rect>
              <v:rect id="Rectangle 146" o:spid="_x0000_s1067" style="position:absolute;left:5357;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21.6</w:t>
                      </w:r>
                    </w:p>
                  </w:txbxContent>
                </v:textbox>
              </v:rect>
              <v:rect id="Rectangle 147" o:spid="_x0000_s1068" style="position:absolute;left:6130;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16.6</w:t>
                      </w:r>
                    </w:p>
                  </w:txbxContent>
                </v:textbox>
              </v:rect>
              <v:rect id="Rectangle 148" o:spid="_x0000_s1069" style="position:absolute;left:6904;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17.2</w:t>
                      </w:r>
                    </w:p>
                  </w:txbxContent>
                </v:textbox>
              </v:rect>
              <v:rect id="Rectangle 149" o:spid="_x0000_s1070" style="position:absolute;left:7677;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17.9</w:t>
                      </w:r>
                    </w:p>
                  </w:txbxContent>
                </v:textbox>
              </v:rect>
              <v:rect id="Rectangle 150" o:spid="_x0000_s1071" style="position:absolute;left:8451;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19.9</w:t>
                      </w:r>
                    </w:p>
                  </w:txbxContent>
                </v:textbox>
              </v:rect>
              <v:rect id="Rectangle 151" o:spid="_x0000_s1072" style="position:absolute;left:9224;top:1191;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21.4</w:t>
                      </w:r>
                    </w:p>
                  </w:txbxContent>
                </v:textbox>
              </v:rect>
              <v:rect id="Rectangle 152" o:spid="_x0000_s1073" style="position:absolute;left:29;top:1568;width:198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E6192" w:rsidRDefault="00D82532">
                      <w:r>
                        <w:rPr>
                          <w:rFonts w:ascii="Times New Roman" w:hAnsi="Times New Roman"/>
                          <w:b/>
                          <w:bCs/>
                          <w:color w:val="000000"/>
                          <w:sz w:val="14"/>
                          <w:szCs w:val="14"/>
                        </w:rPr>
                        <w:t>Monnaie et prix</w:t>
                      </w:r>
                      <w:r w:rsidR="006E6192">
                        <w:rPr>
                          <w:rFonts w:ascii="Times New Roman" w:hAnsi="Times New Roman"/>
                          <w:b/>
                          <w:bCs/>
                          <w:color w:val="000000"/>
                          <w:sz w:val="14"/>
                          <w:szCs w:val="14"/>
                        </w:rPr>
                        <w:t xml:space="preserve"> (</w:t>
                      </w:r>
                      <w:r>
                        <w:rPr>
                          <w:rFonts w:ascii="Times New Roman" w:hAnsi="Times New Roman"/>
                          <w:b/>
                          <w:bCs/>
                          <w:color w:val="000000"/>
                          <w:sz w:val="14"/>
                          <w:szCs w:val="14"/>
                        </w:rPr>
                        <w:t xml:space="preserve">variation en </w:t>
                      </w:r>
                      <w:r w:rsidR="006E6192">
                        <w:rPr>
                          <w:rFonts w:ascii="Times New Roman" w:hAnsi="Times New Roman"/>
                          <w:b/>
                          <w:bCs/>
                          <w:color w:val="000000"/>
                          <w:sz w:val="14"/>
                          <w:szCs w:val="14"/>
                        </w:rPr>
                        <w:t>%)</w:t>
                      </w:r>
                    </w:p>
                  </w:txbxContent>
                </v:textbox>
              </v:rect>
              <v:rect id="Rectangle 153" o:spid="_x0000_s1074" style="position:absolute;left:29;top:1771;width:211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E6192" w:rsidRDefault="009D6F9B">
                      <w:r>
                        <w:rPr>
                          <w:rFonts w:ascii="Times New Roman" w:hAnsi="Times New Roman"/>
                          <w:color w:val="000000"/>
                          <w:sz w:val="14"/>
                          <w:szCs w:val="14"/>
                        </w:rPr>
                        <w:t>Inflation (déflateur du PIB</w:t>
                      </w:r>
                      <w:r w:rsidR="006E6192">
                        <w:rPr>
                          <w:rFonts w:ascii="Times New Roman" w:hAnsi="Times New Roman"/>
                          <w:color w:val="000000"/>
                          <w:sz w:val="14"/>
                          <w:szCs w:val="14"/>
                        </w:rPr>
                        <w:t xml:space="preserve">, </w:t>
                      </w:r>
                      <w:r>
                        <w:rPr>
                          <w:rFonts w:ascii="Times New Roman" w:hAnsi="Times New Roman"/>
                          <w:color w:val="000000"/>
                          <w:sz w:val="14"/>
                          <w:szCs w:val="14"/>
                        </w:rPr>
                        <w:t>moyenne</w:t>
                      </w:r>
                      <w:r w:rsidR="006E6192">
                        <w:rPr>
                          <w:rFonts w:ascii="Times New Roman" w:hAnsi="Times New Roman"/>
                          <w:color w:val="000000"/>
                          <w:sz w:val="14"/>
                          <w:szCs w:val="14"/>
                        </w:rPr>
                        <w:t>)</w:t>
                      </w:r>
                    </w:p>
                  </w:txbxContent>
                </v:textbox>
              </v:rect>
              <v:rect id="Rectangle 154" o:spid="_x0000_s1075" style="position:absolute;left:3877;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6.1</w:t>
                      </w:r>
                    </w:p>
                  </w:txbxContent>
                </v:textbox>
              </v:rect>
              <v:rect id="Rectangle 155" o:spid="_x0000_s1076" style="position:absolute;left:4651;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3.1</w:t>
                      </w:r>
                    </w:p>
                  </w:txbxContent>
                </v:textbox>
              </v:rect>
              <v:rect id="Rectangle 156" o:spid="_x0000_s1077" style="position:absolute;left:5424;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E6192" w:rsidRDefault="006E6192">
                      <w:r>
                        <w:rPr>
                          <w:rFonts w:ascii="Times New Roman" w:hAnsi="Times New Roman"/>
                          <w:color w:val="000000"/>
                          <w:sz w:val="14"/>
                          <w:szCs w:val="14"/>
                        </w:rPr>
                        <w:t>4.8</w:t>
                      </w:r>
                    </w:p>
                  </w:txbxContent>
                </v:textbox>
              </v:rect>
              <v:rect id="Rectangle 157" o:spid="_x0000_s1078" style="position:absolute;left:6198;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3.8</w:t>
                      </w:r>
                    </w:p>
                  </w:txbxContent>
                </v:textbox>
              </v:rect>
              <v:rect id="Rectangle 158" o:spid="_x0000_s1079" style="position:absolute;left:6971;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6.8</w:t>
                      </w:r>
                    </w:p>
                  </w:txbxContent>
                </v:textbox>
              </v:rect>
              <v:rect id="Rectangle 159" o:spid="_x0000_s1080" style="position:absolute;left:7745;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3.9</w:t>
                      </w:r>
                    </w:p>
                  </w:txbxContent>
                </v:textbox>
              </v:rect>
              <v:rect id="Rectangle 160" o:spid="_x0000_s1081" style="position:absolute;left:8518;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3.8</w:t>
                      </w:r>
                    </w:p>
                  </w:txbxContent>
                </v:textbox>
              </v:rect>
              <v:rect id="Rectangle 161" o:spid="_x0000_s1082" style="position:absolute;left:9292;top:1771;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4.0</w:t>
                      </w:r>
                    </w:p>
                  </w:txbxContent>
                </v:textbox>
              </v:rect>
              <v:rect id="Rectangle 162" o:spid="_x0000_s1083" style="position:absolute;left:29;top:1965;width:125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E6192" w:rsidRDefault="00DE1F22">
                      <w:r>
                        <w:rPr>
                          <w:rFonts w:ascii="Times New Roman" w:hAnsi="Times New Roman"/>
                          <w:color w:val="000000"/>
                          <w:sz w:val="14"/>
                          <w:szCs w:val="14"/>
                        </w:rPr>
                        <w:t>Monnaie au sens large</w:t>
                      </w:r>
                    </w:p>
                  </w:txbxContent>
                </v:textbox>
              </v:rect>
              <v:rect id="Rectangle 163" o:spid="_x0000_s1084" style="position:absolute;left:3810;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14.5</w:t>
                      </w:r>
                    </w:p>
                  </w:txbxContent>
                </v:textbox>
              </v:rect>
              <v:rect id="Rectangle 164" o:spid="_x0000_s1085" style="position:absolute;left:4583;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E6192" w:rsidRDefault="006E6192">
                      <w:r>
                        <w:rPr>
                          <w:rFonts w:ascii="Times New Roman" w:hAnsi="Times New Roman"/>
                          <w:color w:val="000000"/>
                          <w:sz w:val="14"/>
                          <w:szCs w:val="14"/>
                        </w:rPr>
                        <w:t>13.0</w:t>
                      </w:r>
                    </w:p>
                  </w:txbxContent>
                </v:textbox>
              </v:rect>
              <v:rect id="Rectangle 165" o:spid="_x0000_s1086" style="position:absolute;left:5357;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12.0</w:t>
                      </w:r>
                    </w:p>
                  </w:txbxContent>
                </v:textbox>
              </v:rect>
              <v:rect id="Rectangle 166" o:spid="_x0000_s1087" style="position:absolute;left:6198;top:196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8.4</w:t>
                      </w:r>
                    </w:p>
                  </w:txbxContent>
                </v:textbox>
              </v:rect>
              <v:rect id="Rectangle 167" o:spid="_x0000_s1088" style="position:absolute;left:6971;top:1965;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9.5</w:t>
                      </w:r>
                    </w:p>
                  </w:txbxContent>
                </v:textbox>
              </v:rect>
              <v:rect id="Rectangle 168" o:spid="_x0000_s1089" style="position:absolute;left:7677;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10.4</w:t>
                      </w:r>
                    </w:p>
                  </w:txbxContent>
                </v:textbox>
              </v:rect>
              <v:rect id="Rectangle 169" o:spid="_x0000_s1090" style="position:absolute;left:8451;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11.8</w:t>
                      </w:r>
                    </w:p>
                  </w:txbxContent>
                </v:textbox>
              </v:rect>
              <v:rect id="Rectangle 170" o:spid="_x0000_s1091" style="position:absolute;left:9224;top:1965;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12.2</w:t>
                      </w:r>
                    </w:p>
                  </w:txbxContent>
                </v:textbox>
              </v:rect>
              <v:rect id="Rectangle 171" o:spid="_x0000_s1092" style="position:absolute;left:29;top:2343;width:187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E6192" w:rsidRDefault="00D82532">
                      <w:r>
                        <w:rPr>
                          <w:rFonts w:ascii="Times New Roman" w:hAnsi="Times New Roman"/>
                          <w:b/>
                          <w:bCs/>
                          <w:color w:val="000000"/>
                          <w:sz w:val="14"/>
                          <w:szCs w:val="14"/>
                        </w:rPr>
                        <w:t>Finances publiques</w:t>
                      </w:r>
                      <w:r w:rsidR="001E5DA1">
                        <w:rPr>
                          <w:rFonts w:ascii="Times New Roman" w:hAnsi="Times New Roman"/>
                          <w:b/>
                          <w:bCs/>
                          <w:color w:val="000000"/>
                          <w:sz w:val="14"/>
                          <w:szCs w:val="14"/>
                        </w:rPr>
                        <w:t xml:space="preserve"> </w:t>
                      </w:r>
                      <w:r>
                        <w:rPr>
                          <w:rFonts w:ascii="Times New Roman" w:hAnsi="Times New Roman"/>
                          <w:b/>
                          <w:bCs/>
                          <w:color w:val="000000"/>
                          <w:sz w:val="14"/>
                          <w:szCs w:val="14"/>
                        </w:rPr>
                        <w:t>(% du PIB</w:t>
                      </w:r>
                      <w:r w:rsidR="001E5DA1">
                        <w:rPr>
                          <w:rFonts w:ascii="Times New Roman" w:hAnsi="Times New Roman"/>
                          <w:b/>
                          <w:bCs/>
                          <w:color w:val="000000"/>
                          <w:sz w:val="14"/>
                          <w:szCs w:val="14"/>
                        </w:rPr>
                        <w:t>)</w:t>
                      </w:r>
                    </w:p>
                  </w:txbxContent>
                </v:textbox>
              </v:rect>
              <v:rect id="Rectangle 172" o:spid="_x0000_s1093" style="position:absolute;left:29;top:2546;width:201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E6192" w:rsidRDefault="001E5DA1">
                      <w:r>
                        <w:rPr>
                          <w:rFonts w:ascii="Times New Roman" w:hAnsi="Times New Roman"/>
                          <w:color w:val="000000"/>
                          <w:sz w:val="14"/>
                          <w:szCs w:val="14"/>
                        </w:rPr>
                        <w:t>Recettes</w:t>
                      </w:r>
                      <w:r w:rsidR="006E6192">
                        <w:rPr>
                          <w:rFonts w:ascii="Times New Roman" w:hAnsi="Times New Roman"/>
                          <w:color w:val="000000"/>
                          <w:sz w:val="14"/>
                          <w:szCs w:val="14"/>
                        </w:rPr>
                        <w:t xml:space="preserve"> (</w:t>
                      </w:r>
                      <w:r>
                        <w:rPr>
                          <w:rFonts w:ascii="Times New Roman" w:hAnsi="Times New Roman"/>
                          <w:color w:val="000000"/>
                          <w:sz w:val="14"/>
                          <w:szCs w:val="14"/>
                        </w:rPr>
                        <w:t>hors dons et privatis</w:t>
                      </w:r>
                      <w:r w:rsidR="006E6192">
                        <w:rPr>
                          <w:rFonts w:ascii="Times New Roman" w:hAnsi="Times New Roman"/>
                          <w:color w:val="000000"/>
                          <w:sz w:val="14"/>
                          <w:szCs w:val="14"/>
                        </w:rPr>
                        <w:t>ation)</w:t>
                      </w:r>
                    </w:p>
                  </w:txbxContent>
                </v:textbox>
              </v:rect>
              <v:rect id="Rectangle 173" o:spid="_x0000_s1094" style="position:absolute;left:3810;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23.8</w:t>
                      </w:r>
                    </w:p>
                  </w:txbxContent>
                </v:textbox>
              </v:rect>
              <v:rect id="Rectangle 174" o:spid="_x0000_s1095" style="position:absolute;left:4583;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22.8</w:t>
                      </w:r>
                    </w:p>
                  </w:txbxContent>
                </v:textbox>
              </v:rect>
              <v:rect id="Rectangle 175" o:spid="_x0000_s1096" style="position:absolute;left:5357;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22.8</w:t>
                      </w:r>
                    </w:p>
                  </w:txbxContent>
                </v:textbox>
              </v:rect>
              <v:rect id="Rectangle 176" o:spid="_x0000_s1097" style="position:absolute;left:6130;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21.5</w:t>
                      </w:r>
                    </w:p>
                  </w:txbxContent>
                </v:textbox>
              </v:rect>
              <v:rect id="Rectangle 177" o:spid="_x0000_s1098" style="position:absolute;left:6904;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26.2</w:t>
                      </w:r>
                    </w:p>
                  </w:txbxContent>
                </v:textbox>
              </v:rect>
              <v:rect id="Rectangle 178" o:spid="_x0000_s1099" style="position:absolute;left:7677;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23.5</w:t>
                      </w:r>
                    </w:p>
                  </w:txbxContent>
                </v:textbox>
              </v:rect>
              <v:rect id="Rectangle 179" o:spid="_x0000_s1100" style="position:absolute;left:8451;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23.5</w:t>
                      </w:r>
                    </w:p>
                  </w:txbxContent>
                </v:textbox>
              </v:rect>
              <v:rect id="Rectangle 180" o:spid="_x0000_s1101" style="position:absolute;left:9224;top:2546;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23.5</w:t>
                      </w:r>
                    </w:p>
                  </w:txbxContent>
                </v:textbox>
              </v:rect>
              <v:rect id="Rectangle 181" o:spid="_x0000_s1102" style="position:absolute;left:29;top:2740;width:8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E6192" w:rsidRDefault="001E5DA1">
                      <w:r>
                        <w:rPr>
                          <w:rFonts w:ascii="Times New Roman" w:hAnsi="Times New Roman"/>
                          <w:color w:val="000000"/>
                          <w:sz w:val="14"/>
                          <w:szCs w:val="14"/>
                        </w:rPr>
                        <w:t xml:space="preserve">    Dont: impôts</w:t>
                      </w:r>
                    </w:p>
                  </w:txbxContent>
                </v:textbox>
              </v:rect>
              <v:rect id="Rectangle 182" o:spid="_x0000_s1103" style="position:absolute;left:3810;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20.5</w:t>
                      </w:r>
                    </w:p>
                  </w:txbxContent>
                </v:textbox>
              </v:rect>
              <v:rect id="Rectangle 183" o:spid="_x0000_s1104" style="position:absolute;left:4583;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19.9</w:t>
                      </w:r>
                    </w:p>
                  </w:txbxContent>
                </v:textbox>
              </v:rect>
              <v:rect id="Rectangle 184" o:spid="_x0000_s1105" style="position:absolute;left:5357;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20.1</w:t>
                      </w:r>
                    </w:p>
                  </w:txbxContent>
                </v:textbox>
              </v:rect>
              <v:rect id="Rectangle 185" o:spid="_x0000_s1106" style="position:absolute;left:6130;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20.2</w:t>
                      </w:r>
                    </w:p>
                  </w:txbxContent>
                </v:textbox>
              </v:rect>
              <v:rect id="Rectangle 186" o:spid="_x0000_s1107" style="position:absolute;left:6904;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20.7</w:t>
                      </w:r>
                    </w:p>
                  </w:txbxContent>
                </v:textbox>
              </v:rect>
              <v:rect id="Rectangle 187" o:spid="_x0000_s1108" style="position:absolute;left:7677;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20.7</w:t>
                      </w:r>
                    </w:p>
                  </w:txbxContent>
                </v:textbox>
              </v:rect>
              <v:rect id="Rectangle 188" o:spid="_x0000_s1109" style="position:absolute;left:8451;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20.7</w:t>
                      </w:r>
                    </w:p>
                  </w:txbxContent>
                </v:textbox>
              </v:rect>
              <v:rect id="Rectangle 189" o:spid="_x0000_s1110" style="position:absolute;left:9224;top:2740;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20.7</w:t>
                      </w:r>
                    </w:p>
                  </w:txbxContent>
                </v:textbox>
              </v:rect>
              <v:rect id="Rectangle 190" o:spid="_x0000_s1111" style="position:absolute;left:29;top:2933;width:164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E6192" w:rsidRDefault="001E5DA1">
                      <w:r>
                        <w:rPr>
                          <w:rFonts w:ascii="Times New Roman" w:hAnsi="Times New Roman"/>
                          <w:color w:val="000000"/>
                          <w:sz w:val="14"/>
                          <w:szCs w:val="14"/>
                        </w:rPr>
                        <w:t>Dépenses totales et prêts nets</w:t>
                      </w:r>
                    </w:p>
                  </w:txbxContent>
                </v:textbox>
              </v:rect>
              <v:rect id="Rectangle 191" o:spid="_x0000_s1112" style="position:absolute;left:3810;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24.8</w:t>
                      </w:r>
                    </w:p>
                  </w:txbxContent>
                </v:textbox>
              </v:rect>
              <v:rect id="Rectangle 192" o:spid="_x0000_s1113" style="position:absolute;left:4583;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25.8</w:t>
                      </w:r>
                    </w:p>
                  </w:txbxContent>
                </v:textbox>
              </v:rect>
              <v:rect id="Rectangle 193" o:spid="_x0000_s1114" style="position:absolute;left:5357;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24.2</w:t>
                      </w:r>
                    </w:p>
                  </w:txbxContent>
                </v:textbox>
              </v:rect>
              <v:rect id="Rectangle 194" o:spid="_x0000_s1115" style="position:absolute;left:6130;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26.9</w:t>
                      </w:r>
                    </w:p>
                  </w:txbxContent>
                </v:textbox>
              </v:rect>
              <v:rect id="Rectangle 195" o:spid="_x0000_s1116" style="position:absolute;left:6904;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32.0</w:t>
                      </w:r>
                    </w:p>
                  </w:txbxContent>
                </v:textbox>
              </v:rect>
              <v:rect id="Rectangle 196" o:spid="_x0000_s1117" style="position:absolute;left:7677;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29.4</w:t>
                      </w:r>
                    </w:p>
                  </w:txbxContent>
                </v:textbox>
              </v:rect>
              <v:rect id="Rectangle 197" o:spid="_x0000_s1118" style="position:absolute;left:8451;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28.9</w:t>
                      </w:r>
                    </w:p>
                  </w:txbxContent>
                </v:textbox>
              </v:rect>
              <v:rect id="Rectangle 198" o:spid="_x0000_s1119" style="position:absolute;left:9224;top:2933;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27.3</w:t>
                      </w:r>
                    </w:p>
                  </w:txbxContent>
                </v:textbox>
              </v:rect>
              <v:rect id="Rectangle 199" o:spid="_x0000_s1120" style="position:absolute;left:29;top:3127;width:124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 xml:space="preserve">    </w:t>
                      </w:r>
                      <w:r w:rsidR="001E5DA1">
                        <w:rPr>
                          <w:rFonts w:ascii="Times New Roman" w:hAnsi="Times New Roman"/>
                          <w:color w:val="000000"/>
                          <w:sz w:val="14"/>
                          <w:szCs w:val="14"/>
                        </w:rPr>
                        <w:t>Dépenses courantes</w:t>
                      </w:r>
                    </w:p>
                  </w:txbxContent>
                </v:textbox>
              </v:rect>
              <v:rect id="Rectangle 200" o:spid="_x0000_s1121" style="position:absolute;left:3810;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19.0</w:t>
                      </w:r>
                    </w:p>
                  </w:txbxContent>
                </v:textbox>
              </v:rect>
              <v:rect id="Rectangle 201" o:spid="_x0000_s1122" style="position:absolute;left:4583;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18.1</w:t>
                      </w:r>
                    </w:p>
                  </w:txbxContent>
                </v:textbox>
              </v:rect>
              <v:rect id="Rectangle 202" o:spid="_x0000_s1123" style="position:absolute;left:5357;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17.8</w:t>
                      </w:r>
                    </w:p>
                  </w:txbxContent>
                </v:textbox>
              </v:rect>
              <v:rect id="Rectangle 203" o:spid="_x0000_s1124" style="position:absolute;left:6130;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20.5</w:t>
                      </w:r>
                    </w:p>
                  </w:txbxContent>
                </v:textbox>
              </v:rect>
              <v:rect id="Rectangle 204" o:spid="_x0000_s1125" style="position:absolute;left:6904;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23.1</w:t>
                      </w:r>
                    </w:p>
                  </w:txbxContent>
                </v:textbox>
              </v:rect>
              <v:rect id="Rectangle 205" o:spid="_x0000_s1126" style="position:absolute;left:7677;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22.7</w:t>
                      </w:r>
                    </w:p>
                  </w:txbxContent>
                </v:textbox>
              </v:rect>
              <v:rect id="Rectangle 206" o:spid="_x0000_s1127" style="position:absolute;left:8451;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22.5</w:t>
                      </w:r>
                    </w:p>
                  </w:txbxContent>
                </v:textbox>
              </v:rect>
              <v:rect id="Rectangle 207" o:spid="_x0000_s1128" style="position:absolute;left:9224;top:3127;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21.4</w:t>
                      </w:r>
                    </w:p>
                  </w:txbxContent>
                </v:textbox>
              </v:rect>
              <v:rect id="Rectangle 208" o:spid="_x0000_s1129" style="position:absolute;left:29;top:3320;width:195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 xml:space="preserve">    </w:t>
                      </w:r>
                      <w:r w:rsidR="001E5DA1">
                        <w:rPr>
                          <w:rFonts w:ascii="Times New Roman" w:hAnsi="Times New Roman"/>
                          <w:color w:val="000000"/>
                          <w:sz w:val="14"/>
                          <w:szCs w:val="14"/>
                        </w:rPr>
                        <w:t>Dépenses en capital et prêts nets</w:t>
                      </w:r>
                    </w:p>
                  </w:txbxContent>
                </v:textbox>
              </v:rect>
              <v:rect id="Rectangle 209" o:spid="_x0000_s1130" style="position:absolute;left:3877;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5.8</w:t>
                      </w:r>
                    </w:p>
                  </w:txbxContent>
                </v:textbox>
              </v:rect>
              <v:rect id="Rectangle 210" o:spid="_x0000_s1131" style="position:absolute;left:4651;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7.7</w:t>
                      </w:r>
                    </w:p>
                  </w:txbxContent>
                </v:textbox>
              </v:rect>
              <v:rect id="Rectangle 211" o:spid="_x0000_s1132" style="position:absolute;left:5424;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6.4</w:t>
                      </w:r>
                    </w:p>
                  </w:txbxContent>
                </v:textbox>
              </v:rect>
              <v:rect id="Rectangle 212" o:spid="_x0000_s1133" style="position:absolute;left:6198;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6.4</w:t>
                      </w:r>
                    </w:p>
                  </w:txbxContent>
                </v:textbox>
              </v:rect>
              <v:rect id="Rectangle 213" o:spid="_x0000_s1134" style="position:absolute;left:6971;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8.8</w:t>
                      </w:r>
                    </w:p>
                  </w:txbxContent>
                </v:textbox>
              </v:rect>
              <v:rect id="Rectangle 214" o:spid="_x0000_s1135" style="position:absolute;left:7745;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6.7</w:t>
                      </w:r>
                    </w:p>
                  </w:txbxContent>
                </v:textbox>
              </v:rect>
              <v:rect id="Rectangle 215" o:spid="_x0000_s1136" style="position:absolute;left:8518;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6.4</w:t>
                      </w:r>
                    </w:p>
                  </w:txbxContent>
                </v:textbox>
              </v:rect>
              <v:rect id="Rectangle 216" o:spid="_x0000_s1137" style="position:absolute;left:9292;top:3320;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5.9</w:t>
                      </w:r>
                    </w:p>
                  </w:txbxContent>
                </v:textbox>
              </v:rect>
              <v:rect id="Rectangle 217" o:spid="_x0000_s1138" style="position:absolute;left:29;top:3514;width:230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6E6192" w:rsidRDefault="001E5DA1">
                      <w:r>
                        <w:rPr>
                          <w:rFonts w:ascii="Times New Roman" w:hAnsi="Times New Roman"/>
                          <w:color w:val="000000"/>
                          <w:sz w:val="14"/>
                          <w:szCs w:val="14"/>
                        </w:rPr>
                        <w:t>Solde globale (hors dons et privatis</w:t>
                      </w:r>
                      <w:r w:rsidR="006E6192">
                        <w:rPr>
                          <w:rFonts w:ascii="Times New Roman" w:hAnsi="Times New Roman"/>
                          <w:color w:val="000000"/>
                          <w:sz w:val="14"/>
                          <w:szCs w:val="14"/>
                        </w:rPr>
                        <w:t>ation)</w:t>
                      </w:r>
                    </w:p>
                  </w:txbxContent>
                </v:textbox>
              </v:rect>
              <v:rect id="Rectangle 218" o:spid="_x0000_s1139" style="position:absolute;left:3829;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-1.0</w:t>
                      </w:r>
                    </w:p>
                  </w:txbxContent>
                </v:textbox>
              </v:rect>
              <v:rect id="Rectangle 219" o:spid="_x0000_s1140" style="position:absolute;left:4602;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-3.0</w:t>
                      </w:r>
                    </w:p>
                  </w:txbxContent>
                </v:textbox>
              </v:rect>
              <v:rect id="Rectangle 220" o:spid="_x0000_s1141" style="position:absolute;left:5376;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-1.3</w:t>
                      </w:r>
                    </w:p>
                  </w:txbxContent>
                </v:textbox>
              </v:rect>
              <v:rect id="Rectangle 221" o:spid="_x0000_s1142" style="position:absolute;left:6150;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-3.7</w:t>
                      </w:r>
                    </w:p>
                  </w:txbxContent>
                </v:textbox>
              </v:rect>
              <v:rect id="Rectangle 222" o:spid="_x0000_s1143" style="position:absolute;left:6923;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-6.6</w:t>
                      </w:r>
                    </w:p>
                  </w:txbxContent>
                </v:textbox>
              </v:rect>
              <v:rect id="Rectangle 223" o:spid="_x0000_s1144" style="position:absolute;left:7697;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-6.0</w:t>
                      </w:r>
                    </w:p>
                  </w:txbxContent>
                </v:textbox>
              </v:rect>
              <v:rect id="Rectangle 224" o:spid="_x0000_s1145" style="position:absolute;left:8470;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-5.5</w:t>
                      </w:r>
                    </w:p>
                  </w:txbxContent>
                </v:textbox>
              </v:rect>
              <v:rect id="Rectangle 225" o:spid="_x0000_s1146" style="position:absolute;left:9244;top:3514;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-3.9</w:t>
                      </w:r>
                    </w:p>
                  </w:txbxContent>
                </v:textbox>
              </v:rect>
              <v:rect id="Rectangle 226" o:spid="_x0000_s1147" style="position:absolute;left:29;top:3708;width:19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6E6192" w:rsidRDefault="00515363">
                      <w:r>
                        <w:rPr>
                          <w:rFonts w:ascii="Times New Roman" w:hAnsi="Times New Roman"/>
                          <w:color w:val="000000"/>
                          <w:sz w:val="14"/>
                          <w:szCs w:val="14"/>
                        </w:rPr>
                        <w:t>Ratio de dette publique</w:t>
                      </w:r>
                      <w:r w:rsidR="006E6192">
                        <w:rPr>
                          <w:rFonts w:ascii="Times New Roman" w:hAnsi="Times New Roman"/>
                          <w:color w:val="000000"/>
                          <w:sz w:val="14"/>
                          <w:szCs w:val="14"/>
                        </w:rPr>
                        <w:t xml:space="preserve"> (% </w:t>
                      </w:r>
                      <w:r>
                        <w:rPr>
                          <w:rFonts w:ascii="Times New Roman" w:hAnsi="Times New Roman"/>
                          <w:color w:val="000000"/>
                          <w:sz w:val="14"/>
                          <w:szCs w:val="14"/>
                        </w:rPr>
                        <w:t>du PIB</w:t>
                      </w:r>
                      <w:r w:rsidR="006E6192">
                        <w:rPr>
                          <w:rFonts w:ascii="Times New Roman" w:hAnsi="Times New Roman"/>
                          <w:color w:val="000000"/>
                          <w:sz w:val="14"/>
                          <w:szCs w:val="14"/>
                        </w:rPr>
                        <w:t>)</w:t>
                      </w:r>
                    </w:p>
                  </w:txbxContent>
                </v:textbox>
              </v:rect>
              <v:rect id="Rectangle 227" o:spid="_x0000_s1148" style="position:absolute;left:3810;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43.3</w:t>
                      </w:r>
                    </w:p>
                  </w:txbxContent>
                </v:textbox>
              </v:rect>
              <v:rect id="Rectangle 228" o:spid="_x0000_s1149" style="position:absolute;left:4583;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42.8</w:t>
                      </w:r>
                    </w:p>
                  </w:txbxContent>
                </v:textbox>
              </v:rect>
              <v:rect id="Rectangle 229" o:spid="_x0000_s1150" style="position:absolute;left:5357;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40.4</w:t>
                      </w:r>
                    </w:p>
                  </w:txbxContent>
                </v:textbox>
              </v:rect>
              <v:rect id="Rectangle 230" o:spid="_x0000_s1151" style="position:absolute;left:6130;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44.5</w:t>
                      </w:r>
                    </w:p>
                  </w:txbxContent>
                </v:textbox>
              </v:rect>
              <v:rect id="Rectangle 231" o:spid="_x0000_s1152" style="position:absolute;left:6904;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48.3</w:t>
                      </w:r>
                    </w:p>
                  </w:txbxContent>
                </v:textbox>
              </v:rect>
              <v:rect id="Rectangle 232" o:spid="_x0000_s1153" style="position:absolute;left:7677;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49.3</w:t>
                      </w:r>
                    </w:p>
                  </w:txbxContent>
                </v:textbox>
              </v:rect>
              <v:rect id="Rectangle 233" o:spid="_x0000_s1154" style="position:absolute;left:8451;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49.1</w:t>
                      </w:r>
                    </w:p>
                  </w:txbxContent>
                </v:textbox>
              </v:rect>
              <v:rect id="Rectangle 234" o:spid="_x0000_s1155" style="position:absolute;left:9224;top:3708;width:24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48.0</w:t>
                      </w:r>
                    </w:p>
                  </w:txbxContent>
                </v:textbox>
              </v:rect>
              <v:rect id="Rectangle 235" o:spid="_x0000_s1156" style="position:absolute;left:29;top:4085;width:103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6E6192" w:rsidRDefault="00D82532">
                      <w:r>
                        <w:rPr>
                          <w:rFonts w:ascii="Times New Roman" w:hAnsi="Times New Roman"/>
                          <w:b/>
                          <w:bCs/>
                          <w:color w:val="000000"/>
                          <w:sz w:val="14"/>
                          <w:szCs w:val="14"/>
                        </w:rPr>
                        <w:t>Secteur extérieur</w:t>
                      </w:r>
                    </w:p>
                  </w:txbxContent>
                </v:textbox>
              </v:rect>
              <v:rect id="Rectangle 236" o:spid="_x0000_s1157" style="position:absolute;left:29;top:4288;width:230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Export</w:t>
                      </w:r>
                      <w:r w:rsidR="00F42C9B">
                        <w:rPr>
                          <w:rFonts w:ascii="Times New Roman" w:hAnsi="Times New Roman"/>
                          <w:color w:val="000000"/>
                          <w:sz w:val="14"/>
                          <w:szCs w:val="14"/>
                        </w:rPr>
                        <w:t xml:space="preserve">ations (biens, FOB, </w:t>
                      </w:r>
                      <w:r>
                        <w:rPr>
                          <w:rFonts w:ascii="Times New Roman" w:hAnsi="Times New Roman"/>
                          <w:color w:val="000000"/>
                          <w:sz w:val="14"/>
                          <w:szCs w:val="14"/>
                        </w:rPr>
                        <w:t>$</w:t>
                      </w:r>
                      <w:r w:rsidR="00F42C9B">
                        <w:rPr>
                          <w:rFonts w:ascii="Times New Roman" w:hAnsi="Times New Roman"/>
                          <w:color w:val="000000"/>
                          <w:sz w:val="14"/>
                          <w:szCs w:val="14"/>
                        </w:rPr>
                        <w:t>EU</w:t>
                      </w:r>
                      <w:r>
                        <w:rPr>
                          <w:rFonts w:ascii="Times New Roman" w:hAnsi="Times New Roman"/>
                          <w:color w:val="000000"/>
                          <w:sz w:val="14"/>
                          <w:szCs w:val="14"/>
                        </w:rPr>
                        <w:t xml:space="preserve"> million</w:t>
                      </w:r>
                      <w:r w:rsidR="00F42C9B">
                        <w:rPr>
                          <w:rFonts w:ascii="Times New Roman" w:hAnsi="Times New Roman"/>
                          <w:color w:val="000000"/>
                          <w:sz w:val="14"/>
                          <w:szCs w:val="14"/>
                        </w:rPr>
                        <w:t>s</w:t>
                      </w:r>
                      <w:r>
                        <w:rPr>
                          <w:rFonts w:ascii="Times New Roman" w:hAnsi="Times New Roman"/>
                          <w:color w:val="000000"/>
                          <w:sz w:val="14"/>
                          <w:szCs w:val="14"/>
                        </w:rPr>
                        <w:t>)</w:t>
                      </w:r>
                    </w:p>
                  </w:txbxContent>
                </v:textbox>
              </v:rect>
              <v:rect id="Rectangle 237" o:spid="_x0000_s1158" style="position:absolute;left:3684;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19,140</w:t>
                      </w:r>
                    </w:p>
                  </w:txbxContent>
                </v:textbox>
              </v:rect>
              <v:rect id="Rectangle 238" o:spid="_x0000_s1159" style="position:absolute;left:4457;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14,418</w:t>
                      </w:r>
                    </w:p>
                  </w:txbxContent>
                </v:textbox>
              </v:rect>
              <v:rect id="Rectangle 239" o:spid="_x0000_s1160" style="position:absolute;left:5231;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16,431</w:t>
                      </w:r>
                    </w:p>
                  </w:txbxContent>
                </v:textbox>
              </v:rect>
              <v:rect id="Rectangle 240" o:spid="_x0000_s1161" style="position:absolute;left:6004;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17,822</w:t>
                      </w:r>
                    </w:p>
                  </w:txbxContent>
                </v:textbox>
              </v:rect>
              <v:rect id="Rectangle 241" o:spid="_x0000_s1162" style="position:absolute;left:6778;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17,456</w:t>
                      </w:r>
                    </w:p>
                  </w:txbxContent>
                </v:textbox>
              </v:rect>
              <v:rect id="Rectangle 242" o:spid="_x0000_s1163" style="position:absolute;left:7552;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18,294</w:t>
                      </w:r>
                    </w:p>
                  </w:txbxContent>
                </v:textbox>
              </v:rect>
              <v:rect id="Rectangle 243" o:spid="_x0000_s1164" style="position:absolute;left:8325;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19,461</w:t>
                      </w:r>
                    </w:p>
                  </w:txbxContent>
                </v:textbox>
              </v:rect>
              <v:rect id="Rectangle 244" o:spid="_x0000_s1165" style="position:absolute;left:9099;top:4288;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20,937</w:t>
                      </w:r>
                    </w:p>
                  </w:txbxContent>
                </v:textbox>
              </v:rect>
              <v:rect id="Rectangle 245" o:spid="_x0000_s1166" style="position:absolute;left:29;top:4482;width:35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6E6192" w:rsidRDefault="00F42C9B">
                      <w:r>
                        <w:rPr>
                          <w:rFonts w:ascii="Times New Roman" w:hAnsi="Times New Roman"/>
                          <w:color w:val="000000"/>
                          <w:sz w:val="14"/>
                          <w:szCs w:val="14"/>
                        </w:rPr>
                        <w:t xml:space="preserve">Croissance du taux </w:t>
                      </w:r>
                      <w:r w:rsidR="003C7485">
                        <w:rPr>
                          <w:rFonts w:ascii="Times New Roman" w:hAnsi="Times New Roman"/>
                          <w:color w:val="000000"/>
                          <w:sz w:val="14"/>
                          <w:szCs w:val="14"/>
                        </w:rPr>
                        <w:t>réel</w:t>
                      </w:r>
                      <w:r>
                        <w:rPr>
                          <w:rFonts w:ascii="Times New Roman" w:hAnsi="Times New Roman"/>
                          <w:color w:val="000000"/>
                          <w:sz w:val="14"/>
                          <w:szCs w:val="14"/>
                        </w:rPr>
                        <w:t xml:space="preserve"> d’exports. (biens</w:t>
                      </w:r>
                      <w:r w:rsidR="006E6192">
                        <w:rPr>
                          <w:rFonts w:ascii="Times New Roman" w:hAnsi="Times New Roman"/>
                          <w:color w:val="000000"/>
                          <w:sz w:val="14"/>
                          <w:szCs w:val="14"/>
                        </w:rPr>
                        <w:t xml:space="preserve"> FOB, </w:t>
                      </w:r>
                      <w:r>
                        <w:rPr>
                          <w:rFonts w:ascii="Times New Roman" w:hAnsi="Times New Roman"/>
                          <w:color w:val="000000"/>
                          <w:sz w:val="14"/>
                          <w:szCs w:val="14"/>
                        </w:rPr>
                        <w:t>variation en %</w:t>
                      </w:r>
                      <w:r w:rsidR="006E6192">
                        <w:rPr>
                          <w:rFonts w:ascii="Times New Roman" w:hAnsi="Times New Roman"/>
                          <w:color w:val="000000"/>
                          <w:sz w:val="14"/>
                          <w:szCs w:val="14"/>
                        </w:rPr>
                        <w:t>)</w:t>
                      </w:r>
                    </w:p>
                  </w:txbxContent>
                </v:textbox>
              </v:rect>
              <v:rect id="Rectangle 246" o:spid="_x0000_s1167" style="position:absolute;left:3877;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5.4</w:t>
                      </w:r>
                    </w:p>
                  </w:txbxContent>
                </v:textbox>
              </v:rect>
              <v:rect id="Rectangle 247" o:spid="_x0000_s1168" style="position:absolute;left:4602;top:4482;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-9.7</w:t>
                      </w:r>
                    </w:p>
                  </w:txbxContent>
                </v:textbox>
              </v:rect>
              <v:rect id="Rectangle 248" o:spid="_x0000_s1169" style="position:absolute;left:5424;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4.2</w:t>
                      </w:r>
                    </w:p>
                  </w:txbxContent>
                </v:textbox>
              </v:rect>
              <v:rect id="Rectangle 249" o:spid="_x0000_s1170" style="position:absolute;left:6150;top:4482;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-1.0</w:t>
                      </w:r>
                    </w:p>
                  </w:txbxContent>
                </v:textbox>
              </v:rect>
              <v:rect id="Rectangle 250" o:spid="_x0000_s1171" style="position:absolute;left:6971;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3.3</w:t>
                      </w:r>
                    </w:p>
                  </w:txbxContent>
                </v:textbox>
              </v:rect>
              <v:rect id="Rectangle 251" o:spid="_x0000_s1172" style="position:absolute;left:7745;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5.5</w:t>
                      </w:r>
                    </w:p>
                  </w:txbxContent>
                </v:textbox>
              </v:rect>
              <v:rect id="Rectangle 252" o:spid="_x0000_s1173" style="position:absolute;left:8518;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6.8</w:t>
                      </w:r>
                    </w:p>
                  </w:txbxContent>
                </v:textbox>
              </v:rect>
              <v:rect id="Rectangle 253" o:spid="_x0000_s1174" style="position:absolute;left:9292;top:4482;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7.9</w:t>
                      </w:r>
                    </w:p>
                  </w:txbxContent>
                </v:textbox>
              </v:rect>
              <v:rect id="Rectangle 254" o:spid="_x0000_s1175" style="position:absolute;left:29;top:4676;width:221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6E6192" w:rsidRDefault="00F42C9B">
                      <w:r>
                        <w:rPr>
                          <w:rFonts w:ascii="Times New Roman" w:hAnsi="Times New Roman"/>
                          <w:color w:val="000000"/>
                          <w:sz w:val="14"/>
                          <w:szCs w:val="14"/>
                        </w:rPr>
                        <w:t xml:space="preserve">Importations (biens CIF, </w:t>
                      </w:r>
                      <w:r w:rsidR="006E6192">
                        <w:rPr>
                          <w:rFonts w:ascii="Times New Roman" w:hAnsi="Times New Roman"/>
                          <w:color w:val="000000"/>
                          <w:sz w:val="14"/>
                          <w:szCs w:val="14"/>
                        </w:rPr>
                        <w:t>$</w:t>
                      </w:r>
                      <w:r>
                        <w:rPr>
                          <w:rFonts w:ascii="Times New Roman" w:hAnsi="Times New Roman"/>
                          <w:color w:val="000000"/>
                          <w:sz w:val="14"/>
                          <w:szCs w:val="14"/>
                        </w:rPr>
                        <w:t>EU</w:t>
                      </w:r>
                      <w:r w:rsidR="006E6192">
                        <w:rPr>
                          <w:rFonts w:ascii="Times New Roman" w:hAnsi="Times New Roman"/>
                          <w:color w:val="000000"/>
                          <w:sz w:val="14"/>
                          <w:szCs w:val="14"/>
                        </w:rPr>
                        <w:t xml:space="preserve"> million</w:t>
                      </w:r>
                      <w:r>
                        <w:rPr>
                          <w:rFonts w:ascii="Times New Roman" w:hAnsi="Times New Roman"/>
                          <w:color w:val="000000"/>
                          <w:sz w:val="14"/>
                          <w:szCs w:val="14"/>
                        </w:rPr>
                        <w:t>s</w:t>
                      </w:r>
                      <w:r w:rsidR="006E6192">
                        <w:rPr>
                          <w:rFonts w:ascii="Times New Roman" w:hAnsi="Times New Roman"/>
                          <w:color w:val="000000"/>
                          <w:sz w:val="14"/>
                          <w:szCs w:val="14"/>
                        </w:rPr>
                        <w:t>)</w:t>
                      </w:r>
                    </w:p>
                  </w:txbxContent>
                </v:textbox>
              </v:rect>
              <v:rect id="Rectangle 255" o:spid="_x0000_s1176" style="position:absolute;left:3684;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24,487</w:t>
                      </w:r>
                    </w:p>
                  </w:txbxContent>
                </v:textbox>
              </v:rect>
              <v:rect id="Rectangle 256" o:spid="_x0000_s1177" style="position:absolute;left:4457;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19,164</w:t>
                      </w:r>
                    </w:p>
                  </w:txbxContent>
                </v:textbox>
              </v:rect>
              <v:rect id="Rectangle 257" o:spid="_x0000_s1178" style="position:absolute;left:5231;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22,280</w:t>
                      </w:r>
                    </w:p>
                  </w:txbxContent>
                </v:textbox>
              </v:rect>
              <v:rect id="Rectangle 258" o:spid="_x0000_s1179" style="position:absolute;left:6004;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23,938</w:t>
                      </w:r>
                    </w:p>
                  </w:txbxContent>
                </v:textbox>
              </v:rect>
              <v:rect id="Rectangle 259" o:spid="_x0000_s1180" style="position:absolute;left:6778;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23,938</w:t>
                      </w:r>
                    </w:p>
                  </w:txbxContent>
                </v:textbox>
              </v:rect>
              <v:rect id="Rectangle 260" o:spid="_x0000_s1181" style="position:absolute;left:7552;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24,156</w:t>
                      </w:r>
                    </w:p>
                  </w:txbxContent>
                </v:textbox>
              </v:rect>
              <v:rect id="Rectangle 261" o:spid="_x0000_s1182" style="position:absolute;left:8325;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24,802</w:t>
                      </w:r>
                    </w:p>
                  </w:txbxContent>
                </v:textbox>
              </v:rect>
              <v:rect id="Rectangle 262" o:spid="_x0000_s1183" style="position:absolute;left:9099;top:4676;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27,462</w:t>
                      </w:r>
                    </w:p>
                  </w:txbxContent>
                </v:textbox>
              </v:rect>
              <v:rect id="Rectangle 263" o:spid="_x0000_s1184" style="position:absolute;left:29;top:4869;width:33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6E6192" w:rsidRDefault="003C7485">
                      <w:r>
                        <w:rPr>
                          <w:rFonts w:ascii="Times New Roman" w:hAnsi="Times New Roman"/>
                          <w:color w:val="000000"/>
                          <w:sz w:val="14"/>
                          <w:szCs w:val="14"/>
                        </w:rPr>
                        <w:t>Croissance du taux réel d’imp. (biens</w:t>
                      </w:r>
                      <w:r w:rsidR="006E6192">
                        <w:rPr>
                          <w:rFonts w:ascii="Times New Roman" w:hAnsi="Times New Roman"/>
                          <w:color w:val="000000"/>
                          <w:sz w:val="14"/>
                          <w:szCs w:val="14"/>
                        </w:rPr>
                        <w:t xml:space="preserve">. CIF, </w:t>
                      </w:r>
                      <w:r>
                        <w:rPr>
                          <w:rFonts w:ascii="Times New Roman" w:hAnsi="Times New Roman"/>
                          <w:color w:val="000000"/>
                          <w:sz w:val="14"/>
                          <w:szCs w:val="14"/>
                        </w:rPr>
                        <w:t>variations en %</w:t>
                      </w:r>
                      <w:r w:rsidR="006E6192">
                        <w:rPr>
                          <w:rFonts w:ascii="Times New Roman" w:hAnsi="Times New Roman"/>
                          <w:color w:val="000000"/>
                          <w:sz w:val="14"/>
                          <w:szCs w:val="14"/>
                        </w:rPr>
                        <w:t>)</w:t>
                      </w:r>
                    </w:p>
                  </w:txbxContent>
                </v:textbox>
              </v:rect>
              <v:rect id="Rectangle 264" o:spid="_x0000_s1185" style="position:absolute;left:3877;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7.3</w:t>
                      </w:r>
                    </w:p>
                  </w:txbxContent>
                </v:textbox>
              </v:rect>
              <v:rect id="Rectangle 265" o:spid="_x0000_s1186" style="position:absolute;left:4651;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1.0</w:t>
                      </w:r>
                    </w:p>
                  </w:txbxContent>
                </v:textbox>
              </v:rect>
              <v:rect id="Rectangle 266" o:spid="_x0000_s1187" style="position:absolute;left:5376;top:4869;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-1.3</w:t>
                      </w:r>
                    </w:p>
                  </w:txbxContent>
                </v:textbox>
              </v:rect>
              <v:rect id="Rectangle 267" o:spid="_x0000_s1188" style="position:absolute;left:6150;top:4869;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-4.6</w:t>
                      </w:r>
                    </w:p>
                  </w:txbxContent>
                </v:textbox>
              </v:rect>
              <v:rect id="Rectangle 268" o:spid="_x0000_s1189" style="position:absolute;left:6971;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7.0</w:t>
                      </w:r>
                    </w:p>
                  </w:txbxContent>
                </v:textbox>
              </v:rect>
              <v:rect id="Rectangle 269" o:spid="_x0000_s1190" style="position:absolute;left:7745;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3.1</w:t>
                      </w:r>
                    </w:p>
                  </w:txbxContent>
                </v:textbox>
              </v:rect>
              <v:rect id="Rectangle 270" o:spid="_x0000_s1191" style="position:absolute;left:8518;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6.1</w:t>
                      </w:r>
                    </w:p>
                  </w:txbxContent>
                </v:textbox>
              </v:rect>
              <v:rect id="Rectangle 271" o:spid="_x0000_s1192" style="position:absolute;left:9292;top:4869;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5.0</w:t>
                      </w:r>
                    </w:p>
                  </w:txbxContent>
                </v:textbox>
              </v:rect>
              <v:rect id="Rectangle 272" o:spid="_x0000_s1193" style="position:absolute;left:29;top:5063;width:233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6E6192" w:rsidRDefault="008435D7">
                      <w:r>
                        <w:rPr>
                          <w:rFonts w:ascii="Times New Roman" w:hAnsi="Times New Roman"/>
                          <w:color w:val="000000"/>
                          <w:sz w:val="14"/>
                          <w:szCs w:val="14"/>
                        </w:rPr>
                        <w:t>S</w:t>
                      </w:r>
                      <w:r w:rsidRPr="008435D7">
                        <w:rPr>
                          <w:rFonts w:ascii="Times New Roman" w:hAnsi="Times New Roman"/>
                          <w:color w:val="000000"/>
                          <w:sz w:val="14"/>
                          <w:szCs w:val="14"/>
                        </w:rPr>
                        <w:t>ervices non facteurs</w:t>
                      </w:r>
                      <w:r>
                        <w:rPr>
                          <w:rFonts w:ascii="Times New Roman" w:hAnsi="Times New Roman"/>
                          <w:color w:val="000000"/>
                          <w:sz w:val="14"/>
                          <w:szCs w:val="14"/>
                        </w:rPr>
                        <w:t xml:space="preserve"> nets</w:t>
                      </w:r>
                      <w:r w:rsidRPr="008435D7">
                        <w:rPr>
                          <w:rFonts w:ascii="Times New Roman" w:hAnsi="Times New Roman"/>
                          <w:color w:val="000000"/>
                          <w:sz w:val="14"/>
                          <w:szCs w:val="14"/>
                        </w:rPr>
                        <w:t xml:space="preserve"> </w:t>
                      </w:r>
                      <w:r w:rsidR="001132FE">
                        <w:rPr>
                          <w:rFonts w:ascii="Times New Roman" w:hAnsi="Times New Roman"/>
                          <w:color w:val="000000"/>
                          <w:sz w:val="14"/>
                          <w:szCs w:val="14"/>
                        </w:rPr>
                        <w:t>(</w:t>
                      </w:r>
                      <w:r w:rsidR="006E6192">
                        <w:rPr>
                          <w:rFonts w:ascii="Times New Roman" w:hAnsi="Times New Roman"/>
                          <w:color w:val="000000"/>
                          <w:sz w:val="14"/>
                          <w:szCs w:val="14"/>
                        </w:rPr>
                        <w:t>$</w:t>
                      </w:r>
                      <w:r w:rsidR="001132FE">
                        <w:rPr>
                          <w:rFonts w:ascii="Times New Roman" w:hAnsi="Times New Roman"/>
                          <w:color w:val="000000"/>
                          <w:sz w:val="14"/>
                          <w:szCs w:val="14"/>
                        </w:rPr>
                        <w:t>EU</w:t>
                      </w:r>
                      <w:r w:rsidR="006E6192">
                        <w:rPr>
                          <w:rFonts w:ascii="Times New Roman" w:hAnsi="Times New Roman"/>
                          <w:color w:val="000000"/>
                          <w:sz w:val="14"/>
                          <w:szCs w:val="14"/>
                        </w:rPr>
                        <w:t xml:space="preserve"> million</w:t>
                      </w:r>
                      <w:r w:rsidR="001132FE">
                        <w:rPr>
                          <w:rFonts w:ascii="Times New Roman" w:hAnsi="Times New Roman"/>
                          <w:color w:val="000000"/>
                          <w:sz w:val="14"/>
                          <w:szCs w:val="14"/>
                        </w:rPr>
                        <w:t>s</w:t>
                      </w:r>
                      <w:r w:rsidR="006E6192">
                        <w:rPr>
                          <w:rFonts w:ascii="Times New Roman" w:hAnsi="Times New Roman"/>
                          <w:color w:val="000000"/>
                          <w:sz w:val="14"/>
                          <w:szCs w:val="14"/>
                        </w:rPr>
                        <w:t>)</w:t>
                      </w:r>
                    </w:p>
                  </w:txbxContent>
                </v:textbox>
              </v:rect>
              <v:rect id="Rectangle 273" o:spid="_x0000_s1194" style="position:absolute;left:3752;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2,643</w:t>
                      </w:r>
                    </w:p>
                  </w:txbxContent>
                </v:textbox>
              </v:rect>
              <v:rect id="Rectangle 274" o:spid="_x0000_s1195" style="position:absolute;left:4525;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2,486</w:t>
                      </w:r>
                    </w:p>
                  </w:txbxContent>
                </v:textbox>
              </v:rect>
              <v:rect id="Rectangle 275" o:spid="_x0000_s1196" style="position:absolute;left:5299;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2,440</w:t>
                      </w:r>
                    </w:p>
                  </w:txbxContent>
                </v:textbox>
              </v:rect>
              <v:rect id="Rectangle 276" o:spid="_x0000_s1197" style="position:absolute;left:6072;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1,551</w:t>
                      </w:r>
                    </w:p>
                  </w:txbxContent>
                </v:textbox>
              </v:rect>
              <v:rect id="Rectangle 277" o:spid="_x0000_s1198" style="position:absolute;left:6846;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1,844</w:t>
                      </w:r>
                    </w:p>
                  </w:txbxContent>
                </v:textbox>
              </v:rect>
              <v:rect id="Rectangle 278" o:spid="_x0000_s1199" style="position:absolute;left:7619;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2,201</w:t>
                      </w:r>
                    </w:p>
                  </w:txbxContent>
                </v:textbox>
              </v:rect>
              <v:rect id="Rectangle 279" o:spid="_x0000_s1200" style="position:absolute;left:8393;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2,421</w:t>
                      </w:r>
                    </w:p>
                  </w:txbxContent>
                </v:textbox>
              </v:rect>
              <v:rect id="Rectangle 280" o:spid="_x0000_s1201" style="position:absolute;left:9166;top:5063;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2,675</w:t>
                      </w:r>
                    </w:p>
                  </w:txbxContent>
                </v:textbox>
              </v:rect>
              <v:rect id="Rectangle 281" o:spid="_x0000_s1202" style="position:absolute;left:29;top:5256;width:231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6E6192" w:rsidRDefault="003C7485">
                      <w:r>
                        <w:rPr>
                          <w:rFonts w:ascii="Times New Roman" w:hAnsi="Times New Roman"/>
                          <w:color w:val="000000"/>
                          <w:sz w:val="14"/>
                          <w:szCs w:val="14"/>
                        </w:rPr>
                        <w:t>Solde du compte courant  (</w:t>
                      </w:r>
                      <w:r w:rsidR="006E6192">
                        <w:rPr>
                          <w:rFonts w:ascii="Times New Roman" w:hAnsi="Times New Roman"/>
                          <w:color w:val="000000"/>
                          <w:sz w:val="14"/>
                          <w:szCs w:val="14"/>
                        </w:rPr>
                        <w:t>$</w:t>
                      </w:r>
                      <w:r>
                        <w:rPr>
                          <w:rFonts w:ascii="Times New Roman" w:hAnsi="Times New Roman"/>
                          <w:color w:val="000000"/>
                          <w:sz w:val="14"/>
                          <w:szCs w:val="14"/>
                        </w:rPr>
                        <w:t>EU</w:t>
                      </w:r>
                      <w:r w:rsidR="006E6192">
                        <w:rPr>
                          <w:rFonts w:ascii="Times New Roman" w:hAnsi="Times New Roman"/>
                          <w:color w:val="000000"/>
                          <w:sz w:val="14"/>
                          <w:szCs w:val="14"/>
                        </w:rPr>
                        <w:t xml:space="preserve"> million</w:t>
                      </w:r>
                      <w:r>
                        <w:rPr>
                          <w:rFonts w:ascii="Times New Roman" w:hAnsi="Times New Roman"/>
                          <w:color w:val="000000"/>
                          <w:sz w:val="14"/>
                          <w:szCs w:val="14"/>
                        </w:rPr>
                        <w:t>s</w:t>
                      </w:r>
                      <w:r w:rsidR="006E6192">
                        <w:rPr>
                          <w:rFonts w:ascii="Times New Roman" w:hAnsi="Times New Roman"/>
                          <w:color w:val="000000"/>
                          <w:sz w:val="14"/>
                          <w:szCs w:val="14"/>
                        </w:rPr>
                        <w:t>)</w:t>
                      </w:r>
                    </w:p>
                  </w:txbxContent>
                </v:textbox>
              </v:rect>
              <v:rect id="Rectangle 282" o:spid="_x0000_s1203" style="position:absolute;left:3703;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-1,712</w:t>
                      </w:r>
                    </w:p>
                  </w:txbxContent>
                </v:textbox>
              </v:rect>
              <v:rect id="Rectangle 283" o:spid="_x0000_s1204" style="position:absolute;left:4477;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-1,234</w:t>
                      </w:r>
                    </w:p>
                  </w:txbxContent>
                </v:textbox>
              </v:rect>
              <v:rect id="Rectangle 284" o:spid="_x0000_s1205" style="position:absolute;left:5250;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-2,024</w:t>
                      </w:r>
                    </w:p>
                  </w:txbxContent>
                </v:textbox>
              </v:rect>
              <v:rect id="Rectangle 285" o:spid="_x0000_s1206" style="position:absolute;left:6024;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-3,371</w:t>
                      </w:r>
                    </w:p>
                  </w:txbxContent>
                </v:textbox>
              </v:rect>
              <v:rect id="Rectangle 286" o:spid="_x0000_s1207" style="position:absolute;left:6797;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-3,444</w:t>
                      </w:r>
                    </w:p>
                  </w:txbxContent>
                </v:textbox>
              </v:rect>
              <v:rect id="Rectangle 287" o:spid="_x0000_s1208" style="position:absolute;left:7571;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-2,984</w:t>
                      </w:r>
                    </w:p>
                  </w:txbxContent>
                </v:textbox>
              </v:rect>
              <v:rect id="Rectangle 288" o:spid="_x0000_s1209" style="position:absolute;left:8344;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-2,987</w:t>
                      </w:r>
                    </w:p>
                  </w:txbxContent>
                </v:textbox>
              </v:rect>
              <v:rect id="Rectangle 289" o:spid="_x0000_s1210" style="position:absolute;left:9118;top:5256;width:3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-2,617</w:t>
                      </w:r>
                    </w:p>
                  </w:txbxContent>
                </v:textbox>
              </v:rect>
              <v:rect id="Rectangle 290" o:spid="_x0000_s1211" style="position:absolute;left:29;top:5450;width:20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6E6192" w:rsidRDefault="003C7485">
                      <w:r>
                        <w:rPr>
                          <w:rFonts w:ascii="Times New Roman" w:hAnsi="Times New Roman"/>
                          <w:color w:val="000000"/>
                          <w:sz w:val="14"/>
                          <w:szCs w:val="14"/>
                        </w:rPr>
                        <w:t>Solde du compte courant (% du PIB</w:t>
                      </w:r>
                      <w:r w:rsidR="006E6192">
                        <w:rPr>
                          <w:rFonts w:ascii="Times New Roman" w:hAnsi="Times New Roman"/>
                          <w:color w:val="000000"/>
                          <w:sz w:val="14"/>
                          <w:szCs w:val="14"/>
                        </w:rPr>
                        <w:t>)</w:t>
                      </w:r>
                    </w:p>
                  </w:txbxContent>
                </v:textbox>
              </v:rect>
              <v:rect id="Rectangle 291" o:spid="_x0000_s1212" style="position:absolute;left:3829;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-3.8</w:t>
                      </w:r>
                    </w:p>
                  </w:txbxContent>
                </v:textbox>
              </v:rect>
              <v:rect id="Rectangle 292" o:spid="_x0000_s1213" style="position:absolute;left:4602;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-2.8</w:t>
                      </w:r>
                    </w:p>
                  </w:txbxContent>
                </v:textbox>
              </v:rect>
              <v:rect id="Rectangle 293" o:spid="_x0000_s1214" style="position:absolute;left:5376;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-4.8</w:t>
                      </w:r>
                    </w:p>
                  </w:txbxContent>
                </v:textbox>
              </v:rect>
              <v:rect id="Rectangle 294" o:spid="_x0000_s1215" style="position:absolute;left:6150;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6E6192" w:rsidRDefault="006E6192">
                      <w:r>
                        <w:rPr>
                          <w:rFonts w:ascii="Times New Roman" w:hAnsi="Times New Roman"/>
                          <w:color w:val="000000"/>
                          <w:sz w:val="14"/>
                          <w:szCs w:val="14"/>
                        </w:rPr>
                        <w:t>-7.4</w:t>
                      </w:r>
                    </w:p>
                  </w:txbxContent>
                </v:textbox>
              </v:rect>
              <v:rect id="Rectangle 295" o:spid="_x0000_s1216" style="position:absolute;left:6923;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-7.7</w:t>
                      </w:r>
                    </w:p>
                  </w:txbxContent>
                </v:textbox>
              </v:rect>
              <v:rect id="Rectangle 296" o:spid="_x0000_s1217" style="position:absolute;left:7697;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-6.5</w:t>
                      </w:r>
                    </w:p>
                  </w:txbxContent>
                </v:textbox>
              </v:rect>
              <v:rect id="Rectangle 297" o:spid="_x0000_s1218" style="position:absolute;left:8470;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-6.2</w:t>
                      </w:r>
                    </w:p>
                  </w:txbxContent>
                </v:textbox>
              </v:rect>
              <v:rect id="Rectangle 298" o:spid="_x0000_s1219" style="position:absolute;left:9244;top:5450;width:22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-5.1</w:t>
                      </w:r>
                    </w:p>
                  </w:txbxContent>
                </v:textbox>
              </v:rect>
              <v:rect id="Rectangle 299" o:spid="_x0000_s1220" style="position:absolute;left:29;top:5644;width:189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 xml:space="preserve">Gross </w:t>
                      </w:r>
                      <w:r w:rsidR="003C7485">
                        <w:rPr>
                          <w:rFonts w:ascii="Times New Roman" w:hAnsi="Times New Roman"/>
                          <w:color w:val="000000"/>
                          <w:sz w:val="14"/>
                          <w:szCs w:val="14"/>
                        </w:rPr>
                        <w:t>réserves</w:t>
                      </w:r>
                      <w:r>
                        <w:rPr>
                          <w:rFonts w:ascii="Times New Roman" w:hAnsi="Times New Roman"/>
                          <w:color w:val="000000"/>
                          <w:sz w:val="14"/>
                          <w:szCs w:val="14"/>
                        </w:rPr>
                        <w:t xml:space="preserve"> (US$ million, </w:t>
                      </w:r>
                      <w:r w:rsidR="001132FE">
                        <w:rPr>
                          <w:rFonts w:ascii="Times New Roman" w:hAnsi="Times New Roman"/>
                          <w:color w:val="000000"/>
                          <w:sz w:val="14"/>
                          <w:szCs w:val="14"/>
                        </w:rPr>
                        <w:t>fdp</w:t>
                      </w:r>
                      <w:r>
                        <w:rPr>
                          <w:rFonts w:ascii="Times New Roman" w:hAnsi="Times New Roman"/>
                          <w:color w:val="000000"/>
                          <w:sz w:val="14"/>
                          <w:szCs w:val="14"/>
                        </w:rPr>
                        <w:t>)</w:t>
                      </w:r>
                    </w:p>
                  </w:txbxContent>
                </v:textbox>
              </v:rect>
              <v:rect id="Rectangle 300" o:spid="_x0000_s1221" style="position:absolute;left:3752;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8,849</w:t>
                      </w:r>
                    </w:p>
                  </w:txbxContent>
                </v:textbox>
              </v:rect>
              <v:rect id="Rectangle 301" o:spid="_x0000_s1222" style="position:absolute;left:4457;top:5644;width:38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11,057</w:t>
                      </w:r>
                    </w:p>
                  </w:txbxContent>
                </v:textbox>
              </v:rect>
              <v:rect id="Rectangle 302" o:spid="_x0000_s1223" style="position:absolute;left:5299;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9,459</w:t>
                      </w:r>
                    </w:p>
                  </w:txbxContent>
                </v:textbox>
              </v:rect>
              <v:rect id="Rectangle 303" o:spid="_x0000_s1224" style="position:absolute;left:6072;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7,500</w:t>
                      </w:r>
                    </w:p>
                  </w:txbxContent>
                </v:textbox>
              </v:rect>
              <v:rect id="Rectangle 304" o:spid="_x0000_s1225" style="position:absolute;left:6846;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7,039</w:t>
                      </w:r>
                    </w:p>
                  </w:txbxContent>
                </v:textbox>
              </v:rect>
              <v:rect id="Rectangle 305" o:spid="_x0000_s1226" style="position:absolute;left:7619;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7,719</w:t>
                      </w:r>
                    </w:p>
                  </w:txbxContent>
                </v:textbox>
              </v:rect>
              <v:rect id="Rectangle 306" o:spid="_x0000_s1227" style="position:absolute;left:8393;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8,131</w:t>
                      </w:r>
                    </w:p>
                  </w:txbxContent>
                </v:textbox>
              </v:rect>
              <v:rect id="Rectangle 307" o:spid="_x0000_s1228" style="position:absolute;left:9166;top:5644;width:31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8,774</w:t>
                      </w:r>
                    </w:p>
                  </w:txbxContent>
                </v:textbox>
              </v:rect>
              <v:rect id="Rectangle 308" o:spid="_x0000_s1229" style="position:absolute;left:29;top:5837;width:22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6E6192" w:rsidRDefault="003C7485">
                      <w:r>
                        <w:rPr>
                          <w:rFonts w:ascii="Times New Roman" w:hAnsi="Times New Roman"/>
                          <w:color w:val="000000"/>
                          <w:sz w:val="14"/>
                          <w:szCs w:val="14"/>
                        </w:rPr>
                        <w:t>Réserves brutes</w:t>
                      </w:r>
                      <w:r w:rsidR="006E6192">
                        <w:rPr>
                          <w:rFonts w:ascii="Times New Roman" w:hAnsi="Times New Roman"/>
                          <w:color w:val="000000"/>
                          <w:sz w:val="14"/>
                          <w:szCs w:val="14"/>
                        </w:rPr>
                        <w:t xml:space="preserve"> (</w:t>
                      </w:r>
                      <w:r>
                        <w:rPr>
                          <w:rFonts w:ascii="Times New Roman" w:hAnsi="Times New Roman"/>
                          <w:color w:val="000000"/>
                          <w:sz w:val="14"/>
                          <w:szCs w:val="14"/>
                        </w:rPr>
                        <w:t xml:space="preserve">en mois </w:t>
                      </w:r>
                      <w:r w:rsidR="00847ACD">
                        <w:rPr>
                          <w:rFonts w:ascii="Times New Roman" w:hAnsi="Times New Roman"/>
                          <w:color w:val="000000"/>
                          <w:sz w:val="14"/>
                          <w:szCs w:val="14"/>
                        </w:rPr>
                        <w:t>des biens imp.</w:t>
                      </w:r>
                      <w:r w:rsidR="006E6192">
                        <w:rPr>
                          <w:rFonts w:ascii="Times New Roman" w:hAnsi="Times New Roman"/>
                          <w:color w:val="000000"/>
                          <w:sz w:val="14"/>
                          <w:szCs w:val="14"/>
                        </w:rPr>
                        <w:t>)</w:t>
                      </w:r>
                    </w:p>
                  </w:txbxContent>
                </v:textbox>
              </v:rect>
              <v:rect id="Rectangle 309" o:spid="_x0000_s1230" style="position:absolute;left:3877;top:5837;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4.6</w:t>
                      </w:r>
                    </w:p>
                  </w:txbxContent>
                </v:textbox>
              </v:rect>
              <v:rect id="Rectangle 310" o:spid="_x0000_s1231" style="position:absolute;left:4651;top:5837;width:176;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7.3</w:t>
                      </w:r>
                    </w:p>
                  </w:txbxContent>
                </v:textbox>
              </v:rect>
            </v:group>
            <v:rect id="Rectangle 312" o:spid="_x0000_s1232" style="position:absolute;left:34442;top:37064;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5.4</w:t>
                    </w:r>
                  </w:p>
                </w:txbxContent>
              </v:textbox>
            </v:rect>
            <v:rect id="Rectangle 313" o:spid="_x0000_s1233" style="position:absolute;left:39357;top:37064;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4.0</w:t>
                    </w:r>
                  </w:p>
                </w:txbxContent>
              </v:textbox>
            </v:rect>
            <v:rect id="Rectangle 314" o:spid="_x0000_s1234" style="position:absolute;left:44265;top:37064;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3.7</w:t>
                    </w:r>
                  </w:p>
                </w:txbxContent>
              </v:textbox>
            </v:rect>
            <v:rect id="Rectangle 315" o:spid="_x0000_s1235" style="position:absolute;left:49180;top:37064;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4.0</w:t>
                    </w:r>
                  </w:p>
                </w:txbxContent>
              </v:textbox>
            </v:rect>
            <v:rect id="Rectangle 316" o:spid="_x0000_s1236" style="position:absolute;left:54089;top:37064;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3.9</w:t>
                    </w:r>
                  </w:p>
                </w:txbxContent>
              </v:textbox>
            </v:rect>
            <v:rect id="Rectangle 317" o:spid="_x0000_s1237" style="position:absolute;left:59004;top:37064;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4.1</w:t>
                    </w:r>
                  </w:p>
                </w:txbxContent>
              </v:textbox>
            </v:rect>
            <v:rect id="Rectangle 318" o:spid="_x0000_s1238" style="position:absolute;left:184;top:38296;width:1494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6E6192" w:rsidRDefault="003C7485">
                    <w:r>
                      <w:rPr>
                        <w:rFonts w:ascii="Times New Roman" w:hAnsi="Times New Roman"/>
                        <w:color w:val="000000"/>
                        <w:sz w:val="14"/>
                        <w:szCs w:val="14"/>
                      </w:rPr>
                      <w:t>Réserves brutes (en mois des imp. GNFS</w:t>
                    </w:r>
                    <w:r w:rsidR="006E6192">
                      <w:rPr>
                        <w:rFonts w:ascii="Times New Roman" w:hAnsi="Times New Roman"/>
                        <w:color w:val="000000"/>
                        <w:sz w:val="14"/>
                        <w:szCs w:val="14"/>
                      </w:rPr>
                      <w:t>)</w:t>
                    </w:r>
                  </w:p>
                </w:txbxContent>
              </v:textbox>
            </v:rect>
            <v:rect id="Rectangle 319" o:spid="_x0000_s1239" style="position:absolute;left:24618;top:38296;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4.0</w:t>
                    </w:r>
                  </w:p>
                </w:txbxContent>
              </v:textbox>
            </v:rect>
            <v:rect id="Rectangle 320" o:spid="_x0000_s1240" style="position:absolute;left:29533;top:38296;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6.3</w:t>
                    </w:r>
                  </w:p>
                </w:txbxContent>
              </v:textbox>
            </v:rect>
            <v:rect id="Rectangle 321" o:spid="_x0000_s1241" style="position:absolute;left:34442;top:38296;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4.7</w:t>
                    </w:r>
                  </w:p>
                </w:txbxContent>
              </v:textbox>
            </v:rect>
            <v:rect id="Rectangle 322" o:spid="_x0000_s1242" style="position:absolute;left:39357;top:38296;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3.5</w:t>
                    </w:r>
                  </w:p>
                </w:txbxContent>
              </v:textbox>
            </v:rect>
            <v:rect id="Rectangle 323" o:spid="_x0000_s1243" style="position:absolute;left:44265;top:38296;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3.2</w:t>
                    </w:r>
                  </w:p>
                </w:txbxContent>
              </v:textbox>
            </v:rect>
            <v:rect id="Rectangle 324" o:spid="_x0000_s1244" style="position:absolute;left:49180;top:38296;width:11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3.5</w:t>
                    </w:r>
                  </w:p>
                </w:txbxContent>
              </v:textbox>
            </v:rect>
            <v:rect id="Rectangle 325" o:spid="_x0000_s1245" style="position:absolute;left:54089;top:38296;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3.4</w:t>
                    </w:r>
                  </w:p>
                </w:txbxContent>
              </v:textbox>
            </v:rect>
            <v:rect id="Rectangle 326" o:spid="_x0000_s1246" style="position:absolute;left:59004;top:38296;width:11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3.6</w:t>
                    </w:r>
                  </w:p>
                </w:txbxContent>
              </v:textbox>
            </v:rect>
            <v:rect id="Rectangle 327" o:spid="_x0000_s1247" style="position:absolute;left:184;top:40690;width:1224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6E6192" w:rsidRDefault="003119F7">
                    <w:r>
                      <w:rPr>
                        <w:rFonts w:ascii="Times New Roman" w:hAnsi="Times New Roman"/>
                        <w:b/>
                        <w:bCs/>
                        <w:color w:val="000000"/>
                        <w:sz w:val="14"/>
                        <w:szCs w:val="14"/>
                      </w:rPr>
                      <w:t>Dette Extérieure</w:t>
                    </w:r>
                    <w:r w:rsidR="008073F7">
                      <w:rPr>
                        <w:rFonts w:ascii="Times New Roman" w:hAnsi="Times New Roman"/>
                        <w:b/>
                        <w:bCs/>
                        <w:color w:val="000000"/>
                        <w:sz w:val="14"/>
                        <w:szCs w:val="14"/>
                      </w:rPr>
                      <w:t xml:space="preserve"> (EU </w:t>
                    </w:r>
                    <w:r w:rsidR="006E6192">
                      <w:rPr>
                        <w:rFonts w:ascii="Times New Roman" w:hAnsi="Times New Roman"/>
                        <w:b/>
                        <w:bCs/>
                        <w:color w:val="000000"/>
                        <w:sz w:val="14"/>
                        <w:szCs w:val="14"/>
                      </w:rPr>
                      <w:t>$ million</w:t>
                    </w:r>
                    <w:r>
                      <w:rPr>
                        <w:rFonts w:ascii="Times New Roman" w:hAnsi="Times New Roman"/>
                        <w:b/>
                        <w:bCs/>
                        <w:color w:val="000000"/>
                        <w:sz w:val="14"/>
                        <w:szCs w:val="14"/>
                      </w:rPr>
                      <w:t>s</w:t>
                    </w:r>
                    <w:r w:rsidR="006E6192">
                      <w:rPr>
                        <w:rFonts w:ascii="Times New Roman" w:hAnsi="Times New Roman"/>
                        <w:b/>
                        <w:bCs/>
                        <w:color w:val="000000"/>
                        <w:sz w:val="14"/>
                        <w:szCs w:val="14"/>
                      </w:rPr>
                      <w:t>)</w:t>
                    </w:r>
                  </w:p>
                </w:txbxContent>
              </v:textbox>
            </v:rect>
            <v:rect id="Rectangle 328" o:spid="_x0000_s1248" style="position:absolute;left:184;top:41986;width:908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 xml:space="preserve">    </w:t>
                    </w:r>
                    <w:r w:rsidR="00DE1F22">
                      <w:rPr>
                        <w:rFonts w:ascii="Times New Roman" w:hAnsi="Times New Roman"/>
                        <w:color w:val="000000"/>
                        <w:sz w:val="14"/>
                        <w:szCs w:val="14"/>
                      </w:rPr>
                      <w:t>A moyen et long terme</w:t>
                    </w:r>
                  </w:p>
                </w:txbxContent>
              </v:textbox>
            </v:rect>
            <v:rect id="Rectangle 329" o:spid="_x0000_s1249" style="position:absolute;left:23393;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16,445</w:t>
                    </w:r>
                  </w:p>
                </w:txbxContent>
              </v:textbox>
            </v:rect>
            <v:rect id="Rectangle 330" o:spid="_x0000_s1250" style="position:absolute;left:28301;top:41986;width:245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16,907</w:t>
                    </w:r>
                  </w:p>
                </w:txbxContent>
              </v:textbox>
            </v:rect>
            <v:rect id="Rectangle 331" o:spid="_x0000_s1251" style="position:absolute;left:33648;top:41986;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1,691</w:t>
                    </w:r>
                  </w:p>
                </w:txbxContent>
              </v:textbox>
            </v:rect>
            <v:rect id="Rectangle 332" o:spid="_x0000_s1252" style="position:absolute;left:38125;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16,852</w:t>
                    </w:r>
                  </w:p>
                </w:txbxContent>
              </v:textbox>
            </v:rect>
            <v:rect id="Rectangle 333" o:spid="_x0000_s1253" style="position:absolute;left:43040;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19,483</w:t>
                    </w:r>
                  </w:p>
                </w:txbxContent>
              </v:textbox>
            </v:rect>
            <v:rect id="Rectangle 334" o:spid="_x0000_s1254" style="position:absolute;left:47955;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20,124</w:t>
                    </w:r>
                  </w:p>
                </w:txbxContent>
              </v:textbox>
            </v:rect>
            <v:rect id="Rectangle 335" o:spid="_x0000_s1255" style="position:absolute;left:52863;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21,236</w:t>
                    </w:r>
                  </w:p>
                </w:txbxContent>
              </v:textbox>
            </v:rect>
            <v:rect id="Rectangle 336" o:spid="_x0000_s1256" style="position:absolute;left:57778;top:41986;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21,675</w:t>
                    </w:r>
                  </w:p>
                </w:txbxContent>
              </v:textbox>
            </v:rect>
            <v:rect id="Rectangle 337" o:spid="_x0000_s1257" style="position:absolute;left:184;top:43211;width:582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6E6192" w:rsidRDefault="00DE1F22">
                    <w:r>
                      <w:rPr>
                        <w:rFonts w:ascii="Times New Roman" w:hAnsi="Times New Roman"/>
                        <w:color w:val="000000"/>
                        <w:sz w:val="14"/>
                        <w:szCs w:val="14"/>
                      </w:rPr>
                      <w:t xml:space="preserve">    A court term</w:t>
                    </w:r>
                    <w:r w:rsidR="009D6F9B">
                      <w:rPr>
                        <w:rFonts w:ascii="Times New Roman" w:hAnsi="Times New Roman"/>
                        <w:color w:val="000000"/>
                        <w:sz w:val="14"/>
                        <w:szCs w:val="14"/>
                      </w:rPr>
                      <w:t>e</w:t>
                    </w:r>
                  </w:p>
                </w:txbxContent>
              </v:textbox>
            </v:rect>
            <v:rect id="Rectangle 338" o:spid="_x0000_s1258" style="position:absolute;left:23825;top:43211;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4,327</w:t>
                    </w:r>
                  </w:p>
                </w:txbxContent>
              </v:textbox>
            </v:rect>
            <v:rect id="Rectangle 339" o:spid="_x0000_s1259" style="position:absolute;left:28733;top:43211;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4,802</w:t>
                    </w:r>
                  </w:p>
                </w:txbxContent>
              </v:textbox>
            </v:rect>
            <v:rect id="Rectangle 340" o:spid="_x0000_s1260" style="position:absolute;left:33648;top:43211;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4,801</w:t>
                    </w:r>
                  </w:p>
                </w:txbxContent>
              </v:textbox>
            </v:rect>
            <v:rect id="Rectangle 341" o:spid="_x0000_s1261" style="position:absolute;left:38557;top:43211;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5,349</w:t>
                    </w:r>
                  </w:p>
                </w:txbxContent>
              </v:textbox>
            </v:rect>
            <v:rect id="Rectangle 342" o:spid="_x0000_s1262" style="position:absolute;left:43472;top:43211;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5,354</w:t>
                    </w:r>
                  </w:p>
                </w:txbxContent>
              </v:textbox>
            </v:rect>
            <v:rect id="Rectangle 343" o:spid="_x0000_s1263" style="position:absolute;left:48380;top:43211;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5,705</w:t>
                    </w:r>
                  </w:p>
                </w:txbxContent>
              </v:textbox>
            </v:rect>
            <v:rect id="Rectangle 344" o:spid="_x0000_s1264" style="position:absolute;left:53295;top:43211;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6,135</w:t>
                    </w:r>
                  </w:p>
                </w:txbxContent>
              </v:textbox>
            </v:rect>
            <v:rect id="Rectangle 345" o:spid="_x0000_s1265" style="position:absolute;left:58204;top:43211;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6,668</w:t>
                    </w:r>
                  </w:p>
                </w:txbxContent>
              </v:textbox>
            </v:rect>
            <v:rect id="Rectangle 346" o:spid="_x0000_s1266" style="position:absolute;left:184;top:44443;width:1130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6E6192" w:rsidRDefault="009D6F9B">
                    <w:r>
                      <w:rPr>
                        <w:rFonts w:ascii="Times New Roman" w:hAnsi="Times New Roman"/>
                        <w:color w:val="000000"/>
                        <w:sz w:val="14"/>
                        <w:szCs w:val="14"/>
                      </w:rPr>
                      <w:t xml:space="preserve">Stock de la dette </w:t>
                    </w:r>
                    <w:r w:rsidR="00DE1F22">
                      <w:rPr>
                        <w:rFonts w:ascii="Times New Roman" w:hAnsi="Times New Roman"/>
                        <w:color w:val="000000"/>
                        <w:sz w:val="14"/>
                        <w:szCs w:val="14"/>
                      </w:rPr>
                      <w:t>extérieur</w:t>
                    </w:r>
                    <w:r>
                      <w:rPr>
                        <w:rFonts w:ascii="Times New Roman" w:hAnsi="Times New Roman"/>
                        <w:color w:val="000000"/>
                        <w:sz w:val="14"/>
                        <w:szCs w:val="14"/>
                      </w:rPr>
                      <w:t>, total</w:t>
                    </w:r>
                  </w:p>
                </w:txbxContent>
              </v:textbox>
            </v:rect>
            <v:rect id="Rectangle 347" o:spid="_x0000_s1267" style="position:absolute;left:23393;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20,772</w:t>
                    </w:r>
                  </w:p>
                </w:txbxContent>
              </v:textbox>
            </v:rect>
            <v:rect id="Rectangle 348" o:spid="_x0000_s1268" style="position:absolute;left:28301;top:44443;width:245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21,709</w:t>
                    </w:r>
                  </w:p>
                </w:txbxContent>
              </v:textbox>
            </v:rect>
            <v:rect id="Rectangle 349" o:spid="_x0000_s1269" style="position:absolute;left:33216;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21,584</w:t>
                    </w:r>
                  </w:p>
                </w:txbxContent>
              </v:textbox>
            </v:rect>
            <v:rect id="Rectangle 350" o:spid="_x0000_s1270" style="position:absolute;left:38125;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22,201</w:t>
                    </w:r>
                  </w:p>
                </w:txbxContent>
              </v:textbox>
            </v:rect>
            <v:rect id="Rectangle 351" o:spid="_x0000_s1271" style="position:absolute;left:43040;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24,837</w:t>
                    </w:r>
                  </w:p>
                </w:txbxContent>
              </v:textbox>
            </v:rect>
            <v:rect id="Rectangle 352" o:spid="_x0000_s1272" style="position:absolute;left:47955;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25,829</w:t>
                    </w:r>
                  </w:p>
                </w:txbxContent>
              </v:textbox>
            </v:rect>
            <v:rect id="Rectangle 353" o:spid="_x0000_s1273" style="position:absolute;left:52863;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27,371</w:t>
                    </w:r>
                  </w:p>
                </w:txbxContent>
              </v:textbox>
            </v:rect>
            <v:rect id="Rectangle 354" o:spid="_x0000_s1274" style="position:absolute;left:57778;top:44443;width:245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28,343</w:t>
                    </w:r>
                  </w:p>
                </w:txbxContent>
              </v:textbox>
            </v:rect>
            <v:rect id="Rectangle 355" o:spid="_x0000_s1275" style="position:absolute;left:184;top:45669;width:115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6E6192" w:rsidRDefault="00DE1F22">
                    <w:r>
                      <w:rPr>
                        <w:rFonts w:ascii="Times New Roman" w:hAnsi="Times New Roman"/>
                        <w:color w:val="000000"/>
                        <w:sz w:val="14"/>
                        <w:szCs w:val="14"/>
                      </w:rPr>
                      <w:t>R</w:t>
                    </w:r>
                    <w:r w:rsidR="006E6192">
                      <w:rPr>
                        <w:rFonts w:ascii="Times New Roman" w:hAnsi="Times New Roman"/>
                        <w:color w:val="000000"/>
                        <w:sz w:val="14"/>
                        <w:szCs w:val="14"/>
                      </w:rPr>
                      <w:t>atio</w:t>
                    </w:r>
                    <w:r>
                      <w:rPr>
                        <w:rFonts w:ascii="Times New Roman" w:hAnsi="Times New Roman"/>
                        <w:color w:val="000000"/>
                        <w:sz w:val="14"/>
                        <w:szCs w:val="14"/>
                      </w:rPr>
                      <w:t xml:space="preserve"> d’endettement (% du PIB</w:t>
                    </w:r>
                    <w:r w:rsidR="006E6192">
                      <w:rPr>
                        <w:rFonts w:ascii="Times New Roman" w:hAnsi="Times New Roman"/>
                        <w:color w:val="000000"/>
                        <w:sz w:val="14"/>
                        <w:szCs w:val="14"/>
                      </w:rPr>
                      <w:t>)</w:t>
                    </w:r>
                  </w:p>
                </w:txbxContent>
              </v:textbox>
            </v:rect>
            <v:rect id="Rectangle 356" o:spid="_x0000_s1276" style="position:absolute;left:24193;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46.4</w:t>
                    </w:r>
                  </w:p>
                </w:txbxContent>
              </v:textbox>
            </v:rect>
            <v:rect id="Rectangle 357" o:spid="_x0000_s1277" style="position:absolute;left:29102;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49.9</w:t>
                    </w:r>
                  </w:p>
                </w:txbxContent>
              </v:textbox>
            </v:rect>
            <v:rect id="Rectangle 358" o:spid="_x0000_s1278" style="position:absolute;left:34016;top:45669;width:156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47.7</w:t>
                    </w:r>
                  </w:p>
                </w:txbxContent>
              </v:textbox>
            </v:rect>
            <v:rect id="Rectangle 359" o:spid="_x0000_s1279" style="position:absolute;left:38925;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51.6</w:t>
                    </w:r>
                  </w:p>
                </w:txbxContent>
              </v:textbox>
            </v:rect>
            <v:rect id="Rectangle 360" o:spid="_x0000_s1280" style="position:absolute;left:43840;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55.8</w:t>
                    </w:r>
                  </w:p>
                </w:txbxContent>
              </v:textbox>
            </v:rect>
            <v:rect id="Rectangle 361" o:spid="_x0000_s1281" style="position:absolute;left:48748;top:45669;width:156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56.2</w:t>
                    </w:r>
                  </w:p>
                </w:txbxContent>
              </v:textbox>
            </v:rect>
            <v:rect id="Rectangle 362" o:spid="_x0000_s1282" style="position:absolute;left:53663;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56.6</w:t>
                    </w:r>
                  </w:p>
                </w:txbxContent>
              </v:textbox>
            </v:rect>
            <v:rect id="Rectangle 363" o:spid="_x0000_s1283" style="position:absolute;left:58572;top:456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55.7</w:t>
                    </w:r>
                  </w:p>
                </w:txbxContent>
              </v:textbox>
            </v:rect>
            <v:rect id="Rectangle 364" o:spid="_x0000_s1284" style="position:absolute;left:184;top:46901;width:1533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E6192" w:rsidRDefault="00847ACD">
                    <w:r>
                      <w:rPr>
                        <w:rFonts w:ascii="Times New Roman" w:hAnsi="Times New Roman"/>
                        <w:color w:val="000000"/>
                        <w:sz w:val="14"/>
                        <w:szCs w:val="14"/>
                      </w:rPr>
                      <w:t>Ratio d</w:t>
                    </w:r>
                    <w:r w:rsidR="001132FE">
                      <w:rPr>
                        <w:rFonts w:ascii="Times New Roman" w:hAnsi="Times New Roman"/>
                        <w:color w:val="000000"/>
                        <w:sz w:val="14"/>
                        <w:szCs w:val="14"/>
                      </w:rPr>
                      <w:t>u service de la dette</w:t>
                    </w:r>
                    <w:r>
                      <w:rPr>
                        <w:rFonts w:ascii="Times New Roman" w:hAnsi="Times New Roman"/>
                        <w:color w:val="000000"/>
                        <w:sz w:val="14"/>
                        <w:szCs w:val="14"/>
                      </w:rPr>
                      <w:t xml:space="preserve"> </w:t>
                    </w:r>
                    <w:r w:rsidR="00515363">
                      <w:rPr>
                        <w:rFonts w:ascii="Times New Roman" w:hAnsi="Times New Roman"/>
                        <w:color w:val="000000"/>
                        <w:sz w:val="14"/>
                        <w:szCs w:val="14"/>
                      </w:rPr>
                      <w:t xml:space="preserve"> (% </w:t>
                    </w:r>
                    <w:r>
                      <w:rPr>
                        <w:rFonts w:ascii="Times New Roman" w:hAnsi="Times New Roman"/>
                        <w:color w:val="000000"/>
                        <w:sz w:val="14"/>
                        <w:szCs w:val="14"/>
                      </w:rPr>
                      <w:t>d’export.</w:t>
                    </w:r>
                    <w:r w:rsidR="006E6192">
                      <w:rPr>
                        <w:rFonts w:ascii="Times New Roman" w:hAnsi="Times New Roman"/>
                        <w:color w:val="000000"/>
                        <w:sz w:val="14"/>
                        <w:szCs w:val="14"/>
                      </w:rPr>
                      <w:t>)*</w:t>
                    </w:r>
                  </w:p>
                </w:txbxContent>
              </v:textbox>
            </v:rect>
            <v:rect id="Rectangle 365" o:spid="_x0000_s1285" style="position:absolute;left:24618;top:46901;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E6192" w:rsidRDefault="006E6192">
                    <w:r>
                      <w:rPr>
                        <w:rFonts w:ascii="Times New Roman" w:hAnsi="Times New Roman"/>
                        <w:color w:val="000000"/>
                        <w:sz w:val="14"/>
                        <w:szCs w:val="14"/>
                      </w:rPr>
                      <w:t>7.3</w:t>
                    </w:r>
                  </w:p>
                </w:txbxContent>
              </v:textbox>
            </v:rect>
            <v:rect id="Rectangle 366" o:spid="_x0000_s1286" style="position:absolute;left:29533;top:46901;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9.6</w:t>
                    </w:r>
                  </w:p>
                </w:txbxContent>
              </v:textbox>
            </v:rect>
            <v:rect id="Rectangle 367" o:spid="_x0000_s1287" style="position:absolute;left:34016;top:46901;width:156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12.3</w:t>
                    </w:r>
                  </w:p>
                </w:txbxContent>
              </v:textbox>
            </v:rect>
            <v:rect id="Rectangle 368" o:spid="_x0000_s1288" style="position:absolute;left:38925;top:46901;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11.3</w:t>
                    </w:r>
                  </w:p>
                </w:txbxContent>
              </v:textbox>
            </v:rect>
            <v:rect id="Rectangle 369" o:spid="_x0000_s1289" style="position:absolute;left:43840;top:46901;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11.4</w:t>
                    </w:r>
                  </w:p>
                </w:txbxContent>
              </v:textbox>
            </v:rect>
            <v:rect id="Rectangle 370" o:spid="_x0000_s1290" style="position:absolute;left:48748;top:46901;width:156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10.8</w:t>
                    </w:r>
                  </w:p>
                </w:txbxContent>
              </v:textbox>
            </v:rect>
            <v:rect id="Rectangle 371" o:spid="_x0000_s1291" style="position:absolute;left:53663;top:46901;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10.1</w:t>
                    </w:r>
                  </w:p>
                </w:txbxContent>
              </v:textbox>
            </v:rect>
            <v:rect id="Rectangle 372" o:spid="_x0000_s1292" style="position:absolute;left:59004;top:46901;width:11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9.5</w:t>
                    </w:r>
                  </w:p>
                </w:txbxContent>
              </v:textbox>
            </v:rect>
            <v:rect id="Rectangle 373" o:spid="_x0000_s1293" style="position:absolute;left:184;top:49301;width:575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E6192" w:rsidRDefault="003119F7">
                    <w:r>
                      <w:rPr>
                        <w:rFonts w:ascii="Times New Roman" w:hAnsi="Times New Roman"/>
                        <w:b/>
                        <w:bCs/>
                        <w:color w:val="000000"/>
                        <w:sz w:val="14"/>
                        <w:szCs w:val="14"/>
                      </w:rPr>
                      <w:t>Pour mémoire</w:t>
                    </w:r>
                    <w:r w:rsidR="006E6192">
                      <w:rPr>
                        <w:rFonts w:ascii="Times New Roman" w:hAnsi="Times New Roman"/>
                        <w:b/>
                        <w:bCs/>
                        <w:color w:val="000000"/>
                        <w:sz w:val="14"/>
                        <w:szCs w:val="14"/>
                      </w:rPr>
                      <w:t>:</w:t>
                    </w:r>
                  </w:p>
                </w:txbxContent>
              </v:textbox>
            </v:rect>
            <v:rect id="Rectangle 374" o:spid="_x0000_s1294" style="position:absolute;left:184;top:50590;width:71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E6192" w:rsidRDefault="003119F7">
                    <w:r>
                      <w:rPr>
                        <w:rFonts w:ascii="Times New Roman" w:hAnsi="Times New Roman"/>
                        <w:color w:val="000000"/>
                        <w:sz w:val="14"/>
                        <w:szCs w:val="14"/>
                      </w:rPr>
                      <w:t>PIB nominal</w:t>
                    </w:r>
                    <w:r w:rsidR="006E6192">
                      <w:rPr>
                        <w:rFonts w:ascii="Times New Roman" w:hAnsi="Times New Roman"/>
                        <w:color w:val="000000"/>
                        <w:sz w:val="14"/>
                        <w:szCs w:val="14"/>
                      </w:rPr>
                      <w:t xml:space="preserve"> (TND)</w:t>
                    </w:r>
                  </w:p>
                </w:txbxContent>
              </v:textbox>
            </v:rect>
            <v:rect id="Rectangle 375" o:spid="_x0000_s1295" style="position:absolute;left:23393;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55,296</w:t>
                    </w:r>
                  </w:p>
                </w:txbxContent>
              </v:textbox>
            </v:rect>
            <v:rect id="Rectangle 376" o:spid="_x0000_s1296" style="position:absolute;left:28301;top:50590;width:245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58,768</w:t>
                    </w:r>
                  </w:p>
                </w:txbxContent>
              </v:textbox>
            </v:rect>
            <v:rect id="Rectangle 377" o:spid="_x0000_s1297" style="position:absolute;left:33216;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63,323</w:t>
                    </w:r>
                  </w:p>
                </w:txbxContent>
              </v:textbox>
            </v:rect>
            <v:rect id="Rectangle 378" o:spid="_x0000_s1298" style="position:absolute;left:38125;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64,566</w:t>
                    </w:r>
                  </w:p>
                </w:txbxContent>
              </v:textbox>
            </v:rect>
            <v:rect id="Rectangle 379" o:spid="_x0000_s1299" style="position:absolute;left:43040;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70,612</w:t>
                    </w:r>
                  </w:p>
                </w:txbxContent>
              </v:textbox>
            </v:rect>
            <v:rect id="Rectangle 380" o:spid="_x0000_s1300" style="position:absolute;left:47955;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76,080</w:t>
                    </w:r>
                  </w:p>
                </w:txbxContent>
              </v:textbox>
            </v:rect>
            <v:rect id="Rectangle 381" o:spid="_x0000_s1301" style="position:absolute;left:52863;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82,841</w:t>
                    </w:r>
                  </w:p>
                </w:txbxContent>
              </v:textbox>
            </v:rect>
            <v:rect id="Rectangle 382" o:spid="_x0000_s1302" style="position:absolute;left:57778;top:50590;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90,290</w:t>
                    </w:r>
                  </w:p>
                </w:txbxContent>
              </v:textbox>
            </v:rect>
            <v:rect id="Rectangle 383" o:spid="_x0000_s1303" style="position:absolute;left:184;top:51822;width:1168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6E6192" w:rsidRDefault="008073F7">
                    <w:r>
                      <w:rPr>
                        <w:rFonts w:ascii="Times New Roman" w:hAnsi="Times New Roman"/>
                        <w:color w:val="000000"/>
                        <w:sz w:val="14"/>
                        <w:szCs w:val="14"/>
                      </w:rPr>
                      <w:t>PIB nominal (</w:t>
                    </w:r>
                    <w:r w:rsidR="006E6192">
                      <w:rPr>
                        <w:rFonts w:ascii="Times New Roman" w:hAnsi="Times New Roman"/>
                        <w:color w:val="000000"/>
                        <w:sz w:val="14"/>
                        <w:szCs w:val="14"/>
                      </w:rPr>
                      <w:t>million</w:t>
                    </w:r>
                    <w:r>
                      <w:rPr>
                        <w:rFonts w:ascii="Times New Roman" w:hAnsi="Times New Roman"/>
                        <w:color w:val="000000"/>
                        <w:sz w:val="14"/>
                        <w:szCs w:val="14"/>
                      </w:rPr>
                      <w:t>s de $ EU)</w:t>
                    </w:r>
                    <w:r w:rsidR="006E6192">
                      <w:rPr>
                        <w:rFonts w:ascii="Times New Roman" w:hAnsi="Times New Roman"/>
                        <w:color w:val="000000"/>
                        <w:sz w:val="14"/>
                        <w:szCs w:val="14"/>
                      </w:rPr>
                      <w:t>)</w:t>
                    </w:r>
                  </w:p>
                </w:txbxContent>
              </v:textbox>
            </v:rect>
            <v:rect id="Rectangle 384" o:spid="_x0000_s1304" style="position:absolute;left:23393;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44,775</w:t>
                    </w:r>
                  </w:p>
                </w:txbxContent>
              </v:textbox>
            </v:rect>
            <v:rect id="Rectangle 385" o:spid="_x0000_s1305" style="position:absolute;left:28301;top:51822;width:245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43,522</w:t>
                    </w:r>
                  </w:p>
                </w:txbxContent>
              </v:textbox>
            </v:rect>
            <v:rect id="Rectangle 386" o:spid="_x0000_s1306" style="position:absolute;left:33216;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44,238</w:t>
                    </w:r>
                  </w:p>
                </w:txbxContent>
              </v:textbox>
            </v:rect>
            <v:rect id="Rectangle 387" o:spid="_x0000_s1307" style="position:absolute;left:38125;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45,860</w:t>
                    </w:r>
                  </w:p>
                </w:txbxContent>
              </v:textbox>
            </v:rect>
            <v:rect id="Rectangle 388" o:spid="_x0000_s1308" style="position:absolute;left:43040;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44,512</w:t>
                    </w:r>
                  </w:p>
                </w:txbxContent>
              </v:textbox>
            </v:rect>
            <v:rect id="Rectangle 389" o:spid="_x0000_s1309" style="position:absolute;left:47955;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45,934</w:t>
                    </w:r>
                  </w:p>
                </w:txbxContent>
              </v:textbox>
            </v:rect>
            <v:rect id="Rectangle 390" o:spid="_x0000_s1310" style="position:absolute;left:52863;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48,320</w:t>
                    </w:r>
                  </w:p>
                </w:txbxContent>
              </v:textbox>
            </v:rect>
            <v:rect id="Rectangle 391" o:spid="_x0000_s1311" style="position:absolute;left:57778;top:51822;width:2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50,908</w:t>
                    </w:r>
                  </w:p>
                </w:txbxContent>
              </v:textbox>
            </v:rect>
            <v:rect id="Rectangle 392" o:spid="_x0000_s1312" style="position:absolute;left:184;top:53047;width:1380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6E6192" w:rsidRDefault="008073F7">
                    <w:r>
                      <w:rPr>
                        <w:rFonts w:ascii="Times New Roman" w:hAnsi="Times New Roman"/>
                        <w:color w:val="000000"/>
                        <w:sz w:val="14"/>
                        <w:szCs w:val="14"/>
                      </w:rPr>
                      <w:t>Taux de change, moyenne</w:t>
                    </w:r>
                    <w:r w:rsidR="006E6192">
                      <w:rPr>
                        <w:rFonts w:ascii="Times New Roman" w:hAnsi="Times New Roman"/>
                        <w:color w:val="000000"/>
                        <w:sz w:val="14"/>
                        <w:szCs w:val="14"/>
                      </w:rPr>
                      <w:t xml:space="preserve"> (TND/US$)</w:t>
                    </w:r>
                  </w:p>
                </w:txbxContent>
              </v:textbox>
            </v:rect>
            <v:rect id="Rectangle 393" o:spid="_x0000_s1313" style="position:absolute;left:23761;top:53047;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1.235</w:t>
                    </w:r>
                  </w:p>
                </w:txbxContent>
              </v:textbox>
            </v:rect>
            <v:rect id="Rectangle 394" o:spid="_x0000_s1314" style="position:absolute;left:28670;top:53047;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1.350</w:t>
                    </w:r>
                  </w:p>
                </w:txbxContent>
              </v:textbox>
            </v:rect>
            <v:rect id="Rectangle 395" o:spid="_x0000_s1315" style="position:absolute;left:33585;top:53047;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1.431</w:t>
                    </w:r>
                  </w:p>
                </w:txbxContent>
              </v:textbox>
            </v:rect>
            <v:rect id="Rectangle 396" o:spid="_x0000_s1316" style="position:absolute;left:38493;top:53047;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1.408</w:t>
                    </w:r>
                  </w:p>
                </w:txbxContent>
              </v:textbox>
            </v:rect>
            <v:rect id="Rectangle 397" o:spid="_x0000_s1317" style="position:absolute;left:43408;top:53047;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1.586</w:t>
                    </w:r>
                  </w:p>
                </w:txbxContent>
              </v:textbox>
            </v:rect>
            <v:rect id="Rectangle 398" o:spid="_x0000_s1318" style="position:absolute;left:48323;top:53047;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1.656</w:t>
                    </w:r>
                  </w:p>
                </w:txbxContent>
              </v:textbox>
            </v:rect>
            <v:rect id="Rectangle 399" o:spid="_x0000_s1319" style="position:absolute;left:53232;top:53047;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1.714</w:t>
                    </w:r>
                  </w:p>
                </w:txbxContent>
              </v:textbox>
            </v:rect>
            <v:rect id="Rectangle 400" o:spid="_x0000_s1320" style="position:absolute;left:58146;top:53047;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1.774</w:t>
                    </w:r>
                  </w:p>
                </w:txbxContent>
              </v:textbox>
            </v:rect>
            <v:rect id="Rectangle 401" o:spid="_x0000_s1321" style="position:absolute;left:184;top:54279;width:117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6E6192" w:rsidRDefault="00F55E6D">
                    <w:r>
                      <w:rPr>
                        <w:rFonts w:ascii="Times New Roman" w:hAnsi="Times New Roman"/>
                        <w:color w:val="000000"/>
                        <w:sz w:val="14"/>
                        <w:szCs w:val="14"/>
                      </w:rPr>
                      <w:t>PIB par habitant</w:t>
                    </w:r>
                    <w:r w:rsidR="001132FE">
                      <w:rPr>
                        <w:rFonts w:ascii="Times New Roman" w:hAnsi="Times New Roman"/>
                        <w:color w:val="000000"/>
                        <w:sz w:val="14"/>
                        <w:szCs w:val="14"/>
                      </w:rPr>
                      <w:t xml:space="preserve"> (</w:t>
                    </w:r>
                    <w:r>
                      <w:rPr>
                        <w:rFonts w:ascii="Times New Roman" w:hAnsi="Times New Roman"/>
                        <w:color w:val="000000"/>
                        <w:sz w:val="14"/>
                        <w:szCs w:val="14"/>
                      </w:rPr>
                      <w:t>$ EU</w:t>
                    </w:r>
                    <w:r w:rsidR="001132FE">
                      <w:rPr>
                        <w:rFonts w:ascii="Times New Roman" w:hAnsi="Times New Roman"/>
                        <w:color w:val="000000"/>
                        <w:sz w:val="14"/>
                        <w:szCs w:val="14"/>
                      </w:rPr>
                      <w:t xml:space="preserve"> courants</w:t>
                    </w:r>
                    <w:r w:rsidR="006E6192">
                      <w:rPr>
                        <w:rFonts w:ascii="Times New Roman" w:hAnsi="Times New Roman"/>
                        <w:color w:val="000000"/>
                        <w:sz w:val="14"/>
                        <w:szCs w:val="14"/>
                      </w:rPr>
                      <w:t>)</w:t>
                    </w:r>
                  </w:p>
                </w:txbxContent>
              </v:textbox>
            </v:rect>
            <v:rect id="Rectangle 402" o:spid="_x0000_s1322" style="position:absolute;left:23825;top:54279;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4,335</w:t>
                    </w:r>
                  </w:p>
                </w:txbxContent>
              </v:textbox>
            </v:rect>
            <v:rect id="Rectangle 403" o:spid="_x0000_s1323" style="position:absolute;left:28733;top:54279;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4,172</w:t>
                    </w:r>
                  </w:p>
                </w:txbxContent>
              </v:textbox>
            </v:rect>
            <v:rect id="Rectangle 404" o:spid="_x0000_s1324" style="position:absolute;left:33648;top:54279;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4,199</w:t>
                    </w:r>
                  </w:p>
                </w:txbxContent>
              </v:textbox>
            </v:rect>
            <v:rect id="Rectangle 405" o:spid="_x0000_s1325" style="position:absolute;left:38557;top:54279;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4,326</w:t>
                    </w:r>
                  </w:p>
                </w:txbxContent>
              </v:textbox>
            </v:rect>
            <v:rect id="Rectangle 406" o:spid="_x0000_s1326" style="position:absolute;left:43472;top:54279;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4,158</w:t>
                    </w:r>
                  </w:p>
                </w:txbxContent>
              </v:textbox>
            </v:rect>
            <v:rect id="Rectangle 407" o:spid="_x0000_s1327" style="position:absolute;left:48380;top:54279;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4,249</w:t>
                    </w:r>
                  </w:p>
                </w:txbxContent>
              </v:textbox>
            </v:rect>
            <v:rect id="Rectangle 408" o:spid="_x0000_s1328" style="position:absolute;left:53295;top:54279;width:200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4,426</w:t>
                    </w:r>
                  </w:p>
                </w:txbxContent>
              </v:textbox>
            </v:rect>
            <v:rect id="Rectangle 409" o:spid="_x0000_s1329" style="position:absolute;left:58204;top:54279;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4,617</w:t>
                    </w:r>
                  </w:p>
                </w:txbxContent>
              </v:textbox>
            </v:rect>
            <v:rect id="Rectangle 410" o:spid="_x0000_s1330" style="position:absolute;left:184;top:55505;width:662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6E6192" w:rsidRDefault="00F55E6D">
                    <w:r>
                      <w:rPr>
                        <w:rFonts w:ascii="Times New Roman" w:hAnsi="Times New Roman"/>
                        <w:color w:val="000000"/>
                        <w:sz w:val="14"/>
                        <w:szCs w:val="14"/>
                      </w:rPr>
                      <w:t>Croissance du PIB</w:t>
                    </w:r>
                  </w:p>
                </w:txbxContent>
              </v:textbox>
            </v:rect>
            <v:rect id="Rectangle 411" o:spid="_x0000_s1331" style="position:absolute;left:3930;top:55505;width:1333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6E6192" w:rsidRDefault="00F55E6D">
                    <w:r>
                      <w:rPr>
                        <w:rFonts w:ascii="Times New Roman" w:hAnsi="Times New Roman"/>
                        <w:color w:val="000000"/>
                        <w:sz w:val="14"/>
                        <w:szCs w:val="14"/>
                      </w:rPr>
                      <w:t xml:space="preserve">              par habitant</w:t>
                    </w:r>
                    <w:r w:rsidR="006E6192">
                      <w:rPr>
                        <w:rFonts w:ascii="Times New Roman" w:hAnsi="Times New Roman"/>
                        <w:color w:val="000000"/>
                        <w:sz w:val="14"/>
                        <w:szCs w:val="14"/>
                      </w:rPr>
                      <w:t xml:space="preserve"> (</w:t>
                    </w:r>
                    <w:r>
                      <w:rPr>
                        <w:rFonts w:ascii="Times New Roman" w:hAnsi="Times New Roman"/>
                        <w:color w:val="000000"/>
                        <w:sz w:val="14"/>
                        <w:szCs w:val="14"/>
                      </w:rPr>
                      <w:t>variation en %</w:t>
                    </w:r>
                    <w:r w:rsidR="006E6192">
                      <w:rPr>
                        <w:rFonts w:ascii="Times New Roman" w:hAnsi="Times New Roman"/>
                        <w:color w:val="000000"/>
                        <w:sz w:val="14"/>
                        <w:szCs w:val="14"/>
                      </w:rPr>
                      <w:t>)</w:t>
                    </w:r>
                  </w:p>
                </w:txbxContent>
              </v:textbox>
            </v:rect>
            <v:rect id="Rectangle 412" o:spid="_x0000_s1332" style="position:absolute;left:24618;top:55505;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3.6</w:t>
                    </w:r>
                  </w:p>
                </w:txbxContent>
              </v:textbox>
            </v:rect>
            <v:rect id="Rectangle 413" o:spid="_x0000_s1333" style="position:absolute;left:30206;top:5550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2</w:t>
                    </w:r>
                  </w:p>
                </w:txbxContent>
              </v:textbox>
            </v:rect>
            <v:rect id="Rectangle 414" o:spid="_x0000_s1334" style="position:absolute;left:35121;top:5550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2</w:t>
                    </w:r>
                  </w:p>
                </w:txbxContent>
              </v:textbox>
            </v:rect>
            <v:rect id="Rectangle 415" o:spid="_x0000_s1335" style="position:absolute;left:39052;top:55505;width:1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6E6192" w:rsidRDefault="006E6192">
                    <w:r>
                      <w:rPr>
                        <w:rFonts w:ascii="Times New Roman" w:hAnsi="Times New Roman"/>
                        <w:color w:val="000000"/>
                        <w:sz w:val="14"/>
                        <w:szCs w:val="14"/>
                      </w:rPr>
                      <w:t>-2.4</w:t>
                    </w:r>
                  </w:p>
                </w:txbxContent>
              </v:textbox>
            </v:rect>
            <v:rect id="Rectangle 416" o:spid="_x0000_s1336" style="position:absolute;left:44265;top:55505;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1.4</w:t>
                    </w:r>
                  </w:p>
                </w:txbxContent>
              </v:textbox>
            </v:rect>
            <v:rect id="Rectangle 417" o:spid="_x0000_s1337" style="position:absolute;left:49180;top:55505;width:1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4"/>
                        <w:szCs w:val="14"/>
                      </w:rPr>
                      <w:t>2.7</w:t>
                    </w:r>
                  </w:p>
                </w:txbxContent>
              </v:textbox>
            </v:rect>
            <v:rect id="Rectangle 418" o:spid="_x0000_s1338" style="position:absolute;left:54089;top:55505;width:11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3.9</w:t>
                    </w:r>
                  </w:p>
                </w:txbxContent>
              </v:textbox>
            </v:rect>
            <v:rect id="Rectangle 419" o:spid="_x0000_s1339" style="position:absolute;left:59004;top:55505;width:11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3.8</w:t>
                    </w:r>
                  </w:p>
                </w:txbxContent>
              </v:textbox>
            </v:rect>
            <v:rect id="Rectangle 420" o:spid="_x0000_s1340" style="position:absolute;left:184;top:56737;width:161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6E6192" w:rsidRDefault="008073F7">
                    <w:r>
                      <w:rPr>
                        <w:rFonts w:ascii="Times New Roman" w:hAnsi="Times New Roman"/>
                        <w:color w:val="000000"/>
                        <w:sz w:val="14"/>
                        <w:szCs w:val="14"/>
                      </w:rPr>
                      <w:t xml:space="preserve">Taux de </w:t>
                    </w:r>
                    <w:r w:rsidR="00F55E6D">
                      <w:rPr>
                        <w:rFonts w:ascii="Times New Roman" w:hAnsi="Times New Roman"/>
                        <w:color w:val="000000"/>
                        <w:sz w:val="14"/>
                        <w:szCs w:val="14"/>
                      </w:rPr>
                      <w:t>chômage</w:t>
                    </w:r>
                    <w:r>
                      <w:rPr>
                        <w:rFonts w:ascii="Times New Roman" w:hAnsi="Times New Roman"/>
                        <w:color w:val="000000"/>
                        <w:sz w:val="14"/>
                        <w:szCs w:val="14"/>
                      </w:rPr>
                      <w:t xml:space="preserve"> (% de la population active</w:t>
                    </w:r>
                    <w:r w:rsidR="006E6192">
                      <w:rPr>
                        <w:rFonts w:ascii="Times New Roman" w:hAnsi="Times New Roman"/>
                        <w:color w:val="000000"/>
                        <w:sz w:val="14"/>
                        <w:szCs w:val="14"/>
                      </w:rPr>
                      <w:t>)</w:t>
                    </w:r>
                  </w:p>
                </w:txbxContent>
              </v:textbox>
            </v:rect>
            <v:rect id="Rectangle 421" o:spid="_x0000_s1341" style="position:absolute;left:24193;top:56737;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12.6</w:t>
                    </w:r>
                  </w:p>
                </w:txbxContent>
              </v:textbox>
            </v:rect>
            <v:rect id="Rectangle 422" o:spid="_x0000_s1342" style="position:absolute;left:29102;top:56737;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13.3</w:t>
                    </w:r>
                  </w:p>
                </w:txbxContent>
              </v:textbox>
            </v:rect>
            <v:rect id="Rectangle 423" o:spid="_x0000_s1343" style="position:absolute;left:34016;top:56737;width:156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6E6192" w:rsidRDefault="006E6192">
                    <w:r>
                      <w:rPr>
                        <w:rFonts w:ascii="Times New Roman" w:hAnsi="Times New Roman"/>
                        <w:color w:val="000000"/>
                        <w:sz w:val="14"/>
                        <w:szCs w:val="14"/>
                      </w:rPr>
                      <w:t>13.0</w:t>
                    </w:r>
                  </w:p>
                </w:txbxContent>
              </v:textbox>
            </v:rect>
            <v:rect id="Rectangle 424" o:spid="_x0000_s1344" style="position:absolute;left:38925;top:56737;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6E6192" w:rsidRDefault="006E6192">
                    <w:r>
                      <w:rPr>
                        <w:rFonts w:ascii="Times New Roman" w:hAnsi="Times New Roman"/>
                        <w:color w:val="000000"/>
                        <w:sz w:val="14"/>
                        <w:szCs w:val="14"/>
                      </w:rPr>
                      <w:t>18.9</w:t>
                    </w:r>
                  </w:p>
                </w:txbxContent>
              </v:textbox>
            </v:rect>
            <v:rect id="Rectangle 425" o:spid="_x0000_s1345" style="position:absolute;left:184;top:59258;width:1524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6E6192" w:rsidRDefault="006E6192">
                    <w:r>
                      <w:rPr>
                        <w:rFonts w:ascii="Times New Roman" w:hAnsi="Times New Roman"/>
                        <w:color w:val="000000"/>
                        <w:sz w:val="12"/>
                        <w:szCs w:val="12"/>
                      </w:rPr>
                      <w:t xml:space="preserve">Source: </w:t>
                    </w:r>
                    <w:r w:rsidR="008073F7">
                      <w:rPr>
                        <w:rFonts w:ascii="Times New Roman" w:hAnsi="Times New Roman"/>
                        <w:color w:val="000000"/>
                        <w:sz w:val="12"/>
                        <w:szCs w:val="12"/>
                      </w:rPr>
                      <w:t>Banque mondiale et autorités tunisiennes.</w:t>
                    </w:r>
                  </w:p>
                </w:txbxContent>
              </v:textbox>
            </v:rect>
            <v:rect id="Rectangle 426" o:spid="_x0000_s1346" style="position:absolute;left:184;top:60483;width:2742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6E6192" w:rsidRDefault="008435D7">
                    <w:r>
                      <w:rPr>
                        <w:rFonts w:ascii="Times New Roman" w:hAnsi="Times New Roman"/>
                        <w:color w:val="000000"/>
                        <w:sz w:val="12"/>
                        <w:szCs w:val="12"/>
                      </w:rPr>
                      <w:t>*: Exportations des biens, service facteurs et non-facteurs et e</w:t>
                    </w:r>
                    <w:bookmarkStart w:id="66" w:name="_GoBack"/>
                    <w:bookmarkEnd w:id="66"/>
                    <w:r w:rsidRPr="008435D7">
                      <w:rPr>
                        <w:rFonts w:ascii="Times New Roman" w:hAnsi="Times New Roman"/>
                        <w:color w:val="000000"/>
                        <w:sz w:val="12"/>
                        <w:szCs w:val="12"/>
                      </w:rPr>
                      <w:t>nvois de fonds des expatriés</w:t>
                    </w:r>
                  </w:p>
                </w:txbxContent>
              </v:textbox>
            </v:rect>
            <v:line id="Line 427" o:spid="_x0000_s1347" style="position:absolute;visibility:visible;mso-wrap-style:square" from="0,2457" to="60293,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rect id="Rectangle 428" o:spid="_x0000_s1348" style="position:absolute;top:2457;width:6029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line id="Line 429" o:spid="_x0000_s1349" style="position:absolute;visibility:visible;mso-wrap-style:square" from="0,59010" to="60293,5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rect id="Rectangle 430" o:spid="_x0000_s1350" style="position:absolute;top:59010;width:6029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w10:wrap type="none"/>
            <w10:anchorlock/>
          </v:group>
        </w:pict>
      </w:r>
    </w:p>
    <w:p w:rsidR="00773F26" w:rsidRDefault="00773F26" w:rsidP="00CB66DD">
      <w:pPr>
        <w:autoSpaceDE w:val="0"/>
        <w:autoSpaceDN w:val="0"/>
        <w:adjustRightInd w:val="0"/>
      </w:pPr>
    </w:p>
    <w:p w:rsidR="00773F26" w:rsidRDefault="00773F26" w:rsidP="00CB66DD">
      <w:pPr>
        <w:autoSpaceDE w:val="0"/>
        <w:autoSpaceDN w:val="0"/>
        <w:adjustRightInd w:val="0"/>
      </w:pPr>
    </w:p>
    <w:p w:rsidR="00160C4F" w:rsidRDefault="00160C4F" w:rsidP="00CB66DD">
      <w:pPr>
        <w:autoSpaceDE w:val="0"/>
        <w:autoSpaceDN w:val="0"/>
        <w:adjustRightInd w:val="0"/>
      </w:pPr>
    </w:p>
    <w:p w:rsidR="00160C4F" w:rsidRDefault="00160C4F" w:rsidP="00CB66DD">
      <w:pPr>
        <w:autoSpaceDE w:val="0"/>
        <w:autoSpaceDN w:val="0"/>
        <w:adjustRightInd w:val="0"/>
      </w:pPr>
    </w:p>
    <w:p w:rsidR="00160C4F" w:rsidRDefault="00160C4F" w:rsidP="00CB66DD">
      <w:pPr>
        <w:autoSpaceDE w:val="0"/>
        <w:autoSpaceDN w:val="0"/>
        <w:adjustRightInd w:val="0"/>
        <w:sectPr w:rsidR="00160C4F" w:rsidSect="007D394A">
          <w:headerReference w:type="default" r:id="rId21"/>
          <w:pgSz w:w="12240" w:h="15840" w:code="1"/>
          <w:pgMar w:top="1440" w:right="1440" w:bottom="1440" w:left="1440" w:header="720" w:footer="720" w:gutter="0"/>
          <w:cols w:space="720"/>
          <w:docGrid w:linePitch="360"/>
        </w:sectPr>
      </w:pPr>
    </w:p>
    <w:p w:rsidR="00160C4F" w:rsidRPr="00F807F5" w:rsidRDefault="00F807F5" w:rsidP="00160C4F">
      <w:pPr>
        <w:autoSpaceDE w:val="0"/>
        <w:autoSpaceDN w:val="0"/>
        <w:adjustRightInd w:val="0"/>
        <w:jc w:val="center"/>
        <w:rPr>
          <w:szCs w:val="20"/>
          <w:lang w:val="en-US"/>
        </w:rPr>
      </w:pPr>
      <w:r w:rsidRPr="00F807F5">
        <w:rPr>
          <w:noProof/>
          <w:szCs w:val="20"/>
          <w:lang w:val="en-US" w:eastAsia="en-US" w:bidi="ar-SA"/>
        </w:rPr>
        <w:lastRenderedPageBreak/>
        <w:drawing>
          <wp:inline distT="0" distB="0" distL="0" distR="0">
            <wp:extent cx="6855418" cy="8442960"/>
            <wp:effectExtent l="19050" t="0" r="2582"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6858000" cy="8446141"/>
                    </a:xfrm>
                    <a:prstGeom prst="rect">
                      <a:avLst/>
                    </a:prstGeom>
                    <a:noFill/>
                    <a:ln w="9525">
                      <a:noFill/>
                      <a:miter lim="800000"/>
                      <a:headEnd/>
                      <a:tailEnd/>
                    </a:ln>
                  </pic:spPr>
                </pic:pic>
              </a:graphicData>
            </a:graphic>
          </wp:inline>
        </w:drawing>
      </w:r>
    </w:p>
    <w:p w:rsidR="00B70B50" w:rsidRPr="00B70B50" w:rsidRDefault="00B70B50" w:rsidP="00B70B50">
      <w:pPr>
        <w:jc w:val="center"/>
        <w:rPr>
          <w:color w:val="FFFFFF" w:themeColor="background1"/>
          <w:sz w:val="16"/>
          <w:szCs w:val="16"/>
        </w:rPr>
      </w:pPr>
      <w:bookmarkStart w:id="67" w:name="_Toc324171958"/>
      <w:bookmarkStart w:id="68" w:name="_Toc327979330"/>
      <w:r>
        <w:rPr>
          <w:color w:val="FFFFFF" w:themeColor="background1"/>
          <w:sz w:val="16"/>
        </w:rPr>
        <w:t xml:space="preserve">SAP Annexe </w:t>
      </w:r>
      <w:r w:rsidR="00BE3333" w:rsidRPr="00B70B50">
        <w:rPr>
          <w:color w:val="FFFFFF" w:themeColor="background1"/>
          <w:sz w:val="16"/>
          <w:szCs w:val="16"/>
        </w:rPr>
        <w:fldChar w:fldCharType="begin"/>
      </w:r>
      <w:r w:rsidRPr="00B70B50">
        <w:rPr>
          <w:color w:val="FFFFFF" w:themeColor="background1"/>
          <w:sz w:val="16"/>
          <w:szCs w:val="16"/>
        </w:rPr>
        <w:instrText xml:space="preserve"> SEQ CAS_Annex \* ARABIC </w:instrText>
      </w:r>
      <w:r w:rsidR="00BE3333" w:rsidRPr="00B70B50">
        <w:rPr>
          <w:color w:val="FFFFFF" w:themeColor="background1"/>
          <w:sz w:val="16"/>
          <w:szCs w:val="16"/>
        </w:rPr>
        <w:fldChar w:fldCharType="separate"/>
      </w:r>
      <w:r w:rsidR="002D5CED">
        <w:rPr>
          <w:noProof/>
          <w:color w:val="FFFFFF" w:themeColor="background1"/>
          <w:sz w:val="16"/>
          <w:szCs w:val="16"/>
        </w:rPr>
        <w:t>1</w:t>
      </w:r>
      <w:r w:rsidR="00BE3333" w:rsidRPr="00B70B50">
        <w:rPr>
          <w:color w:val="FFFFFF" w:themeColor="background1"/>
          <w:sz w:val="16"/>
          <w:szCs w:val="16"/>
        </w:rPr>
        <w:fldChar w:fldCharType="end"/>
      </w:r>
      <w:r>
        <w:rPr>
          <w:color w:val="FFFFFF" w:themeColor="background1"/>
          <w:sz w:val="16"/>
        </w:rPr>
        <w:t xml:space="preserve"> A2 – La Tunisie en bref</w:t>
      </w:r>
      <w:bookmarkEnd w:id="67"/>
      <w:bookmarkEnd w:id="68"/>
    </w:p>
    <w:p w:rsidR="00A12AA7" w:rsidRPr="00F807F5" w:rsidRDefault="00F807F5" w:rsidP="00A12AA7">
      <w:pPr>
        <w:jc w:val="center"/>
        <w:rPr>
          <w:lang w:val="en-US"/>
        </w:rPr>
      </w:pPr>
      <w:r w:rsidRPr="00F807F5">
        <w:rPr>
          <w:noProof/>
          <w:lang w:val="en-US" w:eastAsia="en-US" w:bidi="ar-SA"/>
        </w:rPr>
        <w:lastRenderedPageBreak/>
        <w:drawing>
          <wp:inline distT="0" distB="0" distL="0" distR="0">
            <wp:extent cx="6859960" cy="84810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6858000" cy="8478637"/>
                    </a:xfrm>
                    <a:prstGeom prst="rect">
                      <a:avLst/>
                    </a:prstGeom>
                    <a:noFill/>
                    <a:ln w="9525">
                      <a:noFill/>
                      <a:miter lim="800000"/>
                      <a:headEnd/>
                      <a:tailEnd/>
                    </a:ln>
                  </pic:spPr>
                </pic:pic>
              </a:graphicData>
            </a:graphic>
          </wp:inline>
        </w:drawing>
      </w:r>
    </w:p>
    <w:p w:rsidR="0086589D" w:rsidRDefault="0086589D" w:rsidP="00A12AA7">
      <w:pPr>
        <w:jc w:val="center"/>
      </w:pPr>
    </w:p>
    <w:p w:rsidR="00F807F5" w:rsidRPr="00F807F5" w:rsidRDefault="00F807F5" w:rsidP="00A12AA7">
      <w:pPr>
        <w:jc w:val="center"/>
        <w:rPr>
          <w:lang w:val="en-US"/>
        </w:rPr>
      </w:pPr>
      <w:r w:rsidRPr="00F807F5">
        <w:rPr>
          <w:noProof/>
          <w:lang w:val="en-US" w:eastAsia="en-US" w:bidi="ar-SA"/>
        </w:rPr>
        <w:lastRenderedPageBreak/>
        <w:drawing>
          <wp:inline distT="0" distB="0" distL="0" distR="0">
            <wp:extent cx="6722799" cy="8488680"/>
            <wp:effectExtent l="19050" t="0" r="185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6728460" cy="8495828"/>
                    </a:xfrm>
                    <a:prstGeom prst="rect">
                      <a:avLst/>
                    </a:prstGeom>
                    <a:noFill/>
                    <a:ln w="9525">
                      <a:noFill/>
                      <a:miter lim="800000"/>
                      <a:headEnd/>
                      <a:tailEnd/>
                    </a:ln>
                  </pic:spPr>
                </pic:pic>
              </a:graphicData>
            </a:graphic>
          </wp:inline>
        </w:drawing>
      </w:r>
    </w:p>
    <w:p w:rsidR="0086589D" w:rsidRPr="00F807F5" w:rsidRDefault="0086589D" w:rsidP="00A12AA7">
      <w:pPr>
        <w:jc w:val="center"/>
        <w:rPr>
          <w:lang w:val="en-US"/>
        </w:rPr>
        <w:sectPr w:rsidR="0086589D" w:rsidRPr="00F807F5" w:rsidSect="007D394A">
          <w:headerReference w:type="default" r:id="rId25"/>
          <w:pgSz w:w="12240" w:h="15840" w:code="1"/>
          <w:pgMar w:top="720" w:right="720" w:bottom="720" w:left="720" w:header="720" w:footer="720" w:gutter="0"/>
          <w:cols w:space="720"/>
          <w:docGrid w:linePitch="360"/>
        </w:sectPr>
      </w:pPr>
    </w:p>
    <w:p w:rsidR="00954BEA" w:rsidRPr="00F5681C" w:rsidRDefault="00954BEA" w:rsidP="00387D57">
      <w:pPr>
        <w:jc w:val="center"/>
        <w:rPr>
          <w:rFonts w:ascii="Times New Roman" w:hAnsi="Times New Roman"/>
          <w:b/>
          <w:sz w:val="22"/>
          <w:szCs w:val="22"/>
        </w:rPr>
      </w:pPr>
      <w:r>
        <w:rPr>
          <w:rFonts w:ascii="Times New Roman" w:hAnsi="Times New Roman"/>
          <w:b/>
          <w:sz w:val="22"/>
        </w:rPr>
        <w:lastRenderedPageBreak/>
        <w:t>Tunisie</w:t>
      </w:r>
    </w:p>
    <w:p w:rsidR="00954BEA" w:rsidRPr="00A63063" w:rsidRDefault="00E33AE4" w:rsidP="00D43382">
      <w:pPr>
        <w:pStyle w:val="Caption"/>
        <w:rPr>
          <w:noProof/>
        </w:rPr>
      </w:pPr>
      <w:bookmarkStart w:id="69" w:name="_Toc324171959"/>
      <w:bookmarkStart w:id="70" w:name="_Toc327979331"/>
      <w:r>
        <w:t xml:space="preserve">SAP Annexe </w:t>
      </w:r>
      <w:r w:rsidR="00BE3333" w:rsidRPr="00D16B44">
        <w:rPr>
          <w:color w:val="FFFFFF" w:themeColor="background1"/>
        </w:rPr>
        <w:fldChar w:fldCharType="begin"/>
      </w:r>
      <w:r w:rsidR="00902E50" w:rsidRPr="00D16B44">
        <w:rPr>
          <w:color w:val="FFFFFF" w:themeColor="background1"/>
        </w:rPr>
        <w:instrText xml:space="preserve"> SEQ CAS_Annex \* ARABIC </w:instrText>
      </w:r>
      <w:r w:rsidR="00BE3333" w:rsidRPr="00D16B44">
        <w:rPr>
          <w:color w:val="FFFFFF" w:themeColor="background1"/>
        </w:rPr>
        <w:fldChar w:fldCharType="separate"/>
      </w:r>
      <w:r w:rsidR="002D5CED">
        <w:rPr>
          <w:noProof/>
          <w:color w:val="FFFFFF" w:themeColor="background1"/>
        </w:rPr>
        <w:t>2</w:t>
      </w:r>
      <w:r w:rsidR="00BE3333" w:rsidRPr="00D16B44">
        <w:rPr>
          <w:color w:val="FFFFFF" w:themeColor="background1"/>
        </w:rPr>
        <w:fldChar w:fldCharType="end"/>
      </w:r>
      <w:r>
        <w:t xml:space="preserve"> B2 : Sélection d'indicateurs* de gestion et de performance du portefeuille de la Banque</w:t>
      </w:r>
      <w:bookmarkEnd w:id="69"/>
      <w:bookmarkEnd w:id="70"/>
    </w:p>
    <w:p w:rsidR="00E33AE4" w:rsidRPr="00A63063" w:rsidRDefault="00F807F5" w:rsidP="00387D57">
      <w:pPr>
        <w:jc w:val="center"/>
        <w:rPr>
          <w:rFonts w:ascii="Times New Roman" w:hAnsi="Times New Roman"/>
          <w:noProof/>
          <w:sz w:val="22"/>
          <w:szCs w:val="22"/>
        </w:rPr>
      </w:pPr>
      <w:r>
        <w:rPr>
          <w:rFonts w:ascii="Times New Roman" w:hAnsi="Times New Roman"/>
          <w:noProof/>
          <w:sz w:val="22"/>
        </w:rPr>
        <w:t>Au 03/05</w:t>
      </w:r>
      <w:r w:rsidR="00954BEA">
        <w:rPr>
          <w:rFonts w:ascii="Times New Roman" w:hAnsi="Times New Roman"/>
          <w:noProof/>
          <w:sz w:val="22"/>
        </w:rPr>
        <w:t>/2012</w:t>
      </w:r>
    </w:p>
    <w:p w:rsidR="00940A8F" w:rsidRPr="00387D57" w:rsidRDefault="00940A8F" w:rsidP="00387D57">
      <w:pPr>
        <w:jc w:val="center"/>
        <w:rPr>
          <w:rFonts w:ascii="Times New Roman" w:hAnsi="Times New Roman"/>
        </w:rPr>
      </w:pPr>
    </w:p>
    <w:p w:rsidR="00DB0B8B" w:rsidRDefault="00F807F5" w:rsidP="00DB0B8B">
      <w:pPr>
        <w:jc w:val="center"/>
      </w:pPr>
      <w:r w:rsidRPr="00F807F5">
        <w:rPr>
          <w:noProof/>
          <w:lang w:val="en-US" w:eastAsia="en-US" w:bidi="ar-SA"/>
        </w:rPr>
        <w:drawing>
          <wp:inline distT="0" distB="0" distL="0" distR="0">
            <wp:extent cx="6858000" cy="4095106"/>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6858000" cy="4095106"/>
                    </a:xfrm>
                    <a:prstGeom prst="rect">
                      <a:avLst/>
                    </a:prstGeom>
                    <a:noFill/>
                    <a:ln w="9525">
                      <a:noFill/>
                      <a:miter lim="800000"/>
                      <a:headEnd/>
                      <a:tailEnd/>
                    </a:ln>
                  </pic:spPr>
                </pic:pic>
              </a:graphicData>
            </a:graphic>
          </wp:inline>
        </w:drawing>
      </w:r>
    </w:p>
    <w:p w:rsidR="0002623C" w:rsidRDefault="0002623C" w:rsidP="00DB0B8B">
      <w:pPr>
        <w:autoSpaceDE w:val="0"/>
        <w:autoSpaceDN w:val="0"/>
        <w:adjustRightInd w:val="0"/>
        <w:jc w:val="center"/>
        <w:sectPr w:rsidR="0002623C" w:rsidSect="007D394A">
          <w:headerReference w:type="default" r:id="rId27"/>
          <w:pgSz w:w="12240" w:h="15840" w:code="1"/>
          <w:pgMar w:top="720" w:right="720" w:bottom="720" w:left="720" w:header="720" w:footer="720" w:gutter="0"/>
          <w:cols w:space="720"/>
          <w:docGrid w:linePitch="360"/>
        </w:sectPr>
      </w:pPr>
    </w:p>
    <w:tbl>
      <w:tblPr>
        <w:tblW w:w="9832" w:type="dxa"/>
        <w:tblInd w:w="108" w:type="dxa"/>
        <w:tblLook w:val="04A0"/>
      </w:tblPr>
      <w:tblGrid>
        <w:gridCol w:w="256"/>
        <w:gridCol w:w="1218"/>
        <w:gridCol w:w="3757"/>
        <w:gridCol w:w="1288"/>
        <w:gridCol w:w="1539"/>
        <w:gridCol w:w="1774"/>
      </w:tblGrid>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9576" w:type="dxa"/>
            <w:gridSpan w:val="5"/>
            <w:tcBorders>
              <w:top w:val="nil"/>
              <w:left w:val="nil"/>
              <w:bottom w:val="nil"/>
              <w:right w:val="nil"/>
            </w:tcBorders>
            <w:shd w:val="clear" w:color="auto" w:fill="auto"/>
            <w:noWrap/>
            <w:vAlign w:val="bottom"/>
            <w:hideMark/>
          </w:tcPr>
          <w:p w:rsidR="00252B97" w:rsidRPr="00252B97" w:rsidRDefault="00252B97" w:rsidP="00252B97">
            <w:pPr>
              <w:jc w:val="center"/>
              <w:rPr>
                <w:rFonts w:ascii="Times New Roman" w:eastAsia="Times New Roman" w:hAnsi="Times New Roman"/>
                <w:b/>
                <w:bCs/>
                <w:sz w:val="20"/>
                <w:szCs w:val="20"/>
              </w:rPr>
            </w:pPr>
            <w:r>
              <w:rPr>
                <w:rFonts w:ascii="Times New Roman" w:hAnsi="Times New Roman"/>
                <w:b/>
                <w:sz w:val="20"/>
              </w:rPr>
              <w:t>TUNISIE</w:t>
            </w:r>
          </w:p>
        </w:tc>
      </w:tr>
      <w:tr w:rsidR="00252B97" w:rsidRPr="00252B97" w:rsidTr="00252B97">
        <w:trPr>
          <w:trHeight w:val="31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b/>
                <w:bCs/>
              </w:rPr>
            </w:pPr>
          </w:p>
        </w:tc>
        <w:tc>
          <w:tcPr>
            <w:tcW w:w="9576" w:type="dxa"/>
            <w:gridSpan w:val="5"/>
            <w:tcBorders>
              <w:top w:val="nil"/>
              <w:left w:val="nil"/>
              <w:bottom w:val="nil"/>
              <w:right w:val="nil"/>
            </w:tcBorders>
            <w:shd w:val="clear" w:color="auto" w:fill="auto"/>
            <w:noWrap/>
            <w:vAlign w:val="center"/>
            <w:hideMark/>
          </w:tcPr>
          <w:p w:rsidR="00252B97" w:rsidRPr="00252B97" w:rsidRDefault="00252B97" w:rsidP="00252B97">
            <w:pPr>
              <w:jc w:val="center"/>
              <w:rPr>
                <w:rFonts w:ascii="Times New Roman" w:eastAsia="Times New Roman" w:hAnsi="Times New Roman"/>
                <w:b/>
                <w:bCs/>
                <w:sz w:val="20"/>
                <w:szCs w:val="20"/>
              </w:rPr>
            </w:pPr>
            <w:r>
              <w:rPr>
                <w:rFonts w:ascii="Times New Roman" w:hAnsi="Times New Roman"/>
                <w:b/>
                <w:sz w:val="20"/>
              </w:rPr>
              <w:t>SAP Annexe B3 - Résumé du programme BIRD/IDA</w:t>
            </w:r>
          </w:p>
        </w:tc>
      </w:tr>
      <w:tr w:rsidR="00252B97" w:rsidRPr="00252B97" w:rsidTr="00252B97">
        <w:trPr>
          <w:trHeight w:val="31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b/>
                <w:bCs/>
              </w:rPr>
            </w:pPr>
          </w:p>
        </w:tc>
        <w:tc>
          <w:tcPr>
            <w:tcW w:w="9576" w:type="dxa"/>
            <w:gridSpan w:val="5"/>
            <w:tcBorders>
              <w:top w:val="nil"/>
              <w:left w:val="nil"/>
              <w:bottom w:val="nil"/>
              <w:right w:val="nil"/>
            </w:tcBorders>
            <w:shd w:val="clear" w:color="auto" w:fill="auto"/>
            <w:noWrap/>
            <w:vAlign w:val="center"/>
            <w:hideMark/>
          </w:tcPr>
          <w:p w:rsidR="00252B97" w:rsidRPr="00252B97" w:rsidRDefault="00252B97" w:rsidP="00252B97">
            <w:pPr>
              <w:jc w:val="center"/>
              <w:rPr>
                <w:rFonts w:ascii="Times New Roman" w:eastAsia="Times New Roman" w:hAnsi="Times New Roman"/>
                <w:b/>
                <w:bCs/>
                <w:sz w:val="16"/>
                <w:szCs w:val="16"/>
              </w:rPr>
            </w:pPr>
            <w:r>
              <w:rPr>
                <w:rFonts w:ascii="Times New Roman" w:hAnsi="Times New Roman"/>
                <w:b/>
                <w:sz w:val="16"/>
              </w:rPr>
              <w:t>Au 3 mai 2012</w:t>
            </w:r>
          </w:p>
        </w:tc>
      </w:tr>
      <w:tr w:rsidR="00252B97" w:rsidRPr="00252B97" w:rsidTr="00252B97">
        <w:trPr>
          <w:trHeight w:val="540"/>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single" w:sz="4" w:space="0" w:color="auto"/>
              <w:right w:val="nil"/>
            </w:tcBorders>
            <w:shd w:val="clear" w:color="auto" w:fill="auto"/>
            <w:noWrap/>
            <w:vAlign w:val="bottom"/>
            <w:hideMark/>
          </w:tcPr>
          <w:p w:rsidR="00252B97" w:rsidRPr="00252B97" w:rsidRDefault="00252B97" w:rsidP="00252B97">
            <w:pPr>
              <w:jc w:val="center"/>
              <w:rPr>
                <w:rFonts w:ascii="Arial" w:eastAsia="Times New Roman" w:hAnsi="Arial" w:cs="Arial"/>
                <w:b/>
                <w:bCs/>
                <w:sz w:val="20"/>
                <w:szCs w:val="20"/>
              </w:rPr>
            </w:pPr>
            <w:r>
              <w:rPr>
                <w:rFonts w:ascii="Arial" w:hAnsi="Arial"/>
                <w:b/>
                <w:sz w:val="20"/>
              </w:rPr>
              <w:t> </w:t>
            </w:r>
          </w:p>
        </w:tc>
        <w:tc>
          <w:tcPr>
            <w:tcW w:w="3757" w:type="dxa"/>
            <w:tcBorders>
              <w:top w:val="nil"/>
              <w:left w:val="nil"/>
              <w:bottom w:val="single" w:sz="4" w:space="0" w:color="auto"/>
              <w:right w:val="nil"/>
            </w:tcBorders>
            <w:shd w:val="clear" w:color="auto" w:fill="auto"/>
            <w:noWrap/>
            <w:vAlign w:val="bottom"/>
            <w:hideMark/>
          </w:tcPr>
          <w:p w:rsidR="00252B97" w:rsidRPr="00252B97" w:rsidRDefault="00252B97" w:rsidP="00252B97">
            <w:pPr>
              <w:jc w:val="center"/>
              <w:rPr>
                <w:rFonts w:ascii="Arial" w:eastAsia="Times New Roman" w:hAnsi="Arial" w:cs="Arial"/>
                <w:b/>
                <w:bCs/>
                <w:sz w:val="20"/>
                <w:szCs w:val="20"/>
              </w:rPr>
            </w:pPr>
            <w:r>
              <w:rPr>
                <w:rFonts w:ascii="Arial" w:hAnsi="Arial"/>
                <w:b/>
                <w:sz w:val="20"/>
              </w:rPr>
              <w:t> </w:t>
            </w:r>
          </w:p>
        </w:tc>
        <w:tc>
          <w:tcPr>
            <w:tcW w:w="1288" w:type="dxa"/>
            <w:tcBorders>
              <w:top w:val="nil"/>
              <w:left w:val="nil"/>
              <w:bottom w:val="single" w:sz="4" w:space="0" w:color="auto"/>
              <w:right w:val="nil"/>
            </w:tcBorders>
            <w:shd w:val="clear" w:color="auto" w:fill="auto"/>
            <w:noWrap/>
            <w:vAlign w:val="bottom"/>
            <w:hideMark/>
          </w:tcPr>
          <w:p w:rsidR="00252B97" w:rsidRPr="00252B97" w:rsidRDefault="00252B97" w:rsidP="00252B97">
            <w:pPr>
              <w:jc w:val="center"/>
              <w:rPr>
                <w:rFonts w:ascii="Arial" w:eastAsia="Times New Roman" w:hAnsi="Arial" w:cs="Arial"/>
                <w:b/>
                <w:bCs/>
                <w:sz w:val="20"/>
                <w:szCs w:val="20"/>
              </w:rPr>
            </w:pPr>
            <w:r>
              <w:rPr>
                <w:rFonts w:ascii="Arial" w:hAnsi="Arial"/>
                <w:b/>
                <w:sz w:val="20"/>
              </w:rPr>
              <w:t> </w:t>
            </w:r>
          </w:p>
        </w:tc>
        <w:tc>
          <w:tcPr>
            <w:tcW w:w="1539" w:type="dxa"/>
            <w:tcBorders>
              <w:top w:val="nil"/>
              <w:left w:val="nil"/>
              <w:bottom w:val="single" w:sz="4" w:space="0" w:color="auto"/>
              <w:right w:val="nil"/>
            </w:tcBorders>
            <w:shd w:val="clear" w:color="auto" w:fill="auto"/>
            <w:noWrap/>
            <w:vAlign w:val="bottom"/>
            <w:hideMark/>
          </w:tcPr>
          <w:p w:rsidR="00252B97" w:rsidRPr="00252B97" w:rsidRDefault="00252B97" w:rsidP="00252B97">
            <w:pPr>
              <w:jc w:val="center"/>
              <w:rPr>
                <w:rFonts w:ascii="Arial" w:eastAsia="Times New Roman" w:hAnsi="Arial" w:cs="Arial"/>
                <w:b/>
                <w:bCs/>
                <w:sz w:val="20"/>
                <w:szCs w:val="20"/>
              </w:rPr>
            </w:pPr>
            <w:r>
              <w:rPr>
                <w:rFonts w:ascii="Arial" w:hAnsi="Arial"/>
                <w:b/>
                <w:sz w:val="20"/>
              </w:rPr>
              <w:t> </w:t>
            </w:r>
          </w:p>
        </w:tc>
        <w:tc>
          <w:tcPr>
            <w:tcW w:w="1774" w:type="dxa"/>
            <w:tcBorders>
              <w:top w:val="nil"/>
              <w:left w:val="nil"/>
              <w:bottom w:val="single" w:sz="4" w:space="0" w:color="auto"/>
              <w:right w:val="nil"/>
            </w:tcBorders>
            <w:shd w:val="clear" w:color="auto" w:fill="auto"/>
            <w:noWrap/>
            <w:vAlign w:val="bottom"/>
            <w:hideMark/>
          </w:tcPr>
          <w:p w:rsidR="00252B97" w:rsidRPr="00252B97" w:rsidRDefault="00252B97" w:rsidP="00252B97">
            <w:pPr>
              <w:jc w:val="center"/>
              <w:rPr>
                <w:rFonts w:ascii="Arial" w:eastAsia="Times New Roman" w:hAnsi="Arial" w:cs="Arial"/>
                <w:b/>
                <w:bCs/>
                <w:sz w:val="20"/>
                <w:szCs w:val="20"/>
              </w:rPr>
            </w:pPr>
            <w:r>
              <w:rPr>
                <w:rFonts w:ascii="Arial" w:hAnsi="Arial"/>
                <w:b/>
                <w:sz w:val="20"/>
              </w:rPr>
              <w:t> </w:t>
            </w:r>
          </w:p>
        </w:tc>
      </w:tr>
      <w:tr w:rsidR="00252B97" w:rsidRPr="00252B97" w:rsidTr="00252B97">
        <w:trPr>
          <w:trHeight w:val="810"/>
        </w:trPr>
        <w:tc>
          <w:tcPr>
            <w:tcW w:w="256" w:type="dxa"/>
            <w:tcBorders>
              <w:top w:val="nil"/>
              <w:left w:val="nil"/>
              <w:bottom w:val="nil"/>
              <w:right w:val="nil"/>
            </w:tcBorders>
            <w:shd w:val="clear" w:color="auto" w:fill="auto"/>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single" w:sz="4" w:space="0" w:color="auto"/>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r>
              <w:rPr>
                <w:rFonts w:ascii="Arial" w:hAnsi="Arial"/>
                <w:i/>
                <w:sz w:val="18"/>
              </w:rPr>
              <w:t>Exercice</w:t>
            </w:r>
          </w:p>
        </w:tc>
        <w:tc>
          <w:tcPr>
            <w:tcW w:w="3757" w:type="dxa"/>
            <w:tcBorders>
              <w:top w:val="nil"/>
              <w:left w:val="nil"/>
              <w:bottom w:val="single" w:sz="4" w:space="0" w:color="auto"/>
              <w:right w:val="nil"/>
            </w:tcBorders>
            <w:shd w:val="clear" w:color="auto" w:fill="auto"/>
            <w:vAlign w:val="center"/>
            <w:hideMark/>
          </w:tcPr>
          <w:p w:rsidR="00252B97" w:rsidRPr="00252B97" w:rsidRDefault="00252B97" w:rsidP="00252B97">
            <w:pPr>
              <w:ind w:firstLineChars="100" w:firstLine="180"/>
              <w:rPr>
                <w:rFonts w:ascii="Arial" w:eastAsia="Times New Roman" w:hAnsi="Arial" w:cs="Arial"/>
                <w:i/>
                <w:iCs/>
                <w:sz w:val="18"/>
                <w:szCs w:val="18"/>
              </w:rPr>
            </w:pPr>
            <w:r>
              <w:rPr>
                <w:rFonts w:ascii="Arial" w:hAnsi="Arial"/>
                <w:i/>
                <w:sz w:val="18"/>
              </w:rPr>
              <w:t>Numéro d'identification du Projet :</w:t>
            </w:r>
          </w:p>
        </w:tc>
        <w:tc>
          <w:tcPr>
            <w:tcW w:w="1288" w:type="dxa"/>
            <w:tcBorders>
              <w:top w:val="nil"/>
              <w:left w:val="nil"/>
              <w:bottom w:val="single" w:sz="4" w:space="0" w:color="auto"/>
              <w:right w:val="nil"/>
            </w:tcBorders>
            <w:shd w:val="clear" w:color="auto" w:fill="auto"/>
            <w:vAlign w:val="center"/>
            <w:hideMark/>
          </w:tcPr>
          <w:p w:rsidR="00252B97" w:rsidRPr="00252B97" w:rsidRDefault="00252B97" w:rsidP="00252B97">
            <w:pPr>
              <w:ind w:firstLineChars="100" w:firstLine="180"/>
              <w:rPr>
                <w:rFonts w:ascii="Arial" w:eastAsia="Times New Roman" w:hAnsi="Arial" w:cs="Arial"/>
                <w:i/>
                <w:iCs/>
                <w:sz w:val="18"/>
                <w:szCs w:val="18"/>
              </w:rPr>
            </w:pPr>
            <w:r>
              <w:rPr>
                <w:rFonts w:ascii="Arial" w:hAnsi="Arial"/>
                <w:i/>
                <w:sz w:val="18"/>
              </w:rPr>
              <w:t>(USD millions)</w:t>
            </w:r>
          </w:p>
        </w:tc>
        <w:tc>
          <w:tcPr>
            <w:tcW w:w="1539" w:type="dxa"/>
            <w:tcBorders>
              <w:top w:val="nil"/>
              <w:left w:val="nil"/>
              <w:bottom w:val="single" w:sz="4" w:space="0" w:color="auto"/>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r>
              <w:rPr>
                <w:rFonts w:ascii="Arial" w:hAnsi="Arial"/>
                <w:i/>
                <w:sz w:val="18"/>
              </w:rPr>
              <w:t>Avantages stratégiques (E/M/F)</w:t>
            </w:r>
          </w:p>
        </w:tc>
        <w:tc>
          <w:tcPr>
            <w:tcW w:w="1774" w:type="dxa"/>
            <w:tcBorders>
              <w:top w:val="nil"/>
              <w:left w:val="nil"/>
              <w:bottom w:val="single" w:sz="4" w:space="0" w:color="auto"/>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r>
              <w:rPr>
                <w:rFonts w:ascii="Arial" w:hAnsi="Arial"/>
                <w:i/>
                <w:sz w:val="18"/>
              </w:rPr>
              <w:t>Risques de mise en œuvre (E/M/F)</w:t>
            </w:r>
          </w:p>
        </w:tc>
      </w:tr>
      <w:tr w:rsidR="00252B97" w:rsidRPr="00252B97" w:rsidTr="00252B97">
        <w:trPr>
          <w:trHeight w:val="195"/>
        </w:trPr>
        <w:tc>
          <w:tcPr>
            <w:tcW w:w="256" w:type="dxa"/>
            <w:tcBorders>
              <w:top w:val="nil"/>
              <w:left w:val="nil"/>
              <w:bottom w:val="nil"/>
              <w:right w:val="nil"/>
            </w:tcBorders>
            <w:shd w:val="clear" w:color="auto" w:fill="auto"/>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p>
        </w:tc>
        <w:tc>
          <w:tcPr>
            <w:tcW w:w="3757" w:type="dxa"/>
            <w:tcBorders>
              <w:top w:val="nil"/>
              <w:left w:val="nil"/>
              <w:bottom w:val="nil"/>
              <w:right w:val="nil"/>
            </w:tcBorders>
            <w:shd w:val="clear" w:color="auto" w:fill="auto"/>
            <w:vAlign w:val="center"/>
            <w:hideMark/>
          </w:tcPr>
          <w:p w:rsidR="00252B97" w:rsidRPr="00252B97" w:rsidRDefault="00252B97" w:rsidP="00252B97">
            <w:pPr>
              <w:ind w:firstLineChars="100" w:firstLine="180"/>
              <w:rPr>
                <w:rFonts w:ascii="Arial" w:eastAsia="Times New Roman" w:hAnsi="Arial" w:cs="Arial"/>
                <w:i/>
                <w:iCs/>
                <w:sz w:val="18"/>
                <w:szCs w:val="18"/>
              </w:rPr>
            </w:pPr>
          </w:p>
        </w:tc>
        <w:tc>
          <w:tcPr>
            <w:tcW w:w="1288" w:type="dxa"/>
            <w:tcBorders>
              <w:top w:val="nil"/>
              <w:left w:val="nil"/>
              <w:bottom w:val="nil"/>
              <w:right w:val="nil"/>
            </w:tcBorders>
            <w:shd w:val="clear" w:color="auto" w:fill="auto"/>
            <w:vAlign w:val="center"/>
            <w:hideMark/>
          </w:tcPr>
          <w:p w:rsidR="00252B97" w:rsidRPr="00252B97" w:rsidRDefault="00252B97" w:rsidP="00252B97">
            <w:pPr>
              <w:ind w:firstLineChars="100" w:firstLine="180"/>
              <w:rPr>
                <w:rFonts w:ascii="Arial" w:eastAsia="Times New Roman" w:hAnsi="Arial" w:cs="Arial"/>
                <w:i/>
                <w:iCs/>
                <w:sz w:val="18"/>
                <w:szCs w:val="18"/>
              </w:rPr>
            </w:pPr>
          </w:p>
        </w:tc>
        <w:tc>
          <w:tcPr>
            <w:tcW w:w="1539" w:type="dxa"/>
            <w:tcBorders>
              <w:top w:val="nil"/>
              <w:left w:val="nil"/>
              <w:bottom w:val="nil"/>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p>
        </w:tc>
        <w:tc>
          <w:tcPr>
            <w:tcW w:w="1774" w:type="dxa"/>
            <w:tcBorders>
              <w:top w:val="nil"/>
              <w:left w:val="nil"/>
              <w:bottom w:val="nil"/>
              <w:right w:val="nil"/>
            </w:tcBorders>
            <w:shd w:val="clear" w:color="auto" w:fill="auto"/>
            <w:vAlign w:val="center"/>
            <w:hideMark/>
          </w:tcPr>
          <w:p w:rsidR="00252B97" w:rsidRPr="00252B97" w:rsidRDefault="00252B97" w:rsidP="00252B97">
            <w:pPr>
              <w:jc w:val="center"/>
              <w:rPr>
                <w:rFonts w:ascii="Arial" w:eastAsia="Times New Roman" w:hAnsi="Arial" w:cs="Arial"/>
                <w:i/>
                <w:iCs/>
                <w:sz w:val="18"/>
                <w:szCs w:val="18"/>
              </w:rPr>
            </w:pP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2013-2014</w:t>
            </w: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PPD2 multisectoriel</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500,0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Export Development</w:t>
            </w:r>
            <w:r w:rsidR="006D6057">
              <w:rPr>
                <w:rFonts w:ascii="Arial" w:hAnsi="Arial"/>
                <w:sz w:val="16"/>
              </w:rPr>
              <w:t xml:space="preserve"> </w:t>
            </w:r>
            <w:r>
              <w:rPr>
                <w:rFonts w:ascii="Arial" w:hAnsi="Arial"/>
                <w:sz w:val="16"/>
              </w:rPr>
              <w:t>III</w:t>
            </w:r>
          </w:p>
        </w:tc>
        <w:tc>
          <w:tcPr>
            <w:tcW w:w="1288" w:type="dxa"/>
            <w:tcBorders>
              <w:top w:val="nil"/>
              <w:left w:val="nil"/>
              <w:bottom w:val="nil"/>
              <w:right w:val="nil"/>
            </w:tcBorders>
            <w:shd w:val="clear" w:color="auto" w:fill="auto"/>
            <w:noWrap/>
            <w:vAlign w:val="center"/>
            <w:hideMark/>
          </w:tcPr>
          <w:p w:rsidR="00252B97" w:rsidRPr="00252B97" w:rsidRDefault="00F807F5" w:rsidP="00252B97">
            <w:pPr>
              <w:ind w:firstLineChars="100" w:firstLine="160"/>
              <w:rPr>
                <w:rFonts w:ascii="Arial" w:eastAsia="Times New Roman" w:hAnsi="Arial" w:cs="Arial"/>
                <w:sz w:val="16"/>
                <w:szCs w:val="16"/>
              </w:rPr>
            </w:pPr>
            <w:r>
              <w:rPr>
                <w:rFonts w:ascii="Arial" w:hAnsi="Arial"/>
                <w:sz w:val="16"/>
              </w:rPr>
              <w:t xml:space="preserve"> 71</w:t>
            </w:r>
            <w:r w:rsidR="00252B97">
              <w:rPr>
                <w:rFonts w:ascii="Arial" w:hAnsi="Arial"/>
                <w:sz w:val="16"/>
              </w:rPr>
              <w:t>,0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Éducation pour l'emploi</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65,0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Développement urbain</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100,0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PPD3 multisectoriel</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500,0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Énergie solaire concentrée STEG</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35,0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000000" w:fill="FFFFFF"/>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Réutilisation des eaux usées</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50,0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Appui au secteur financier</w:t>
            </w: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 xml:space="preserve"> 100,0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p>
        </w:tc>
      </w:tr>
      <w:tr w:rsidR="00252B97" w:rsidRPr="00252B97" w:rsidTr="00252B97">
        <w:trPr>
          <w:trHeight w:val="25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Garantie sur base de politique</w:t>
            </w:r>
          </w:p>
        </w:tc>
        <w:tc>
          <w:tcPr>
            <w:tcW w:w="1288" w:type="dxa"/>
            <w:tcBorders>
              <w:top w:val="nil"/>
              <w:left w:val="nil"/>
              <w:bottom w:val="nil"/>
              <w:right w:val="nil"/>
            </w:tcBorders>
            <w:shd w:val="clear" w:color="auto" w:fill="auto"/>
            <w:noWrap/>
            <w:vAlign w:val="center"/>
            <w:hideMark/>
          </w:tcPr>
          <w:p w:rsidR="00252B97" w:rsidRPr="00252B97" w:rsidRDefault="00F807F5" w:rsidP="00252B97">
            <w:pPr>
              <w:ind w:firstLineChars="100" w:firstLine="160"/>
              <w:rPr>
                <w:rFonts w:ascii="Arial" w:eastAsia="Times New Roman" w:hAnsi="Arial" w:cs="Arial"/>
                <w:sz w:val="16"/>
                <w:szCs w:val="16"/>
              </w:rPr>
            </w:pPr>
            <w:r>
              <w:rPr>
                <w:rFonts w:ascii="Arial" w:hAnsi="Arial"/>
                <w:sz w:val="16"/>
              </w:rPr>
              <w:t xml:space="preserve"> 3</w:t>
            </w:r>
            <w:r w:rsidR="00252B97">
              <w:rPr>
                <w:rFonts w:ascii="Arial" w:hAnsi="Arial"/>
                <w:sz w:val="16"/>
              </w:rPr>
              <w:t>00,0</w:t>
            </w:r>
          </w:p>
        </w:tc>
        <w:tc>
          <w:tcPr>
            <w:tcW w:w="1539"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E</w:t>
            </w:r>
          </w:p>
        </w:tc>
        <w:tc>
          <w:tcPr>
            <w:tcW w:w="1774" w:type="dxa"/>
            <w:tcBorders>
              <w:top w:val="nil"/>
              <w:left w:val="nil"/>
              <w:bottom w:val="nil"/>
              <w:right w:val="nil"/>
            </w:tcBorders>
            <w:shd w:val="clear" w:color="auto" w:fill="auto"/>
            <w:noWrap/>
            <w:vAlign w:val="bottom"/>
            <w:hideMark/>
          </w:tcPr>
          <w:p w:rsidR="00252B97" w:rsidRPr="00252B97" w:rsidRDefault="00252B97" w:rsidP="00252B97">
            <w:pPr>
              <w:jc w:val="center"/>
              <w:rPr>
                <w:rFonts w:ascii="Arial" w:eastAsia="Times New Roman" w:hAnsi="Arial" w:cs="Arial"/>
                <w:sz w:val="16"/>
                <w:szCs w:val="16"/>
              </w:rPr>
            </w:pPr>
            <w:r>
              <w:rPr>
                <w:rFonts w:ascii="Arial" w:hAnsi="Arial"/>
                <w:sz w:val="16"/>
              </w:rPr>
              <w:t>M</w:t>
            </w:r>
          </w:p>
        </w:tc>
      </w:tr>
      <w:tr w:rsidR="00252B97" w:rsidRPr="00252B97" w:rsidTr="00252B97">
        <w:trPr>
          <w:trHeight w:val="28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121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3757"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1288" w:type="dxa"/>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p>
        </w:tc>
        <w:tc>
          <w:tcPr>
            <w:tcW w:w="1539" w:type="dxa"/>
            <w:tcBorders>
              <w:top w:val="nil"/>
              <w:left w:val="nil"/>
              <w:bottom w:val="nil"/>
              <w:right w:val="nil"/>
            </w:tcBorders>
            <w:shd w:val="clear" w:color="auto" w:fill="auto"/>
            <w:noWrap/>
            <w:vAlign w:val="center"/>
            <w:hideMark/>
          </w:tcPr>
          <w:p w:rsidR="00252B97" w:rsidRPr="00252B97" w:rsidRDefault="00252B97" w:rsidP="00252B97">
            <w:pPr>
              <w:rPr>
                <w:rFonts w:ascii="Arial" w:eastAsia="Times New Roman" w:hAnsi="Arial" w:cs="Arial"/>
              </w:rPr>
            </w:pPr>
          </w:p>
        </w:tc>
        <w:tc>
          <w:tcPr>
            <w:tcW w:w="1774"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r>
      <w:tr w:rsidR="00252B97" w:rsidRPr="00252B97" w:rsidTr="00252B97">
        <w:trPr>
          <w:trHeight w:val="285"/>
        </w:trPr>
        <w:tc>
          <w:tcPr>
            <w:tcW w:w="256"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c>
          <w:tcPr>
            <w:tcW w:w="4975" w:type="dxa"/>
            <w:gridSpan w:val="2"/>
            <w:tcBorders>
              <w:top w:val="nil"/>
              <w:left w:val="nil"/>
              <w:bottom w:val="nil"/>
              <w:right w:val="nil"/>
            </w:tcBorders>
            <w:shd w:val="clear" w:color="auto" w:fill="auto"/>
            <w:noWrap/>
            <w:vAlign w:val="center"/>
            <w:hideMark/>
          </w:tcPr>
          <w:p w:rsidR="00252B97" w:rsidRPr="00252B97" w:rsidRDefault="00252B97" w:rsidP="00252B97">
            <w:pPr>
              <w:ind w:firstLineChars="100" w:firstLine="160"/>
              <w:rPr>
                <w:rFonts w:ascii="Arial" w:eastAsia="Times New Roman" w:hAnsi="Arial" w:cs="Arial"/>
                <w:sz w:val="16"/>
                <w:szCs w:val="16"/>
              </w:rPr>
            </w:pPr>
            <w:r>
              <w:rPr>
                <w:rFonts w:ascii="Arial" w:hAnsi="Arial"/>
                <w:sz w:val="16"/>
              </w:rPr>
              <w:t>Résultat global</w:t>
            </w:r>
          </w:p>
        </w:tc>
        <w:tc>
          <w:tcPr>
            <w:tcW w:w="1288" w:type="dxa"/>
            <w:tcBorders>
              <w:top w:val="nil"/>
              <w:left w:val="nil"/>
              <w:bottom w:val="nil"/>
              <w:right w:val="nil"/>
            </w:tcBorders>
            <w:shd w:val="clear" w:color="auto" w:fill="auto"/>
            <w:noWrap/>
            <w:vAlign w:val="center"/>
            <w:hideMark/>
          </w:tcPr>
          <w:p w:rsidR="00252B97" w:rsidRPr="00252B97" w:rsidRDefault="00F807F5" w:rsidP="00252B97">
            <w:pPr>
              <w:ind w:firstLineChars="100" w:firstLine="161"/>
              <w:rPr>
                <w:rFonts w:ascii="Arial" w:eastAsia="Times New Roman" w:hAnsi="Arial" w:cs="Arial"/>
                <w:b/>
                <w:bCs/>
                <w:sz w:val="16"/>
                <w:szCs w:val="16"/>
              </w:rPr>
            </w:pPr>
            <w:r>
              <w:rPr>
                <w:rFonts w:ascii="Arial" w:hAnsi="Arial"/>
                <w:b/>
                <w:sz w:val="16"/>
              </w:rPr>
              <w:t xml:space="preserve"> 1 721</w:t>
            </w:r>
            <w:r w:rsidR="00252B97">
              <w:rPr>
                <w:rFonts w:ascii="Arial" w:hAnsi="Arial"/>
                <w:b/>
                <w:sz w:val="16"/>
              </w:rPr>
              <w:t>,0</w:t>
            </w:r>
          </w:p>
        </w:tc>
        <w:tc>
          <w:tcPr>
            <w:tcW w:w="1539" w:type="dxa"/>
            <w:tcBorders>
              <w:top w:val="nil"/>
              <w:left w:val="nil"/>
              <w:bottom w:val="nil"/>
              <w:right w:val="nil"/>
            </w:tcBorders>
            <w:shd w:val="clear" w:color="auto" w:fill="auto"/>
            <w:noWrap/>
            <w:vAlign w:val="center"/>
            <w:hideMark/>
          </w:tcPr>
          <w:p w:rsidR="00252B97" w:rsidRPr="00252B97" w:rsidRDefault="00252B97" w:rsidP="00252B97">
            <w:pPr>
              <w:rPr>
                <w:rFonts w:ascii="Arial" w:eastAsia="Times New Roman" w:hAnsi="Arial" w:cs="Arial"/>
              </w:rPr>
            </w:pPr>
          </w:p>
        </w:tc>
        <w:tc>
          <w:tcPr>
            <w:tcW w:w="1774" w:type="dxa"/>
            <w:tcBorders>
              <w:top w:val="nil"/>
              <w:left w:val="nil"/>
              <w:bottom w:val="nil"/>
              <w:right w:val="nil"/>
            </w:tcBorders>
            <w:shd w:val="clear" w:color="auto" w:fill="auto"/>
            <w:noWrap/>
            <w:vAlign w:val="bottom"/>
            <w:hideMark/>
          </w:tcPr>
          <w:p w:rsidR="00252B97" w:rsidRPr="00252B97" w:rsidRDefault="00252B97" w:rsidP="00252B97">
            <w:pPr>
              <w:rPr>
                <w:rFonts w:ascii="Arial" w:eastAsia="Times New Roman" w:hAnsi="Arial" w:cs="Arial"/>
                <w:sz w:val="20"/>
                <w:szCs w:val="20"/>
              </w:rPr>
            </w:pPr>
          </w:p>
        </w:tc>
      </w:tr>
    </w:tbl>
    <w:p w:rsidR="00F807F5" w:rsidRDefault="00F807F5" w:rsidP="00F807F5">
      <w:pPr>
        <w:ind w:firstLineChars="100" w:firstLine="160"/>
        <w:jc w:val="center"/>
        <w:rPr>
          <w:rFonts w:ascii="Arial" w:eastAsia="Times New Roman" w:hAnsi="Arial" w:cs="Arial"/>
          <w:sz w:val="16"/>
          <w:szCs w:val="16"/>
          <w:lang w:eastAsia="en-US" w:bidi="ar-SA"/>
        </w:rPr>
      </w:pPr>
    </w:p>
    <w:p w:rsidR="00F807F5" w:rsidRPr="00F807F5" w:rsidRDefault="00F807F5" w:rsidP="00F807F5">
      <w:pPr>
        <w:ind w:firstLineChars="100" w:firstLine="160"/>
        <w:rPr>
          <w:rFonts w:ascii="Arial" w:eastAsia="Times New Roman" w:hAnsi="Arial" w:cs="Arial"/>
          <w:sz w:val="16"/>
          <w:szCs w:val="16"/>
          <w:lang w:eastAsia="en-US" w:bidi="ar-SA"/>
        </w:rPr>
      </w:pPr>
      <w:r w:rsidRPr="00F807F5">
        <w:rPr>
          <w:rFonts w:ascii="Arial" w:eastAsia="Times New Roman" w:hAnsi="Arial" w:cs="Arial"/>
          <w:sz w:val="16"/>
          <w:szCs w:val="16"/>
          <w:lang w:eastAsia="en-US" w:bidi="ar-SA"/>
        </w:rPr>
        <w:t>E : Élevé ; M : Moyen ; F : Faible</w:t>
      </w:r>
    </w:p>
    <w:p w:rsidR="00E10D50" w:rsidRDefault="00E10D50" w:rsidP="00B70B50">
      <w:pPr>
        <w:pStyle w:val="Caption"/>
      </w:pPr>
    </w:p>
    <w:p w:rsidR="0002623C" w:rsidRPr="00B7215B" w:rsidRDefault="00B70B50" w:rsidP="00DB0B8B">
      <w:pPr>
        <w:autoSpaceDE w:val="0"/>
        <w:autoSpaceDN w:val="0"/>
        <w:adjustRightInd w:val="0"/>
        <w:jc w:val="center"/>
        <w:rPr>
          <w:color w:val="FFFFFF" w:themeColor="background1"/>
        </w:rPr>
      </w:pPr>
      <w:bookmarkStart w:id="71" w:name="_Toc324171960"/>
      <w:bookmarkStart w:id="72" w:name="_Toc327979332"/>
      <w:r>
        <w:rPr>
          <w:color w:val="FFFFFF" w:themeColor="background1"/>
        </w:rPr>
        <w:t xml:space="preserve">SAP Annexe </w:t>
      </w:r>
      <w:r w:rsidR="00BE3333" w:rsidRPr="00B7215B">
        <w:rPr>
          <w:color w:val="FFFFFF" w:themeColor="background1"/>
        </w:rPr>
        <w:fldChar w:fldCharType="begin"/>
      </w:r>
      <w:r w:rsidRPr="00B7215B">
        <w:rPr>
          <w:color w:val="FFFFFF" w:themeColor="background1"/>
        </w:rPr>
        <w:instrText xml:space="preserve"> SEQ CAS_Annex \* ARABIC </w:instrText>
      </w:r>
      <w:r w:rsidR="00BE3333" w:rsidRPr="00B7215B">
        <w:rPr>
          <w:color w:val="FFFFFF" w:themeColor="background1"/>
        </w:rPr>
        <w:fldChar w:fldCharType="separate"/>
      </w:r>
      <w:r w:rsidR="002D5CED">
        <w:rPr>
          <w:noProof/>
          <w:color w:val="FFFFFF" w:themeColor="background1"/>
        </w:rPr>
        <w:t>3</w:t>
      </w:r>
      <w:r w:rsidR="00BE3333" w:rsidRPr="00B7215B">
        <w:rPr>
          <w:color w:val="FFFFFF" w:themeColor="background1"/>
        </w:rPr>
        <w:fldChar w:fldCharType="end"/>
      </w:r>
      <w:r>
        <w:rPr>
          <w:color w:val="FFFFFF" w:themeColor="background1"/>
        </w:rPr>
        <w:t xml:space="preserve"> B3 : Synthèse du programme BIRD.</w:t>
      </w:r>
      <w:bookmarkEnd w:id="71"/>
      <w:bookmarkEnd w:id="72"/>
    </w:p>
    <w:p w:rsidR="0002623C" w:rsidRPr="00B70B50" w:rsidRDefault="0002623C" w:rsidP="00DB0B8B">
      <w:pPr>
        <w:autoSpaceDE w:val="0"/>
        <w:autoSpaceDN w:val="0"/>
        <w:adjustRightInd w:val="0"/>
        <w:jc w:val="center"/>
        <w:sectPr w:rsidR="0002623C" w:rsidRPr="00B70B50" w:rsidSect="007D394A">
          <w:headerReference w:type="default" r:id="rId28"/>
          <w:pgSz w:w="12240" w:h="15840" w:code="1"/>
          <w:pgMar w:top="720" w:right="720" w:bottom="720" w:left="720" w:header="720" w:footer="720" w:gutter="0"/>
          <w:cols w:space="720"/>
          <w:docGrid w:linePitch="360"/>
        </w:sectPr>
      </w:pPr>
    </w:p>
    <w:p w:rsidR="00941428" w:rsidRPr="00F5681C" w:rsidRDefault="007A68B9" w:rsidP="007A68B9">
      <w:pPr>
        <w:autoSpaceDE w:val="0"/>
        <w:autoSpaceDN w:val="0"/>
        <w:adjustRightInd w:val="0"/>
        <w:jc w:val="center"/>
        <w:rPr>
          <w:rFonts w:ascii="Times New Roman" w:hAnsi="Times New Roman"/>
          <w:b/>
        </w:rPr>
      </w:pPr>
      <w:r>
        <w:rPr>
          <w:rFonts w:ascii="Times New Roman" w:hAnsi="Times New Roman"/>
          <w:b/>
        </w:rPr>
        <w:lastRenderedPageBreak/>
        <w:t>Tunisie</w:t>
      </w:r>
    </w:p>
    <w:p w:rsidR="00AC7B2D" w:rsidRDefault="00AC7B2D" w:rsidP="00D43382">
      <w:pPr>
        <w:pStyle w:val="Caption"/>
      </w:pPr>
      <w:bookmarkStart w:id="73" w:name="_Toc324171961"/>
      <w:bookmarkStart w:id="74" w:name="_Toc327979333"/>
      <w:r>
        <w:t xml:space="preserve">SAP Annexe </w:t>
      </w:r>
      <w:r w:rsidR="00BE3333" w:rsidRPr="00D16B44">
        <w:rPr>
          <w:color w:val="FFFFFF" w:themeColor="background1"/>
        </w:rPr>
        <w:fldChar w:fldCharType="begin"/>
      </w:r>
      <w:r w:rsidR="00902E50" w:rsidRPr="00D16B44">
        <w:rPr>
          <w:color w:val="FFFFFF" w:themeColor="background1"/>
        </w:rPr>
        <w:instrText xml:space="preserve"> SEQ CAS_Annex \* ARABIC </w:instrText>
      </w:r>
      <w:r w:rsidR="00BE3333" w:rsidRPr="00D16B44">
        <w:rPr>
          <w:color w:val="FFFFFF" w:themeColor="background1"/>
        </w:rPr>
        <w:fldChar w:fldCharType="separate"/>
      </w:r>
      <w:r w:rsidR="002D5CED">
        <w:rPr>
          <w:noProof/>
          <w:color w:val="FFFFFF" w:themeColor="background1"/>
        </w:rPr>
        <w:t>4</w:t>
      </w:r>
      <w:r w:rsidR="00BE3333" w:rsidRPr="00D16B44">
        <w:rPr>
          <w:color w:val="FFFFFF" w:themeColor="background1"/>
        </w:rPr>
        <w:fldChar w:fldCharType="end"/>
      </w:r>
      <w:r>
        <w:t xml:space="preserve"> B4 : Résumé des services hors-prêt</w:t>
      </w:r>
      <w:bookmarkEnd w:id="73"/>
      <w:bookmarkEnd w:id="74"/>
    </w:p>
    <w:p w:rsidR="007A68B9" w:rsidRPr="00AC7B2D" w:rsidRDefault="00471E95" w:rsidP="00D43382">
      <w:pPr>
        <w:pStyle w:val="Caption"/>
      </w:pPr>
      <w:r>
        <w:t>Au 03/05</w:t>
      </w:r>
      <w:r w:rsidR="007A68B9">
        <w:t>/2012</w:t>
      </w:r>
    </w:p>
    <w:p w:rsidR="00941428" w:rsidRDefault="00941428" w:rsidP="00F143DE">
      <w:pPr>
        <w:autoSpaceDE w:val="0"/>
        <w:autoSpaceDN w:val="0"/>
        <w:adjustRightInd w:val="0"/>
      </w:pPr>
    </w:p>
    <w:p w:rsidR="00941428" w:rsidRDefault="00F807F5" w:rsidP="00F143DE">
      <w:pPr>
        <w:autoSpaceDE w:val="0"/>
        <w:autoSpaceDN w:val="0"/>
        <w:adjustRightInd w:val="0"/>
      </w:pPr>
      <w:r w:rsidRPr="00F807F5">
        <w:rPr>
          <w:noProof/>
          <w:lang w:val="en-US" w:eastAsia="en-US" w:bidi="ar-SA"/>
        </w:rPr>
        <w:drawing>
          <wp:inline distT="0" distB="0" distL="0" distR="0">
            <wp:extent cx="6858000" cy="614016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858000" cy="6140164"/>
                    </a:xfrm>
                    <a:prstGeom prst="rect">
                      <a:avLst/>
                    </a:prstGeom>
                    <a:noFill/>
                    <a:ln w="9525">
                      <a:noFill/>
                      <a:miter lim="800000"/>
                      <a:headEnd/>
                      <a:tailEnd/>
                    </a:ln>
                  </pic:spPr>
                </pic:pic>
              </a:graphicData>
            </a:graphic>
          </wp:inline>
        </w:drawing>
      </w:r>
    </w:p>
    <w:p w:rsidR="002D40D9" w:rsidRPr="00A63063" w:rsidRDefault="002D40D9" w:rsidP="00D43382">
      <w:pPr>
        <w:pStyle w:val="Caption"/>
      </w:pPr>
      <w:bookmarkStart w:id="75" w:name="_Toc324171962"/>
      <w:bookmarkStart w:id="76" w:name="_Toc327979334"/>
      <w:r>
        <w:lastRenderedPageBreak/>
        <w:t xml:space="preserve">SAP Annexe </w:t>
      </w:r>
      <w:r w:rsidR="00BE3333" w:rsidRPr="00D16B44">
        <w:rPr>
          <w:color w:val="FFFFFF" w:themeColor="background1"/>
        </w:rPr>
        <w:fldChar w:fldCharType="begin"/>
      </w:r>
      <w:r w:rsidR="00902E50" w:rsidRPr="00D16B44">
        <w:rPr>
          <w:color w:val="FFFFFF" w:themeColor="background1"/>
        </w:rPr>
        <w:instrText xml:space="preserve"> SEQ CAS_Annex \* ARABIC </w:instrText>
      </w:r>
      <w:r w:rsidR="00BE3333" w:rsidRPr="00D16B44">
        <w:rPr>
          <w:color w:val="FFFFFF" w:themeColor="background1"/>
        </w:rPr>
        <w:fldChar w:fldCharType="separate"/>
      </w:r>
      <w:r w:rsidR="002D5CED">
        <w:rPr>
          <w:noProof/>
          <w:color w:val="FFFFFF" w:themeColor="background1"/>
        </w:rPr>
        <w:t>5</w:t>
      </w:r>
      <w:r w:rsidR="00BE3333" w:rsidRPr="00D16B44">
        <w:rPr>
          <w:color w:val="FFFFFF" w:themeColor="background1"/>
        </w:rPr>
        <w:fldChar w:fldCharType="end"/>
      </w:r>
      <w:r>
        <w:t xml:space="preserve"> B6 : Tunisie — Indicateurs économiques clés</w:t>
      </w:r>
      <w:bookmarkEnd w:id="75"/>
      <w:bookmarkEnd w:id="76"/>
    </w:p>
    <w:p w:rsidR="002D40D9" w:rsidRDefault="002D40D9">
      <w:r>
        <w:rPr>
          <w:noProof/>
          <w:lang w:val="en-US" w:eastAsia="en-US" w:bidi="ar-SA"/>
        </w:rPr>
        <w:drawing>
          <wp:inline distT="0" distB="0" distL="0" distR="0">
            <wp:extent cx="6772275" cy="8191500"/>
            <wp:effectExtent l="19050" t="0" r="9525"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6772275" cy="8191500"/>
                    </a:xfrm>
                    <a:prstGeom prst="rect">
                      <a:avLst/>
                    </a:prstGeom>
                    <a:noFill/>
                    <a:ln w="9525">
                      <a:noFill/>
                      <a:miter lim="800000"/>
                      <a:headEnd/>
                      <a:tailEnd/>
                    </a:ln>
                  </pic:spPr>
                </pic:pic>
              </a:graphicData>
            </a:graphic>
          </wp:inline>
        </w:drawing>
      </w:r>
    </w:p>
    <w:p w:rsidR="004337CD" w:rsidRDefault="004337CD">
      <w:pPr>
        <w:sectPr w:rsidR="004337CD" w:rsidSect="007D394A">
          <w:headerReference w:type="default" r:id="rId31"/>
          <w:pgSz w:w="12240" w:h="15840" w:code="1"/>
          <w:pgMar w:top="720" w:right="720" w:bottom="720" w:left="720" w:header="720" w:footer="720" w:gutter="0"/>
          <w:cols w:space="720"/>
          <w:docGrid w:linePitch="360"/>
        </w:sectPr>
      </w:pPr>
    </w:p>
    <w:p w:rsidR="00ED2A10" w:rsidRPr="00A63063" w:rsidRDefault="00ED2A10" w:rsidP="00ED2A10">
      <w:pPr>
        <w:autoSpaceDE w:val="0"/>
        <w:autoSpaceDN w:val="0"/>
        <w:adjustRightInd w:val="0"/>
        <w:jc w:val="center"/>
        <w:rPr>
          <w:rFonts w:ascii="Times New Roman" w:hAnsi="Times New Roman"/>
          <w:noProof/>
          <w:sz w:val="22"/>
        </w:rPr>
      </w:pPr>
      <w:r>
        <w:rPr>
          <w:rFonts w:ascii="Times New Roman" w:hAnsi="Times New Roman"/>
          <w:noProof/>
          <w:sz w:val="22"/>
        </w:rPr>
        <w:lastRenderedPageBreak/>
        <w:t>SAP Annexe</w:t>
      </w:r>
      <w:r w:rsidR="006D6057">
        <w:rPr>
          <w:rFonts w:ascii="Times New Roman" w:hAnsi="Times New Roman"/>
          <w:noProof/>
          <w:sz w:val="22"/>
        </w:rPr>
        <w:t xml:space="preserve"> </w:t>
      </w:r>
      <w:r>
        <w:rPr>
          <w:rFonts w:ascii="Times New Roman" w:hAnsi="Times New Roman"/>
          <w:noProof/>
          <w:sz w:val="22"/>
        </w:rPr>
        <w:t>B6 : Tunisie — Indicateurs économiques clés (suite)</w:t>
      </w:r>
    </w:p>
    <w:p w:rsidR="00283444" w:rsidRDefault="00283444" w:rsidP="00F143DE">
      <w:pPr>
        <w:autoSpaceDE w:val="0"/>
        <w:autoSpaceDN w:val="0"/>
        <w:adjustRightInd w:val="0"/>
      </w:pPr>
    </w:p>
    <w:p w:rsidR="00283444" w:rsidRDefault="009D3F21" w:rsidP="00F143DE">
      <w:pPr>
        <w:autoSpaceDE w:val="0"/>
        <w:autoSpaceDN w:val="0"/>
        <w:adjustRightInd w:val="0"/>
      </w:pPr>
      <w:r>
        <w:rPr>
          <w:noProof/>
          <w:lang w:val="en-US" w:eastAsia="en-US" w:bidi="ar-SA"/>
        </w:rPr>
        <w:drawing>
          <wp:inline distT="0" distB="0" distL="0" distR="0">
            <wp:extent cx="6858000" cy="53864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6858000" cy="5386445"/>
                    </a:xfrm>
                    <a:prstGeom prst="rect">
                      <a:avLst/>
                    </a:prstGeom>
                    <a:noFill/>
                    <a:ln w="9525">
                      <a:noFill/>
                      <a:miter lim="800000"/>
                      <a:headEnd/>
                      <a:tailEnd/>
                    </a:ln>
                  </pic:spPr>
                </pic:pic>
              </a:graphicData>
            </a:graphic>
          </wp:inline>
        </w:drawing>
      </w:r>
    </w:p>
    <w:p w:rsidR="00283444" w:rsidRDefault="00283444" w:rsidP="00F143DE">
      <w:pPr>
        <w:autoSpaceDE w:val="0"/>
        <w:autoSpaceDN w:val="0"/>
        <w:adjustRightInd w:val="0"/>
      </w:pPr>
    </w:p>
    <w:p w:rsidR="00283444" w:rsidRDefault="00283444" w:rsidP="00F143DE">
      <w:pPr>
        <w:autoSpaceDE w:val="0"/>
        <w:autoSpaceDN w:val="0"/>
        <w:adjustRightInd w:val="0"/>
        <w:sectPr w:rsidR="00283444" w:rsidSect="007D394A">
          <w:pgSz w:w="12240" w:h="15840" w:code="1"/>
          <w:pgMar w:top="720" w:right="720" w:bottom="720" w:left="720" w:header="720" w:footer="720" w:gutter="0"/>
          <w:cols w:space="720"/>
          <w:docGrid w:linePitch="360"/>
        </w:sectPr>
      </w:pPr>
    </w:p>
    <w:p w:rsidR="00D43382" w:rsidRPr="000F2FFA" w:rsidRDefault="00D43382" w:rsidP="00D43382">
      <w:pPr>
        <w:autoSpaceDE w:val="0"/>
        <w:autoSpaceDN w:val="0"/>
        <w:adjustRightInd w:val="0"/>
        <w:jc w:val="center"/>
        <w:rPr>
          <w:rFonts w:ascii="Times New Roman" w:hAnsi="Times New Roman"/>
          <w:b/>
          <w:bCs/>
        </w:rPr>
      </w:pPr>
      <w:r>
        <w:rPr>
          <w:rFonts w:ascii="Times New Roman" w:hAnsi="Times New Roman"/>
          <w:b/>
        </w:rPr>
        <w:lastRenderedPageBreak/>
        <w:t>Tunisie</w:t>
      </w:r>
    </w:p>
    <w:p w:rsidR="00C6369F" w:rsidRDefault="00C6369F" w:rsidP="00C6369F">
      <w:pPr>
        <w:pStyle w:val="Caption"/>
      </w:pPr>
      <w:bookmarkStart w:id="77" w:name="_Toc324171963"/>
      <w:bookmarkStart w:id="78" w:name="_Toc327979335"/>
      <w:r>
        <w:t xml:space="preserve">SAP Annexe </w:t>
      </w:r>
      <w:r w:rsidR="00BE3333" w:rsidRPr="00C6369F">
        <w:rPr>
          <w:color w:val="FFFFFF" w:themeColor="background1"/>
        </w:rPr>
        <w:fldChar w:fldCharType="begin"/>
      </w:r>
      <w:r w:rsidRPr="00C6369F">
        <w:rPr>
          <w:color w:val="FFFFFF" w:themeColor="background1"/>
        </w:rPr>
        <w:instrText xml:space="preserve"> SEQ CAS_Annex \* ARABIC </w:instrText>
      </w:r>
      <w:r w:rsidR="00BE3333" w:rsidRPr="00C6369F">
        <w:rPr>
          <w:color w:val="FFFFFF" w:themeColor="background1"/>
        </w:rPr>
        <w:fldChar w:fldCharType="separate"/>
      </w:r>
      <w:r w:rsidR="002D5CED">
        <w:rPr>
          <w:noProof/>
          <w:color w:val="FFFFFF" w:themeColor="background1"/>
        </w:rPr>
        <w:t>6</w:t>
      </w:r>
      <w:r w:rsidR="00BE3333" w:rsidRPr="00C6369F">
        <w:rPr>
          <w:color w:val="FFFFFF" w:themeColor="background1"/>
        </w:rPr>
        <w:fldChar w:fldCharType="end"/>
      </w:r>
      <w:r>
        <w:t xml:space="preserve"> B8 : Portefeuille BIRD</w:t>
      </w:r>
      <w:bookmarkEnd w:id="77"/>
      <w:bookmarkEnd w:id="78"/>
    </w:p>
    <w:p w:rsidR="00D43382" w:rsidRPr="00D43382" w:rsidRDefault="00D43382" w:rsidP="00D43382">
      <w:pPr>
        <w:jc w:val="center"/>
        <w:rPr>
          <w:rFonts w:ascii="Arial" w:eastAsia="Times New Roman" w:hAnsi="Arial" w:cs="Arial"/>
          <w:b/>
          <w:bCs/>
          <w:sz w:val="16"/>
          <w:szCs w:val="16"/>
        </w:rPr>
      </w:pPr>
      <w:r>
        <w:rPr>
          <w:rFonts w:ascii="Arial" w:hAnsi="Arial"/>
          <w:b/>
          <w:sz w:val="16"/>
        </w:rPr>
        <w:t>(au 03/05/2012)</w:t>
      </w:r>
    </w:p>
    <w:p w:rsidR="00D43382" w:rsidRPr="000F2FFA" w:rsidRDefault="00D43382" w:rsidP="00D43382">
      <w:pPr>
        <w:pStyle w:val="Caption"/>
      </w:pPr>
    </w:p>
    <w:p w:rsidR="00D43382" w:rsidRPr="00D43382" w:rsidRDefault="00F807F5" w:rsidP="00D43382">
      <w:r w:rsidRPr="00F807F5">
        <w:rPr>
          <w:noProof/>
          <w:lang w:val="en-US" w:eastAsia="en-US" w:bidi="ar-SA"/>
        </w:rPr>
        <w:drawing>
          <wp:inline distT="0" distB="0" distL="0" distR="0">
            <wp:extent cx="9144000" cy="562802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9144000" cy="5628024"/>
                    </a:xfrm>
                    <a:prstGeom prst="rect">
                      <a:avLst/>
                    </a:prstGeom>
                    <a:noFill/>
                    <a:ln w="9525">
                      <a:noFill/>
                      <a:miter lim="800000"/>
                      <a:headEnd/>
                      <a:tailEnd/>
                    </a:ln>
                  </pic:spPr>
                </pic:pic>
              </a:graphicData>
            </a:graphic>
          </wp:inline>
        </w:drawing>
      </w:r>
    </w:p>
    <w:p w:rsidR="00D43382" w:rsidRPr="00D43382" w:rsidRDefault="00D43382" w:rsidP="00D43382">
      <w:pPr>
        <w:sectPr w:rsidR="00D43382" w:rsidRPr="00D43382" w:rsidSect="007D394A">
          <w:headerReference w:type="default" r:id="rId34"/>
          <w:pgSz w:w="15840" w:h="12240" w:orient="landscape" w:code="1"/>
          <w:pgMar w:top="720" w:right="720" w:bottom="720" w:left="720" w:header="720" w:footer="720" w:gutter="0"/>
          <w:cols w:space="720"/>
          <w:docGrid w:linePitch="360"/>
        </w:sectPr>
      </w:pPr>
    </w:p>
    <w:p w:rsidR="00C6369F" w:rsidRDefault="00C6369F" w:rsidP="00C6369F">
      <w:pPr>
        <w:pStyle w:val="Caption"/>
      </w:pPr>
      <w:bookmarkStart w:id="79" w:name="_Toc324171964"/>
      <w:bookmarkStart w:id="80" w:name="_Toc327979336"/>
      <w:r>
        <w:lastRenderedPageBreak/>
        <w:t xml:space="preserve">SAP Annexe </w:t>
      </w:r>
      <w:r w:rsidR="00BE3333" w:rsidRPr="00C6369F">
        <w:rPr>
          <w:color w:val="FFFFFF" w:themeColor="background1"/>
        </w:rPr>
        <w:fldChar w:fldCharType="begin"/>
      </w:r>
      <w:r w:rsidRPr="00C6369F">
        <w:rPr>
          <w:color w:val="FFFFFF" w:themeColor="background1"/>
        </w:rPr>
        <w:instrText xml:space="preserve"> SEQ CAS_Annex \* ARABIC </w:instrText>
      </w:r>
      <w:r w:rsidR="00BE3333" w:rsidRPr="00C6369F">
        <w:rPr>
          <w:color w:val="FFFFFF" w:themeColor="background1"/>
        </w:rPr>
        <w:fldChar w:fldCharType="separate"/>
      </w:r>
      <w:r w:rsidR="002D5CED">
        <w:rPr>
          <w:noProof/>
          <w:color w:val="FFFFFF" w:themeColor="background1"/>
        </w:rPr>
        <w:t>7</w:t>
      </w:r>
      <w:r w:rsidR="00BE3333" w:rsidRPr="00C6369F">
        <w:rPr>
          <w:color w:val="FFFFFF" w:themeColor="background1"/>
        </w:rPr>
        <w:fldChar w:fldCharType="end"/>
      </w:r>
      <w:r>
        <w:t xml:space="preserve"> B8 : Portefeuille SFI</w:t>
      </w:r>
      <w:bookmarkEnd w:id="79"/>
      <w:bookmarkEnd w:id="80"/>
    </w:p>
    <w:p w:rsidR="00BB6A38" w:rsidRPr="00902E50" w:rsidRDefault="00BB6A38" w:rsidP="00F143DE">
      <w:pPr>
        <w:autoSpaceDE w:val="0"/>
        <w:autoSpaceDN w:val="0"/>
        <w:adjustRightInd w:val="0"/>
        <w:rPr>
          <w:noProof/>
        </w:rPr>
      </w:pPr>
    </w:p>
    <w:p w:rsidR="00BB6A38" w:rsidRDefault="00F807F5" w:rsidP="00F143DE">
      <w:pPr>
        <w:autoSpaceDE w:val="0"/>
        <w:autoSpaceDN w:val="0"/>
        <w:adjustRightInd w:val="0"/>
      </w:pPr>
      <w:r w:rsidRPr="00F807F5">
        <w:rPr>
          <w:noProof/>
          <w:lang w:val="en-US" w:eastAsia="en-US" w:bidi="ar-SA"/>
        </w:rPr>
        <w:drawing>
          <wp:inline distT="0" distB="0" distL="0" distR="0">
            <wp:extent cx="9022080" cy="356616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9022080" cy="3566160"/>
                    </a:xfrm>
                    <a:prstGeom prst="rect">
                      <a:avLst/>
                    </a:prstGeom>
                    <a:noFill/>
                    <a:ln w="9525">
                      <a:noFill/>
                      <a:miter lim="800000"/>
                      <a:headEnd/>
                      <a:tailEnd/>
                    </a:ln>
                  </pic:spPr>
                </pic:pic>
              </a:graphicData>
            </a:graphic>
          </wp:inline>
        </w:drawing>
      </w:r>
    </w:p>
    <w:p w:rsidR="00283444" w:rsidRDefault="00283444" w:rsidP="00F143DE">
      <w:pPr>
        <w:autoSpaceDE w:val="0"/>
        <w:autoSpaceDN w:val="0"/>
        <w:adjustRightInd w:val="0"/>
      </w:pPr>
    </w:p>
    <w:p w:rsidR="00D43382" w:rsidRDefault="00283444">
      <w:pPr>
        <w:sectPr w:rsidR="00D43382" w:rsidSect="007D394A">
          <w:pgSz w:w="15840" w:h="12240" w:orient="landscape" w:code="1"/>
          <w:pgMar w:top="720" w:right="720" w:bottom="720" w:left="720" w:header="720" w:footer="720" w:gutter="0"/>
          <w:cols w:space="720"/>
          <w:docGrid w:linePitch="360"/>
        </w:sectPr>
      </w:pPr>
      <w:r>
        <w:br w:type="page"/>
      </w:r>
    </w:p>
    <w:p w:rsidR="006B1B73" w:rsidRDefault="006B1B73" w:rsidP="00DA66F1">
      <w:pPr>
        <w:autoSpaceDE w:val="0"/>
        <w:autoSpaceDN w:val="0"/>
        <w:adjustRightInd w:val="0"/>
        <w:jc w:val="center"/>
      </w:pPr>
      <w:r>
        <w:rPr>
          <w:noProof/>
          <w:lang w:val="en-US" w:eastAsia="en-US" w:bidi="ar-SA"/>
        </w:rPr>
        <w:lastRenderedPageBreak/>
        <w:drawing>
          <wp:inline distT="0" distB="0" distL="0" distR="0">
            <wp:extent cx="6143625" cy="8491860"/>
            <wp:effectExtent l="19050" t="0" r="9525" b="0"/>
            <wp:docPr id="2" name="Picture 1" descr="Tunisia Map Cleared 3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a Map Cleared 33500.jpg"/>
                    <pic:cNvPicPr/>
                  </pic:nvPicPr>
                  <pic:blipFill>
                    <a:blip r:embed="rId36"/>
                    <a:stretch>
                      <a:fillRect/>
                    </a:stretch>
                  </pic:blipFill>
                  <pic:spPr>
                    <a:xfrm>
                      <a:off x="0" y="0"/>
                      <a:ext cx="6148674" cy="8498839"/>
                    </a:xfrm>
                    <a:prstGeom prst="rect">
                      <a:avLst/>
                    </a:prstGeom>
                  </pic:spPr>
                </pic:pic>
              </a:graphicData>
            </a:graphic>
          </wp:inline>
        </w:drawing>
      </w:r>
    </w:p>
    <w:sectPr w:rsidR="006B1B73" w:rsidSect="007D394A">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113" w:rsidRDefault="00426113" w:rsidP="00AC15D8">
      <w:r>
        <w:separator/>
      </w:r>
    </w:p>
  </w:endnote>
  <w:endnote w:type="continuationSeparator" w:id="0">
    <w:p w:rsidR="00426113" w:rsidRDefault="00426113" w:rsidP="00AC15D8">
      <w:r>
        <w:continuationSeparator/>
      </w:r>
    </w:p>
  </w:endnote>
  <w:endnote w:type="continuationNotice" w:id="1">
    <w:p w:rsidR="00426113" w:rsidRDefault="0042611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Default="00BE3333" w:rsidP="00167688">
    <w:pPr>
      <w:pStyle w:val="Footer"/>
      <w:framePr w:wrap="around" w:vAnchor="text" w:hAnchor="margin" w:xAlign="center" w:y="1"/>
      <w:rPr>
        <w:rStyle w:val="PageNumber"/>
        <w:rFonts w:eastAsia="MS Mincho"/>
      </w:rPr>
    </w:pPr>
    <w:r>
      <w:rPr>
        <w:rStyle w:val="PageNumber"/>
        <w:rFonts w:eastAsia="MS Mincho"/>
      </w:rPr>
      <w:fldChar w:fldCharType="begin"/>
    </w:r>
    <w:r w:rsidR="006E6192">
      <w:rPr>
        <w:rStyle w:val="PageNumber"/>
        <w:rFonts w:eastAsia="MS Mincho"/>
      </w:rPr>
      <w:instrText xml:space="preserve">PAGE  </w:instrText>
    </w:r>
    <w:r>
      <w:rPr>
        <w:rStyle w:val="PageNumber"/>
        <w:rFonts w:eastAsia="MS Mincho"/>
      </w:rPr>
      <w:fldChar w:fldCharType="end"/>
    </w:r>
  </w:p>
  <w:p w:rsidR="006E6192" w:rsidRDefault="006E6192" w:rsidP="0016768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5C6F45" w:rsidRDefault="006E6192" w:rsidP="00167688">
    <w:pPr>
      <w:pStyle w:val="Footer"/>
      <w:ind w:right="360"/>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5525"/>
      <w:docPartObj>
        <w:docPartGallery w:val="Page Numbers (Bottom of Page)"/>
        <w:docPartUnique/>
      </w:docPartObj>
    </w:sdtPr>
    <w:sdtContent>
      <w:p w:rsidR="006E6192" w:rsidRDefault="00BE3333">
        <w:pPr>
          <w:pStyle w:val="Footer"/>
          <w:jc w:val="center"/>
        </w:pPr>
        <w:r w:rsidRPr="007D394A">
          <w:rPr>
            <w:rFonts w:ascii="Times New Roman" w:hAnsi="Times New Roman"/>
            <w:sz w:val="22"/>
            <w:szCs w:val="22"/>
          </w:rPr>
          <w:fldChar w:fldCharType="begin"/>
        </w:r>
        <w:r w:rsidR="006E6192" w:rsidRPr="007D394A">
          <w:rPr>
            <w:rFonts w:ascii="Times New Roman" w:hAnsi="Times New Roman"/>
            <w:sz w:val="22"/>
            <w:szCs w:val="22"/>
          </w:rPr>
          <w:instrText xml:space="preserve"> PAGE   \* MERGEFORMAT </w:instrText>
        </w:r>
        <w:r w:rsidRPr="007D394A">
          <w:rPr>
            <w:rFonts w:ascii="Times New Roman" w:hAnsi="Times New Roman"/>
            <w:sz w:val="22"/>
            <w:szCs w:val="22"/>
          </w:rPr>
          <w:fldChar w:fldCharType="separate"/>
        </w:r>
        <w:r w:rsidR="00B14F44">
          <w:rPr>
            <w:rFonts w:ascii="Times New Roman" w:hAnsi="Times New Roman"/>
            <w:noProof/>
            <w:sz w:val="22"/>
            <w:szCs w:val="22"/>
          </w:rPr>
          <w:t>55</w:t>
        </w:r>
        <w:r w:rsidRPr="007D394A">
          <w:rPr>
            <w:rFonts w:ascii="Times New Roman" w:hAnsi="Times New Roman"/>
            <w:sz w:val="22"/>
            <w:szCs w:val="22"/>
          </w:rPr>
          <w:fldChar w:fldCharType="end"/>
        </w:r>
      </w:p>
    </w:sdtContent>
  </w:sdt>
  <w:p w:rsidR="006E6192" w:rsidRPr="005C6F45" w:rsidRDefault="006E6192" w:rsidP="00167688">
    <w:pPr>
      <w:pStyle w:val="Footer"/>
      <w:ind w:right="360"/>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113" w:rsidRDefault="00426113" w:rsidP="00AC15D8">
      <w:r>
        <w:separator/>
      </w:r>
    </w:p>
  </w:footnote>
  <w:footnote w:type="continuationSeparator" w:id="0">
    <w:p w:rsidR="00426113" w:rsidRDefault="00426113" w:rsidP="00AC15D8">
      <w:r>
        <w:continuationSeparator/>
      </w:r>
    </w:p>
  </w:footnote>
  <w:footnote w:type="continuationNotice" w:id="1">
    <w:p w:rsidR="00426113" w:rsidRDefault="00426113"/>
  </w:footnote>
  <w:footnote w:id="2">
    <w:p w:rsidR="006E6192" w:rsidRPr="003A2C3E" w:rsidRDefault="006E6192" w:rsidP="00E466FD">
      <w:pPr>
        <w:pStyle w:val="FootnoteText"/>
        <w:jc w:val="both"/>
        <w:rPr>
          <w:rFonts w:ascii="Times New Roman" w:hAnsi="Times New Roman"/>
        </w:rPr>
      </w:pPr>
      <w:r>
        <w:rPr>
          <w:rStyle w:val="FootnoteReference"/>
        </w:rPr>
        <w:footnoteRef/>
      </w:r>
      <w:r>
        <w:rPr>
          <w:rFonts w:ascii="Times New Roman" w:hAnsi="Times New Roman"/>
        </w:rPr>
        <w:t xml:space="preserve"> Le « Printemps arabe » qui a suivi les événements tunisiens s'est traduit notamment par le renversement des gouvernements en Égypte (février 2011), en Libye (août 2011) et au Yémen (février 2012) ; des changements de gouvernement et des réformes en Jordanie, au Koweït, au Liban, au Maroc et à Oman et par une agitation constante et la violence armée en Syrie.</w:t>
      </w:r>
    </w:p>
  </w:footnote>
  <w:footnote w:id="3">
    <w:p w:rsidR="006E6192" w:rsidRDefault="006E6192" w:rsidP="006D3731">
      <w:pPr>
        <w:pStyle w:val="FootnoteText"/>
        <w:jc w:val="both"/>
      </w:pPr>
      <w:r>
        <w:rPr>
          <w:rStyle w:val="FootnoteReference"/>
          <w:rFonts w:ascii="Times New Roman" w:hAnsi="Times New Roman"/>
        </w:rPr>
        <w:footnoteRef/>
      </w:r>
      <w:r>
        <w:rPr>
          <w:rFonts w:ascii="Times New Roman" w:hAnsi="Times New Roman"/>
        </w:rPr>
        <w:t xml:space="preserve"> Dans le présent document, le terme « Gouvernement intérimaire » désigne le Gouvernement nommé immédiatement après la révolution de février 2011 ; et « le Gouvernement de l'Assemblée constituante » désigne le Gouvernement nommé par l'Assemblée constituante élue le 23 octobre 2011. </w:t>
      </w:r>
    </w:p>
  </w:footnote>
  <w:footnote w:id="4">
    <w:p w:rsidR="006E6192" w:rsidRPr="00B030F6" w:rsidRDefault="006E6192" w:rsidP="0060242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RNB par habitant, en USD courants, méthode Atlas</w:t>
      </w:r>
    </w:p>
  </w:footnote>
  <w:footnote w:id="5">
    <w:p w:rsidR="006E6192" w:rsidRPr="007D28CF" w:rsidRDefault="006E6192" w:rsidP="00413627">
      <w:pPr>
        <w:pStyle w:val="FootnoteText"/>
        <w:jc w:val="both"/>
        <w:rPr>
          <w:rFonts w:ascii="Times New Roman" w:hAnsi="Times New Roman"/>
          <w:szCs w:val="18"/>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Revue des politiques de développement : Vers une croissance tirée par l'innovation</w:t>
      </w:r>
      <w:r>
        <w:rPr>
          <w:rFonts w:ascii="Times New Roman" w:hAnsi="Times New Roman"/>
        </w:rPr>
        <w:t xml:space="preserve">. Rapport n° 50847-TN. Banque mondiale, 2010. </w:t>
      </w:r>
    </w:p>
  </w:footnote>
  <w:footnote w:id="6">
    <w:p w:rsidR="006E6192" w:rsidRPr="00FD0BBB" w:rsidRDefault="006E6192" w:rsidP="0041362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Tunisie : Changes and Challenges of Political Transition</w:t>
      </w:r>
      <w:r>
        <w:rPr>
          <w:rFonts w:ascii="Times New Roman" w:hAnsi="Times New Roman"/>
        </w:rPr>
        <w:t>, MEDPRO Rapport technique n° 3, mai 2011.</w:t>
      </w:r>
    </w:p>
  </w:footnote>
  <w:footnote w:id="7">
    <w:p w:rsidR="006E6192" w:rsidRPr="000236CB" w:rsidRDefault="006E6192" w:rsidP="00413627">
      <w:pPr>
        <w:pStyle w:val="FootnoteText"/>
        <w:jc w:val="both"/>
        <w:rPr>
          <w:sz w:val="16"/>
        </w:rPr>
      </w:pPr>
      <w:r>
        <w:rPr>
          <w:rStyle w:val="FootnoteReference"/>
        </w:rPr>
        <w:footnoteRef/>
      </w:r>
      <w:r>
        <w:t xml:space="preserve"> </w:t>
      </w:r>
      <w:r>
        <w:rPr>
          <w:rFonts w:ascii="Times New Roman" w:hAnsi="Times New Roman"/>
        </w:rPr>
        <w:t>Toutefois, la commission électorale indépendante a invalidé des votes correspondant à 7 sièges attribués au parti Aridha Chaabia, au motif qu'il avait dépassé les limites des dépenses de campagne électorale (il a conservé 19 de ses 26 sièges).</w:t>
      </w:r>
    </w:p>
  </w:footnote>
  <w:footnote w:id="8">
    <w:p w:rsidR="006E6192" w:rsidRDefault="006E6192" w:rsidP="00413627">
      <w:pPr>
        <w:pStyle w:val="FootnoteText"/>
        <w:jc w:val="both"/>
      </w:pPr>
      <w:r>
        <w:rPr>
          <w:rStyle w:val="FootnoteReference"/>
        </w:rPr>
        <w:footnoteRef/>
      </w:r>
      <w:r>
        <w:rPr>
          <w:rFonts w:ascii="Times New Roman" w:hAnsi="Times New Roman"/>
        </w:rPr>
        <w:t>Les réserves officielles brutes ont diminué, passant de 11,1 milliards de dollars à la fin 2009 à 9,6 milliards de dollars à la fin décembre 2010, ce qui représente encore un niveau confortable d'environ cinq mois d'importations.</w:t>
      </w:r>
    </w:p>
  </w:footnote>
  <w:footnote w:id="9">
    <w:p w:rsidR="006E6192" w:rsidRPr="005017CD" w:rsidRDefault="006E6192" w:rsidP="00D71783">
      <w:pPr>
        <w:pStyle w:val="FootnoteText"/>
        <w:rPr>
          <w:rFonts w:ascii="Times New Roman" w:hAnsi="Times New Roman"/>
        </w:rPr>
      </w:pPr>
      <w:r>
        <w:rPr>
          <w:rStyle w:val="FootnoteReference"/>
          <w:rFonts w:ascii="Times New Roman" w:hAnsi="Times New Roman"/>
        </w:rPr>
        <w:footnoteRef/>
      </w:r>
      <w:r>
        <w:rPr>
          <w:rFonts w:ascii="Times New Roman" w:hAnsi="Times New Roman"/>
        </w:rPr>
        <w:t>Les Tunisiens a accueilli plus de 50 000 Libyens déplacés au cours du conflit avec l'aide d'agences telles que le HCR.</w:t>
      </w:r>
    </w:p>
  </w:footnote>
  <w:footnote w:id="10">
    <w:p w:rsidR="006E6192" w:rsidRPr="005828BF" w:rsidRDefault="006E6192" w:rsidP="00051C2A">
      <w:pPr>
        <w:pStyle w:val="FootnoteText"/>
        <w:rPr>
          <w:rFonts w:ascii="Times New Roman" w:hAnsi="Times New Roman"/>
        </w:rPr>
      </w:pPr>
      <w:r>
        <w:rPr>
          <w:rStyle w:val="FootnoteReference"/>
        </w:rPr>
        <w:footnoteRef/>
      </w:r>
      <w:r>
        <w:rPr>
          <w:rFonts w:ascii="Times New Roman" w:hAnsi="Times New Roman"/>
        </w:rPr>
        <w:t>Avec ce programme de relance de l'économie, une augmentation du déficit budgétaire était prévue, passant de 2,5 % dans le budget initial à 4,8 % ; toutefois, des retards dans l'exécution budgétaire ont limité le déficit budgétaire à 3,6 % du PIB en 2011.</w:t>
      </w:r>
    </w:p>
  </w:footnote>
  <w:footnote w:id="11">
    <w:p w:rsidR="006E6192" w:rsidRPr="00FA5403" w:rsidRDefault="006E6192" w:rsidP="001302BD">
      <w:pPr>
        <w:autoSpaceDE w:val="0"/>
        <w:autoSpaceDN w:val="0"/>
        <w:adjustRightInd w:val="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20"/>
        </w:rPr>
        <w:t xml:space="preserve">Prêt à l’appui de la politique de développement (PPD) pour la gouvernance et les opportunités (GO), Document de programme, Rapport 61627-TN, Banque mondiale, 2011 ; Ministère de la Santé publique/UNICEF (2006), </w:t>
      </w:r>
      <w:r>
        <w:rPr>
          <w:rFonts w:ascii="Times New Roman" w:hAnsi="Times New Roman"/>
          <w:i/>
          <w:sz w:val="20"/>
        </w:rPr>
        <w:t>Multiple Indicator Cluster Survey (MICS3)</w:t>
      </w:r>
      <w:r>
        <w:rPr>
          <w:rFonts w:ascii="Times New Roman" w:hAnsi="Times New Roman"/>
          <w:sz w:val="20"/>
        </w:rPr>
        <w:t xml:space="preserve">, Tunisie. ; UNICEF (2009), </w:t>
      </w:r>
      <w:r>
        <w:rPr>
          <w:rFonts w:ascii="Times New Roman" w:hAnsi="Times New Roman"/>
          <w:i/>
          <w:sz w:val="20"/>
        </w:rPr>
        <w:t>State of the World’s Children Report</w:t>
      </w:r>
      <w:r>
        <w:rPr>
          <w:rFonts w:ascii="Times New Roman" w:hAnsi="Times New Roman"/>
          <w:sz w:val="20"/>
        </w:rPr>
        <w:t>, UNICEF, New York.</w:t>
      </w:r>
    </w:p>
  </w:footnote>
  <w:footnote w:id="12">
    <w:p w:rsidR="006E6192" w:rsidRPr="00EE0278" w:rsidRDefault="006E6192">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Revue des politiques de développement : Vers une croissance tirée par l'innovation</w:t>
      </w:r>
      <w:r>
        <w:rPr>
          <w:rFonts w:ascii="Times New Roman" w:hAnsi="Times New Roman"/>
        </w:rPr>
        <w:t>. Rapport n° 50847-TN. Banque mondiale, 2010.</w:t>
      </w:r>
    </w:p>
  </w:footnote>
  <w:footnote w:id="13">
    <w:p w:rsidR="006E6192" w:rsidRPr="00EA2367" w:rsidRDefault="006E6192" w:rsidP="00BB566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Les autres signataires comprennent l'Égypte, la Jordanie et le Maroc. </w:t>
      </w:r>
    </w:p>
  </w:footnote>
  <w:footnote w:id="14">
    <w:p w:rsidR="006E6192" w:rsidRPr="00695343" w:rsidRDefault="006E6192" w:rsidP="001302B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 Cadre de partenariat stratégique (CPS) pour la République tunisienne pour la période Ex. 10-13 » Rapport n° 50223 TUN,</w:t>
      </w:r>
    </w:p>
    <w:p w:rsidR="006E6192" w:rsidRPr="00695343" w:rsidRDefault="006E6192" w:rsidP="001302BD">
      <w:pPr>
        <w:pStyle w:val="FootnoteText"/>
        <w:jc w:val="both"/>
        <w:rPr>
          <w:rFonts w:ascii="Times New Roman" w:hAnsi="Times New Roman"/>
        </w:rPr>
      </w:pPr>
      <w:r>
        <w:rPr>
          <w:rFonts w:ascii="Times New Roman" w:hAnsi="Times New Roman"/>
        </w:rPr>
        <w:t xml:space="preserve"> 23 novembre 2009. </w:t>
      </w:r>
    </w:p>
  </w:footnote>
  <w:footnote w:id="15">
    <w:p w:rsidR="006E6192" w:rsidRPr="00EF2994" w:rsidRDefault="006E6192" w:rsidP="001302BD">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Les autorités ont également demandé une révision des paramètres de financement du pays afin de réduire le financement de contrepartie et ont fait financer à 100 % par la Banque toutes les dépenses des projets d'investissement. La demande fait l'objet d'une appréciation au cas par cas afin de s'assurer que des fonds suffisants sont disponibles pour mettre en œuvre les projets conformément aux objectifs de développement décrits dans les accords de prêt.</w:t>
      </w:r>
    </w:p>
  </w:footnote>
  <w:footnote w:id="16">
    <w:p w:rsidR="006E6192" w:rsidRDefault="006E619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Dans le moyen terme, la Tunisie aura besoin de s'engager dans un processus de réformes globales et politiquement sensibles du marché du travail, qui pourraient inclure : (i) une révision du code du travail, (ii) une révision des systèmes de sécurité sociale (y compris les niches fiscales, les cotisations sociales et les retraites), (iii) la libéralisation des professions, (iv) l'introduction d'une approche du cycle de vie qui se concentre sur la protection des travailleurs (plus de protection sociale, une assurance-chômage, et des mesures actives d'aide aux travailleurs pendant les périodes de transition plutôt que des protections d'emplois particuliers), et (v) la libéralisation de l'intermédiation privée.</w:t>
      </w:r>
    </w:p>
  </w:footnote>
  <w:footnote w:id="17">
    <w:p w:rsidR="006E6192" w:rsidRPr="00D84103" w:rsidRDefault="006E6192" w:rsidP="003E7661">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Le programme AMAL instauré après la révolution pour offrir une assistance financière limitée et des services d'appui à la recherche d'emploi aux diplômés chômeurs propose essentiellement une aide en espèces, avec des conséquences importantes pour le budget du pays, et n'a pas réussi à fournir l'encadrement, la formation et les services de placement qui devaient accompagner le programme. Le Gouvernement doit élaborer une stratégie (assortie d'une campagne de communication bien conçue) pour fixer une limite de durée du programme AMAL Les réformes qui sont introduites dans le programme devront comprendre : un resserrement des critères d'éligibilité, une limitation du programme en le réservant au cadre urbain, une réduction de la rémunération, des obligations de recherche active, et l'établissement d'une limite de durée.</w:t>
      </w:r>
    </w:p>
  </w:footnote>
  <w:footnote w:id="18">
    <w:p w:rsidR="006E6192" w:rsidRPr="009457A4" w:rsidRDefault="006E6192" w:rsidP="006E0203">
      <w:pPr>
        <w:pStyle w:val="FootnoteText"/>
      </w:pPr>
      <w:r>
        <w:rPr>
          <w:rStyle w:val="FootnoteReference"/>
        </w:rPr>
        <w:footnoteRef/>
      </w:r>
      <w:r>
        <w:t xml:space="preserve"> </w:t>
      </w:r>
      <w:r>
        <w:rPr>
          <w:rFonts w:ascii="Times New Roman" w:hAnsi="Times New Roman"/>
          <w:color w:val="000000"/>
        </w:rPr>
        <w:t>La Banque a l'intention d'évaluer ces opérations pour déterminer si elles doivent être réorientées ou adaptées à de nouvelles priorités par le biais d'une CPPR prévue pour la mi-2012.</w:t>
      </w:r>
    </w:p>
  </w:footnote>
  <w:footnote w:id="19">
    <w:p w:rsidR="006E6192" w:rsidRPr="00B708BB" w:rsidRDefault="006E6192" w:rsidP="00034377">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La Banque pourrait tirer parti des ressources du</w:t>
      </w:r>
      <w:r>
        <w:rPr>
          <w:rFonts w:ascii="Times New Roman" w:hAnsi="Times New Roman"/>
          <w:color w:val="000000"/>
        </w:rPr>
        <w:t xml:space="preserve"> Fonds pour les technologies propres</w:t>
      </w:r>
      <w:r>
        <w:rPr>
          <w:rFonts w:ascii="Times New Roman" w:hAnsi="Times New Roman"/>
        </w:rPr>
        <w:t xml:space="preserve"> pour développer une usine d'Énergie solaire concentrée (CSP) de </w:t>
      </w:r>
      <w:r>
        <w:rPr>
          <w:rFonts w:ascii="Times New Roman" w:hAnsi="Times New Roman"/>
          <w:color w:val="000000"/>
        </w:rPr>
        <w:t>50 MW</w:t>
      </w:r>
      <w:r>
        <w:rPr>
          <w:rFonts w:ascii="Times New Roman" w:hAnsi="Times New Roman"/>
        </w:rPr>
        <w:t xml:space="preserve"> en vue d'accroître la production d'électricité solaire et de réduire les émissions de gaz à effet de serre. Ce projet</w:t>
      </w:r>
      <w:r>
        <w:rPr>
          <w:rFonts w:ascii="Times New Roman" w:hAnsi="Times New Roman"/>
          <w:color w:val="000000"/>
        </w:rPr>
        <w:t xml:space="preserve"> aidera la Tunisie </w:t>
      </w:r>
      <w:r>
        <w:rPr>
          <w:rFonts w:ascii="Times New Roman" w:hAnsi="Times New Roman"/>
        </w:rPr>
        <w:t xml:space="preserve">à fournir des services énergétiques plus efficients et appuiera les compétences et emplois écologiques (le chiffre d'emplois potentiels à créer sera évalué lors de la préparation du projet). </w:t>
      </w:r>
      <w:r>
        <w:rPr>
          <w:rFonts w:ascii="Times New Roman" w:hAnsi="Times New Roman"/>
          <w:color w:val="000000"/>
        </w:rPr>
        <w:t>D</w:t>
      </w:r>
      <w:r>
        <w:rPr>
          <w:rFonts w:ascii="Times New Roman" w:hAnsi="Times New Roman"/>
        </w:rPr>
        <w:t>ans un contexte de rareté croissante de l'eau et face à la nécessité de soutenir l'emploi en milieu rural, la Banque pourrait financer une opération de Réutilisation des eaux usées traitées pour accroître durablement la productivité agricole et surmonter les déficits hydriques. En outre, un projet Écotourisme et conservation FEM-SFI pourrait contribuer à la conservation de la biodiversité désertique et à la durabilité des zones désertiques. Le projet piloterait une approche améliorée de la gestion des aires protégées intégrant un développement de l'écotourisme et un engagement communautaire. Ces opérations pourraient être lancées pendant la durée de la NSI et produiraient des résultats ultérieurement.</w:t>
      </w:r>
    </w:p>
  </w:footnote>
  <w:footnote w:id="20">
    <w:p w:rsidR="006E6192" w:rsidRPr="001E7847" w:rsidRDefault="006E6192" w:rsidP="00DA1DAE">
      <w:pPr>
        <w:pStyle w:val="FootnoteText"/>
        <w:jc w:val="both"/>
      </w:pPr>
      <w:r>
        <w:rPr>
          <w:rStyle w:val="FootnoteReference"/>
        </w:rPr>
        <w:footnoteRef/>
      </w:r>
      <w:r>
        <w:t xml:space="preserve"> </w:t>
      </w:r>
      <w:r>
        <w:rPr>
          <w:rFonts w:ascii="Times New Roman" w:hAnsi="Times New Roman"/>
        </w:rPr>
        <w:t xml:space="preserve">Ceci implique notamment la révision des cadres budgétaires et de contrôle interne, qui sont les leviers essentiels à la mise en œuvre de la politique de transparence et de responsabilité des nouvelles autorités dans l'administration publique. Les contrôles extérieurs doivent également être renforcés, et à cet égard, un appui sera fourni à la Cour des comptes de la Tunisie pour qu'elle s'acquitte efficacement de son mandat. </w:t>
      </w:r>
      <w:r>
        <w:rPr>
          <w:rFonts w:ascii="Times New Roman" w:hAnsi="Times New Roman"/>
          <w:color w:val="000000"/>
        </w:rPr>
        <w:t>Un nouveau système de comptabilité publique est également nécessaire permettant de fournir des informations financières plus rapidement et de manière plus transparente, incluant les dépenses publiques sous-nationales et les organismes publics autonomes (sécurité sociale, fonds de pension).</w:t>
      </w:r>
    </w:p>
  </w:footnote>
  <w:footnote w:id="21">
    <w:p w:rsidR="006E6192" w:rsidRPr="00DF6F76" w:rsidRDefault="006E6192" w:rsidP="00D0248B">
      <w:pPr>
        <w:pStyle w:val="ListParagraph"/>
        <w:tabs>
          <w:tab w:val="left" w:pos="810"/>
        </w:tabs>
        <w:autoSpaceDE w:val="0"/>
        <w:autoSpaceDN w:val="0"/>
        <w:adjustRightInd w:val="0"/>
        <w:ind w:left="0"/>
        <w:jc w:val="both"/>
        <w:rPr>
          <w:sz w:val="20"/>
          <w:szCs w:val="20"/>
        </w:rPr>
      </w:pPr>
      <w:r>
        <w:rPr>
          <w:rStyle w:val="FootnoteReference"/>
        </w:rPr>
        <w:footnoteRef/>
      </w:r>
      <w:r>
        <w:t xml:space="preserve"> </w:t>
      </w:r>
      <w:r>
        <w:rPr>
          <w:rFonts w:ascii="Times New Roman" w:hAnsi="Times New Roman"/>
          <w:sz w:val="20"/>
        </w:rPr>
        <w:t>La BAD, dont le siège est à Tunis, a annoncé en février 2012 une nouvelle stratégie intérimaire sur deux ans pour la Tunisie. Elle se concentre sur la gouvernance, les transformations économiques, l'accès aux infrastructures de base et aux services sociaux dans les régions accusant du retard, et la création d'emplois dans des régions défavorisées du pays. Le programme prévoit une combinaison d'appui budgétaire et de prêts d'investissement, ainsi qu'un appui analytique.</w:t>
      </w:r>
    </w:p>
  </w:footnote>
  <w:footnote w:id="22">
    <w:p w:rsidR="006E6192" w:rsidRPr="00C00CE0" w:rsidRDefault="006E6192" w:rsidP="00DF125B">
      <w:pPr>
        <w:autoSpaceDE w:val="0"/>
        <w:autoSpaceDN w:val="0"/>
        <w:adjustRightInd w:val="0"/>
        <w:jc w:val="both"/>
        <w:rPr>
          <w:rFonts w:ascii="Times New Roman" w:hAnsi="Times New Roman"/>
          <w:sz w:val="20"/>
          <w:szCs w:val="20"/>
        </w:rPr>
      </w:pPr>
      <w:r>
        <w:rPr>
          <w:rStyle w:val="FootnoteReference"/>
        </w:rPr>
        <w:footnoteRef/>
      </w:r>
      <w:r>
        <w:t xml:space="preserve"> </w:t>
      </w:r>
      <w:r>
        <w:rPr>
          <w:rFonts w:ascii="Times New Roman" w:hAnsi="Times New Roman"/>
          <w:sz w:val="20"/>
        </w:rPr>
        <w:t>Les « partenaires de Deauville » comprennent l'Allemagne, l'Arabie saoudite, le Canada, les Émirats arabes unis, les États-Unis, la France, l'Italie, le Japon, le Koweït, le Qatar, le Royaume-Uni, la Russie, la Turquie, et neuf institutions financières internationales et régionales associées. Les « pays du Partenariat » incluent l'Égypte, la Jordanie, la Libye, le Maroc et la Tunisie.</w:t>
      </w:r>
    </w:p>
  </w:footnote>
  <w:footnote w:id="23">
    <w:p w:rsidR="006E6192" w:rsidRDefault="006E6192" w:rsidP="00983F1C">
      <w:pPr>
        <w:pStyle w:val="FootnoteText"/>
        <w:jc w:val="both"/>
      </w:pPr>
      <w:r>
        <w:rPr>
          <w:rStyle w:val="FootnoteReference"/>
        </w:rPr>
        <w:footnoteRef/>
      </w:r>
      <w:r>
        <w:t xml:space="preserve"> </w:t>
      </w:r>
      <w:r>
        <w:rPr>
          <w:rFonts w:ascii="Times New Roman" w:hAnsi="Times New Roman"/>
        </w:rPr>
        <w:t>Les IFI participantes sont notamment</w:t>
      </w:r>
      <w:r>
        <w:rPr>
          <w:rFonts w:ascii="Times New Roman" w:hAnsi="Times New Roman"/>
          <w:color w:val="000000"/>
        </w:rPr>
        <w:t xml:space="preserve"> la BAD, le Fonds arabe de développement économique et social, le Fonds monétaire arabe, la Banque européenne pour la reconstruction et le développement, la Banque européenne d'investissement, le Fonds monétaire international, la Banque islamique de développement, le Fonds de l'OPEP pour le développement international et le Groupe de la Banque mondiale</w:t>
      </w:r>
      <w:r>
        <w:rPr>
          <w:rFonts w:ascii="Times New Roman" w:hAnsi="Times New Roman"/>
        </w:rPr>
        <w:t>.</w:t>
      </w:r>
      <w:r>
        <w:rPr>
          <w:rFonts w:ascii="Times New Roman" w:hAnsi="Times New Roman"/>
          <w:color w:val="000000"/>
        </w:rPr>
        <w:t xml:space="preserve"> L'Organisation de coopération et de développement économiques participe comme observateur.</w:t>
      </w:r>
    </w:p>
  </w:footnote>
  <w:footnote w:id="24">
    <w:p w:rsidR="006E6192" w:rsidRPr="002347E3" w:rsidRDefault="006E6192" w:rsidP="00732FF8">
      <w:pPr>
        <w:pStyle w:val="FootnoteText"/>
        <w:rPr>
          <w:rFonts w:ascii="Times New Roman" w:hAnsi="Times New Roman"/>
          <w:sz w:val="18"/>
          <w:szCs w:val="18"/>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rPr>
        <w:t xml:space="preserve">Le PPD GO a été approuvé en juin 2011 et sa clôture est prévue pour juin 2012. Le PPD comprend cependant des indicateurs empiétant sur l'exercice 2013, ce qui est pris en compte dans le Cadre de résultats. </w:t>
      </w:r>
    </w:p>
  </w:footnote>
  <w:footnote w:id="25">
    <w:p w:rsidR="006E6192" w:rsidRPr="00656792" w:rsidRDefault="006E6192" w:rsidP="00BB5F0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Avant les élections du 23 octobre 2011, il s'agissait de membres de la Haute instance pour la réalisation des objectifs de la révolution. Après les élections, il s'agissait de membres de l'Assemblée constituante.</w:t>
      </w:r>
    </w:p>
  </w:footnote>
  <w:footnote w:id="26">
    <w:p w:rsidR="006E6192" w:rsidRPr="00656792" w:rsidRDefault="006E6192" w:rsidP="00BB5F0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Les initiatives de proximité de la Banque mondiale post-révolution ont inclus des consultations sur les activités/thèmes suivants : PPD Gouvernance et opportunités (avril 2011) ; réunion d'OSC avec le président de la Banque mondiale (mai 2011) ; participation communautaire aux services publics (avril-mai 2011) ; consultations régionales avec le secteur privé (juillet 2011) ; consultations de jeunes (octobre 2011) ; Rapport phare sur l'emploi (octobre 2011) ; consultations sur la formation professionnelle (octobre 2011) ; Rapport sur le développement dans le monde : Genre (octobre 2011) ; Genre et transports (octobre 2011) ; Rapport sur le développement dans le monde : Conflits (octobre 2011) ; PPD II Gouvernance et opportunités (novembre 2011) ; l'utilisation des technologies dans les communications et les services municipaux (janvier 2012).</w:t>
      </w:r>
    </w:p>
  </w:footnote>
  <w:footnote w:id="27">
    <w:p w:rsidR="006E6192" w:rsidRPr="00754A11" w:rsidRDefault="006E6192" w:rsidP="0065679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r>
          <w:rPr>
            <w:rFonts w:ascii="Times New Roman" w:eastAsiaTheme="minorHAnsi" w:hAnsi="Times New Roman"/>
            <w:color w:val="0000FF"/>
          </w:rPr>
          <w:t>http://menablog.worldbank.org/tunisia-one-year-after-revolution-which-priorities-should-world-bank-support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DB0B8B" w:rsidRDefault="006E6192" w:rsidP="0002623C">
    <w:pPr>
      <w:autoSpaceDE w:val="0"/>
      <w:autoSpaceDN w:val="0"/>
      <w:adjustRightInd w:val="0"/>
      <w:jc w:val="center"/>
      <w:rPr>
        <w:rFonts w:ascii="Times New Roman" w:hAnsi="Times New Roman"/>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8A3E10" w:rsidRDefault="006E6192" w:rsidP="0086589D">
    <w:pPr>
      <w:pStyle w:val="Header"/>
      <w:jc w:val="center"/>
    </w:pPr>
    <w:r>
      <w:rPr>
        <w:rFonts w:ascii="Times New Roman" w:hAnsi="Times New Roman"/>
        <w:b/>
        <w:sz w:val="18"/>
      </w:rPr>
      <w:t>SAP Annexe A2 – La Tunisie en bref</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D50EB5" w:rsidRDefault="006E6192" w:rsidP="00D50EB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DB0B8B" w:rsidRDefault="006E6192" w:rsidP="0002623C">
    <w:pPr>
      <w:autoSpaceDE w:val="0"/>
      <w:autoSpaceDN w:val="0"/>
      <w:adjustRightInd w:val="0"/>
      <w:jc w:val="center"/>
      <w:rPr>
        <w:rFonts w:ascii="Times New Roman" w:hAnsi="Times New Roman"/>
        <w:b/>
        <w:b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DB0B8B" w:rsidRDefault="006E6192" w:rsidP="0002623C">
    <w:pPr>
      <w:autoSpaceDE w:val="0"/>
      <w:autoSpaceDN w:val="0"/>
      <w:adjustRightInd w:val="0"/>
      <w:jc w:val="center"/>
      <w:rPr>
        <w:rFonts w:ascii="Times New Roman" w:hAnsi="Times New Roman"/>
        <w:b/>
        <w:bC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92" w:rsidRPr="00BB6A38" w:rsidRDefault="006E6192" w:rsidP="00BB6A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AE5"/>
    <w:multiLevelType w:val="hybridMultilevel"/>
    <w:tmpl w:val="CD5E0ED2"/>
    <w:lvl w:ilvl="0" w:tplc="8488F2E0">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D37C1"/>
    <w:multiLevelType w:val="hybridMultilevel"/>
    <w:tmpl w:val="40F423F0"/>
    <w:lvl w:ilvl="0" w:tplc="15C812E0">
      <w:start w:val="1"/>
      <w:numFmt w:val="decimal"/>
      <w:lvlText w:val="%1."/>
      <w:lvlJc w:val="left"/>
      <w:pPr>
        <w:ind w:left="720" w:hanging="360"/>
      </w:pPr>
      <w:rPr>
        <w:rFonts w:hint="default"/>
        <w:b w:val="0"/>
        <w:i/>
        <w:sz w:val="18"/>
        <w:szCs w:val="18"/>
      </w:r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20260"/>
    <w:multiLevelType w:val="hybridMultilevel"/>
    <w:tmpl w:val="905A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D6589"/>
    <w:multiLevelType w:val="hybridMultilevel"/>
    <w:tmpl w:val="9E8E4E5C"/>
    <w:lvl w:ilvl="0" w:tplc="04090009">
      <w:start w:val="1"/>
      <w:numFmt w:val="bullet"/>
      <w:lvlText w:val=""/>
      <w:lvlJc w:val="left"/>
      <w:pPr>
        <w:ind w:left="744" w:hanging="360"/>
      </w:pPr>
      <w:rPr>
        <w:rFonts w:ascii="Wingdings" w:hAnsi="Wingdings" w:hint="default"/>
      </w:rPr>
    </w:lvl>
    <w:lvl w:ilvl="1" w:tplc="04090003">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4">
    <w:nsid w:val="0D03561D"/>
    <w:multiLevelType w:val="hybridMultilevel"/>
    <w:tmpl w:val="B5BA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77D16"/>
    <w:multiLevelType w:val="hybridMultilevel"/>
    <w:tmpl w:val="A61E4A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F50EE"/>
    <w:multiLevelType w:val="hybridMultilevel"/>
    <w:tmpl w:val="2ED647AA"/>
    <w:lvl w:ilvl="0" w:tplc="2DFEF0E0">
      <w:start w:val="1"/>
      <w:numFmt w:val="upperRoman"/>
      <w:lvlText w:val="%1."/>
      <w:lvlJc w:val="left"/>
      <w:pPr>
        <w:ind w:left="1080" w:hanging="72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F1522"/>
    <w:multiLevelType w:val="hybridMultilevel"/>
    <w:tmpl w:val="C41625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239F0"/>
    <w:multiLevelType w:val="hybridMultilevel"/>
    <w:tmpl w:val="14CEA804"/>
    <w:lvl w:ilvl="0" w:tplc="AAC6F8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84228"/>
    <w:multiLevelType w:val="hybridMultilevel"/>
    <w:tmpl w:val="6948706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82E13"/>
    <w:multiLevelType w:val="hybridMultilevel"/>
    <w:tmpl w:val="2A70947A"/>
    <w:lvl w:ilvl="0" w:tplc="0409000F">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401E0"/>
    <w:multiLevelType w:val="hybridMultilevel"/>
    <w:tmpl w:val="B6D6A6A0"/>
    <w:lvl w:ilvl="0" w:tplc="B2B0A3F4">
      <w:start w:val="1"/>
      <w:numFmt w:val="decimal"/>
      <w:lvlText w:val="%1."/>
      <w:lvlJc w:val="left"/>
      <w:pPr>
        <w:ind w:left="720" w:hanging="360"/>
      </w:pPr>
      <w:rPr>
        <w:rFonts w:hint="default"/>
        <w:b w:val="0"/>
        <w:i/>
        <w:sz w:val="18"/>
        <w:szCs w:val="18"/>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309F5"/>
    <w:multiLevelType w:val="hybridMultilevel"/>
    <w:tmpl w:val="8FAE7936"/>
    <w:lvl w:ilvl="0" w:tplc="9EA0EF5A">
      <w:start w:val="1"/>
      <w:numFmt w:val="decimal"/>
      <w:lvlText w:val="%1."/>
      <w:lvlJc w:val="left"/>
      <w:pPr>
        <w:ind w:left="720" w:hanging="360"/>
      </w:pPr>
      <w:rPr>
        <w:rFonts w:asciiTheme="majorBidi" w:hAnsiTheme="majorBidi" w:cstheme="majorBidi"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411CCA"/>
    <w:multiLevelType w:val="hybridMultilevel"/>
    <w:tmpl w:val="A5C280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548EE"/>
    <w:multiLevelType w:val="hybridMultilevel"/>
    <w:tmpl w:val="D7440D50"/>
    <w:lvl w:ilvl="0" w:tplc="04090003">
      <w:start w:val="1"/>
      <w:numFmt w:val="bullet"/>
      <w:lvlText w:val="o"/>
      <w:lvlJc w:val="left"/>
      <w:pPr>
        <w:ind w:left="1440" w:hanging="360"/>
      </w:pPr>
      <w:rPr>
        <w:rFonts w:ascii="Courier New" w:hAnsi="Courier New" w:cs="Courier New"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5E74534"/>
    <w:multiLevelType w:val="hybridMultilevel"/>
    <w:tmpl w:val="592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23E56"/>
    <w:multiLevelType w:val="hybridMultilevel"/>
    <w:tmpl w:val="0E704CCA"/>
    <w:lvl w:ilvl="0" w:tplc="652A79C6">
      <w:start w:val="37"/>
      <w:numFmt w:val="decimal"/>
      <w:lvlText w:val="%1."/>
      <w:lvlJc w:val="left"/>
      <w:pPr>
        <w:ind w:left="1440" w:hanging="360"/>
      </w:pPr>
      <w:rPr>
        <w:rFonts w:asciiTheme="majorBidi" w:hAnsiTheme="majorBidi" w:cstheme="majorBidi"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D24168"/>
    <w:multiLevelType w:val="hybridMultilevel"/>
    <w:tmpl w:val="DB90E6D2"/>
    <w:lvl w:ilvl="0" w:tplc="0E063F8C">
      <w:start w:val="9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F263E"/>
    <w:multiLevelType w:val="hybridMultilevel"/>
    <w:tmpl w:val="945C0C34"/>
    <w:lvl w:ilvl="0" w:tplc="0409001B">
      <w:start w:val="1"/>
      <w:numFmt w:val="lowerRoman"/>
      <w:lvlText w:val="%1."/>
      <w:lvlJc w:val="right"/>
      <w:pPr>
        <w:ind w:left="36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1678F"/>
    <w:multiLevelType w:val="hybridMultilevel"/>
    <w:tmpl w:val="3AE861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497689"/>
    <w:multiLevelType w:val="hybridMultilevel"/>
    <w:tmpl w:val="6FB850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75638B"/>
    <w:multiLevelType w:val="hybridMultilevel"/>
    <w:tmpl w:val="0E542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44A05"/>
    <w:multiLevelType w:val="hybridMultilevel"/>
    <w:tmpl w:val="BFCEDB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1E345F"/>
    <w:multiLevelType w:val="hybridMultilevel"/>
    <w:tmpl w:val="98D49A7E"/>
    <w:lvl w:ilvl="0" w:tplc="04090009">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44565C32"/>
    <w:multiLevelType w:val="hybridMultilevel"/>
    <w:tmpl w:val="01EC0F3A"/>
    <w:lvl w:ilvl="0" w:tplc="77649A36">
      <w:start w:val="1"/>
      <w:numFmt w:val="decimal"/>
      <w:lvlText w:val="%1."/>
      <w:lvlJc w:val="left"/>
      <w:pPr>
        <w:ind w:left="720" w:hanging="360"/>
      </w:pPr>
      <w:rPr>
        <w:i w:val="0"/>
        <w:iCs/>
      </w:rPr>
    </w:lvl>
    <w:lvl w:ilvl="1" w:tplc="C74C3B2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6B6C69"/>
    <w:multiLevelType w:val="hybridMultilevel"/>
    <w:tmpl w:val="9984CD52"/>
    <w:lvl w:ilvl="0" w:tplc="BBC87FE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803E2"/>
    <w:multiLevelType w:val="hybridMultilevel"/>
    <w:tmpl w:val="B48AAF4A"/>
    <w:lvl w:ilvl="0" w:tplc="5DDAE8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972FC9"/>
    <w:multiLevelType w:val="hybridMultilevel"/>
    <w:tmpl w:val="E884C9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DC57DD"/>
    <w:multiLevelType w:val="multilevel"/>
    <w:tmpl w:val="09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A6C3576"/>
    <w:multiLevelType w:val="hybridMultilevel"/>
    <w:tmpl w:val="71986C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83631"/>
    <w:multiLevelType w:val="hybridMultilevel"/>
    <w:tmpl w:val="67326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03F29"/>
    <w:multiLevelType w:val="hybridMultilevel"/>
    <w:tmpl w:val="AC98D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A75FB"/>
    <w:multiLevelType w:val="hybridMultilevel"/>
    <w:tmpl w:val="73E6A3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6B7010"/>
    <w:multiLevelType w:val="hybridMultilevel"/>
    <w:tmpl w:val="B190556E"/>
    <w:lvl w:ilvl="0" w:tplc="B200389A">
      <w:start w:val="8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A464F2"/>
    <w:multiLevelType w:val="hybridMultilevel"/>
    <w:tmpl w:val="3998EF9C"/>
    <w:lvl w:ilvl="0" w:tplc="BBC87F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EE588D"/>
    <w:multiLevelType w:val="hybridMultilevel"/>
    <w:tmpl w:val="238AED74"/>
    <w:lvl w:ilvl="0" w:tplc="04090003">
      <w:start w:val="1"/>
      <w:numFmt w:val="bullet"/>
      <w:lvlText w:val="o"/>
      <w:lvlJc w:val="left"/>
      <w:pPr>
        <w:ind w:left="1440" w:hanging="360"/>
      </w:pPr>
      <w:rPr>
        <w:rFonts w:ascii="Courier New" w:hAnsi="Courier New" w:cs="Courier New"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85D7567"/>
    <w:multiLevelType w:val="hybridMultilevel"/>
    <w:tmpl w:val="8154FC20"/>
    <w:lvl w:ilvl="0" w:tplc="37BC94E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BE928A4"/>
    <w:multiLevelType w:val="hybridMultilevel"/>
    <w:tmpl w:val="DD1C1760"/>
    <w:lvl w:ilvl="0" w:tplc="04090009">
      <w:start w:val="1"/>
      <w:numFmt w:val="bullet"/>
      <w:lvlText w:val=""/>
      <w:lvlJc w:val="left"/>
      <w:pPr>
        <w:ind w:left="793" w:hanging="360"/>
      </w:pPr>
      <w:rPr>
        <w:rFonts w:ascii="Wingdings" w:hAnsi="Wingdings" w:hint="default"/>
      </w:rPr>
    </w:lvl>
    <w:lvl w:ilvl="1" w:tplc="2C448E14">
      <w:start w:val="1"/>
      <w:numFmt w:val="bullet"/>
      <w:lvlText w:val="o"/>
      <w:lvlJc w:val="left"/>
      <w:pPr>
        <w:ind w:left="1513" w:hanging="360"/>
      </w:pPr>
      <w:rPr>
        <w:rFonts w:ascii="Courier New" w:hAnsi="Courier New" w:cs="Courier New" w:hint="default"/>
        <w:color w:val="auto"/>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8">
    <w:nsid w:val="6D727EC5"/>
    <w:multiLevelType w:val="hybridMultilevel"/>
    <w:tmpl w:val="B21ECFD4"/>
    <w:lvl w:ilvl="0" w:tplc="78689D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67FA3"/>
    <w:multiLevelType w:val="hybridMultilevel"/>
    <w:tmpl w:val="7630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7DECF68">
      <w:start w:val="1"/>
      <w:numFmt w:val="bullet"/>
      <w:lvlText w:val=""/>
      <w:lvlJc w:val="left"/>
      <w:pPr>
        <w:ind w:left="2880" w:hanging="360"/>
      </w:pPr>
      <w:rPr>
        <w:rFonts w:ascii="Symbol" w:hAnsi="Symbol" w:hint="default"/>
        <w:sz w:val="22"/>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6E6726"/>
    <w:multiLevelType w:val="hybridMultilevel"/>
    <w:tmpl w:val="E438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F04D41"/>
    <w:multiLevelType w:val="hybridMultilevel"/>
    <w:tmpl w:val="31201CB0"/>
    <w:lvl w:ilvl="0" w:tplc="108AD1A2">
      <w:start w:val="8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0A6D35"/>
    <w:multiLevelType w:val="hybridMultilevel"/>
    <w:tmpl w:val="C39CEC78"/>
    <w:lvl w:ilvl="0" w:tplc="4B8E0286">
      <w:start w:val="1"/>
      <w:numFmt w:val="decimal"/>
      <w:pStyle w:val="Default"/>
      <w:lvlText w:val="%1."/>
      <w:lvlJc w:val="left"/>
      <w:pPr>
        <w:ind w:left="360" w:hanging="360"/>
      </w:pPr>
      <w:rPr>
        <w:rFonts w:cs="Times New Roman"/>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686349C"/>
    <w:multiLevelType w:val="hybridMultilevel"/>
    <w:tmpl w:val="CE3668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DF25F5"/>
    <w:multiLevelType w:val="hybridMultilevel"/>
    <w:tmpl w:val="CDB88C60"/>
    <w:lvl w:ilvl="0" w:tplc="F1F25B02">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777767E6"/>
    <w:multiLevelType w:val="hybridMultilevel"/>
    <w:tmpl w:val="3E9C548A"/>
    <w:lvl w:ilvl="0" w:tplc="56DC86A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1F5E21"/>
    <w:multiLevelType w:val="hybridMultilevel"/>
    <w:tmpl w:val="B6B4A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32166F"/>
    <w:multiLevelType w:val="hybridMultilevel"/>
    <w:tmpl w:val="78946604"/>
    <w:lvl w:ilvl="0" w:tplc="03D67432">
      <w:start w:val="5"/>
      <w:numFmt w:val="decimal"/>
      <w:lvlText w:val="%1."/>
      <w:lvlJc w:val="left"/>
      <w:pPr>
        <w:ind w:left="450" w:hanging="360"/>
      </w:pPr>
      <w:rPr>
        <w:rFonts w:hint="default"/>
        <w:b w:val="0"/>
        <w:bCs/>
        <w:i w:val="0"/>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6"/>
  </w:num>
  <w:num w:numId="3">
    <w:abstractNumId w:val="24"/>
  </w:num>
  <w:num w:numId="4">
    <w:abstractNumId w:val="36"/>
  </w:num>
  <w:num w:numId="5">
    <w:abstractNumId w:val="9"/>
  </w:num>
  <w:num w:numId="6">
    <w:abstractNumId w:val="19"/>
  </w:num>
  <w:num w:numId="7">
    <w:abstractNumId w:val="0"/>
  </w:num>
  <w:num w:numId="8">
    <w:abstractNumId w:val="10"/>
  </w:num>
  <w:num w:numId="9">
    <w:abstractNumId w:val="28"/>
  </w:num>
  <w:num w:numId="10">
    <w:abstractNumId w:val="39"/>
  </w:num>
  <w:num w:numId="11">
    <w:abstractNumId w:val="16"/>
  </w:num>
  <w:num w:numId="12">
    <w:abstractNumId w:val="34"/>
  </w:num>
  <w:num w:numId="13">
    <w:abstractNumId w:val="26"/>
  </w:num>
  <w:num w:numId="14">
    <w:abstractNumId w:val="41"/>
  </w:num>
  <w:num w:numId="15">
    <w:abstractNumId w:val="33"/>
  </w:num>
  <w:num w:numId="16">
    <w:abstractNumId w:val="1"/>
  </w:num>
  <w:num w:numId="17">
    <w:abstractNumId w:val="37"/>
  </w:num>
  <w:num w:numId="18">
    <w:abstractNumId w:val="44"/>
  </w:num>
  <w:num w:numId="19">
    <w:abstractNumId w:val="23"/>
  </w:num>
  <w:num w:numId="20">
    <w:abstractNumId w:val="43"/>
  </w:num>
  <w:num w:numId="21">
    <w:abstractNumId w:val="27"/>
  </w:num>
  <w:num w:numId="22">
    <w:abstractNumId w:val="21"/>
  </w:num>
  <w:num w:numId="23">
    <w:abstractNumId w:val="31"/>
  </w:num>
  <w:num w:numId="24">
    <w:abstractNumId w:val="13"/>
  </w:num>
  <w:num w:numId="25">
    <w:abstractNumId w:val="11"/>
  </w:num>
  <w:num w:numId="26">
    <w:abstractNumId w:val="14"/>
  </w:num>
  <w:num w:numId="27">
    <w:abstractNumId w:val="35"/>
  </w:num>
  <w:num w:numId="28">
    <w:abstractNumId w:val="3"/>
  </w:num>
  <w:num w:numId="29">
    <w:abstractNumId w:val="29"/>
  </w:num>
  <w:num w:numId="30">
    <w:abstractNumId w:val="32"/>
  </w:num>
  <w:num w:numId="31">
    <w:abstractNumId w:val="5"/>
  </w:num>
  <w:num w:numId="32">
    <w:abstractNumId w:val="7"/>
  </w:num>
  <w:num w:numId="33">
    <w:abstractNumId w:val="30"/>
  </w:num>
  <w:num w:numId="34">
    <w:abstractNumId w:val="46"/>
  </w:num>
  <w:num w:numId="3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40"/>
  </w:num>
  <w:num w:numId="38">
    <w:abstractNumId w:val="2"/>
  </w:num>
  <w:num w:numId="39">
    <w:abstractNumId w:val="15"/>
  </w:num>
  <w:num w:numId="40">
    <w:abstractNumId w:val="4"/>
  </w:num>
  <w:num w:numId="41">
    <w:abstractNumId w:val="45"/>
  </w:num>
  <w:num w:numId="42">
    <w:abstractNumId w:val="12"/>
  </w:num>
  <w:num w:numId="43">
    <w:abstractNumId w:val="17"/>
  </w:num>
  <w:num w:numId="44">
    <w:abstractNumId w:val="47"/>
  </w:num>
  <w:num w:numId="45">
    <w:abstractNumId w:val="18"/>
  </w:num>
  <w:num w:numId="46">
    <w:abstractNumId w:val="25"/>
  </w:num>
  <w:num w:numId="47">
    <w:abstractNumId w:val="20"/>
  </w:num>
  <w:num w:numId="48">
    <w:abstractNumId w:val="22"/>
  </w:num>
  <w:num w:numId="49">
    <w:abstractNumId w:val="3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790C1C"/>
    <w:rsid w:val="00000132"/>
    <w:rsid w:val="0000028D"/>
    <w:rsid w:val="000003AE"/>
    <w:rsid w:val="0000092C"/>
    <w:rsid w:val="00000BC0"/>
    <w:rsid w:val="00001B3A"/>
    <w:rsid w:val="00001E62"/>
    <w:rsid w:val="00001EB1"/>
    <w:rsid w:val="000022E4"/>
    <w:rsid w:val="00003381"/>
    <w:rsid w:val="0000362C"/>
    <w:rsid w:val="000042A8"/>
    <w:rsid w:val="00004753"/>
    <w:rsid w:val="00004FF0"/>
    <w:rsid w:val="00006638"/>
    <w:rsid w:val="00006DEE"/>
    <w:rsid w:val="00011400"/>
    <w:rsid w:val="00012C30"/>
    <w:rsid w:val="00012DAB"/>
    <w:rsid w:val="000136B5"/>
    <w:rsid w:val="00014FD1"/>
    <w:rsid w:val="00015402"/>
    <w:rsid w:val="00015A96"/>
    <w:rsid w:val="00015DC0"/>
    <w:rsid w:val="000168AF"/>
    <w:rsid w:val="00016CFA"/>
    <w:rsid w:val="00020F16"/>
    <w:rsid w:val="000236CB"/>
    <w:rsid w:val="00024050"/>
    <w:rsid w:val="00024508"/>
    <w:rsid w:val="000245E8"/>
    <w:rsid w:val="00024D41"/>
    <w:rsid w:val="0002623C"/>
    <w:rsid w:val="0002626C"/>
    <w:rsid w:val="00030608"/>
    <w:rsid w:val="00033C3E"/>
    <w:rsid w:val="00034377"/>
    <w:rsid w:val="00034586"/>
    <w:rsid w:val="000345E4"/>
    <w:rsid w:val="0003509B"/>
    <w:rsid w:val="000356BE"/>
    <w:rsid w:val="000356EF"/>
    <w:rsid w:val="00035DC0"/>
    <w:rsid w:val="000363AF"/>
    <w:rsid w:val="00037311"/>
    <w:rsid w:val="00037E5A"/>
    <w:rsid w:val="0004041D"/>
    <w:rsid w:val="000408A7"/>
    <w:rsid w:val="00040D18"/>
    <w:rsid w:val="00042B22"/>
    <w:rsid w:val="00042D03"/>
    <w:rsid w:val="00042E62"/>
    <w:rsid w:val="000434EB"/>
    <w:rsid w:val="0004383D"/>
    <w:rsid w:val="00043C96"/>
    <w:rsid w:val="00043CA3"/>
    <w:rsid w:val="00044526"/>
    <w:rsid w:val="000450A0"/>
    <w:rsid w:val="0004553D"/>
    <w:rsid w:val="00045D47"/>
    <w:rsid w:val="00046221"/>
    <w:rsid w:val="000469E7"/>
    <w:rsid w:val="00046DCC"/>
    <w:rsid w:val="00047523"/>
    <w:rsid w:val="00051543"/>
    <w:rsid w:val="000518AE"/>
    <w:rsid w:val="00051C2A"/>
    <w:rsid w:val="00051CC9"/>
    <w:rsid w:val="00052873"/>
    <w:rsid w:val="00052972"/>
    <w:rsid w:val="00053017"/>
    <w:rsid w:val="0005374F"/>
    <w:rsid w:val="00053B29"/>
    <w:rsid w:val="00053E7B"/>
    <w:rsid w:val="00054053"/>
    <w:rsid w:val="00054131"/>
    <w:rsid w:val="000541FC"/>
    <w:rsid w:val="00055735"/>
    <w:rsid w:val="00055904"/>
    <w:rsid w:val="00055CF5"/>
    <w:rsid w:val="0005606C"/>
    <w:rsid w:val="00056AFF"/>
    <w:rsid w:val="00056B1B"/>
    <w:rsid w:val="000570C6"/>
    <w:rsid w:val="00057311"/>
    <w:rsid w:val="00057B25"/>
    <w:rsid w:val="0006014E"/>
    <w:rsid w:val="000615B7"/>
    <w:rsid w:val="000628BC"/>
    <w:rsid w:val="00062FDF"/>
    <w:rsid w:val="00063C17"/>
    <w:rsid w:val="00063F5B"/>
    <w:rsid w:val="000640A4"/>
    <w:rsid w:val="000649A2"/>
    <w:rsid w:val="000651E9"/>
    <w:rsid w:val="000655D7"/>
    <w:rsid w:val="000658C1"/>
    <w:rsid w:val="00066782"/>
    <w:rsid w:val="000668C1"/>
    <w:rsid w:val="00067052"/>
    <w:rsid w:val="00067125"/>
    <w:rsid w:val="00070844"/>
    <w:rsid w:val="00070B5A"/>
    <w:rsid w:val="00071409"/>
    <w:rsid w:val="00071A26"/>
    <w:rsid w:val="00071CCB"/>
    <w:rsid w:val="00072AA5"/>
    <w:rsid w:val="00072C02"/>
    <w:rsid w:val="00073182"/>
    <w:rsid w:val="00073CD6"/>
    <w:rsid w:val="00074AE8"/>
    <w:rsid w:val="00075788"/>
    <w:rsid w:val="00076AE4"/>
    <w:rsid w:val="0007704B"/>
    <w:rsid w:val="00077624"/>
    <w:rsid w:val="00077699"/>
    <w:rsid w:val="00077A6D"/>
    <w:rsid w:val="00077A8E"/>
    <w:rsid w:val="00077AD2"/>
    <w:rsid w:val="00080A18"/>
    <w:rsid w:val="00081296"/>
    <w:rsid w:val="00081827"/>
    <w:rsid w:val="00081E6B"/>
    <w:rsid w:val="0008218E"/>
    <w:rsid w:val="00082B45"/>
    <w:rsid w:val="000831CB"/>
    <w:rsid w:val="00083D88"/>
    <w:rsid w:val="0008460B"/>
    <w:rsid w:val="00085265"/>
    <w:rsid w:val="00086C97"/>
    <w:rsid w:val="00086E52"/>
    <w:rsid w:val="0008709D"/>
    <w:rsid w:val="00087499"/>
    <w:rsid w:val="00087F4B"/>
    <w:rsid w:val="00090290"/>
    <w:rsid w:val="0009042E"/>
    <w:rsid w:val="00090543"/>
    <w:rsid w:val="00090A19"/>
    <w:rsid w:val="0009120E"/>
    <w:rsid w:val="000917A8"/>
    <w:rsid w:val="000917F5"/>
    <w:rsid w:val="00091EEF"/>
    <w:rsid w:val="000923D5"/>
    <w:rsid w:val="0009473D"/>
    <w:rsid w:val="000947C2"/>
    <w:rsid w:val="0009485B"/>
    <w:rsid w:val="0009521D"/>
    <w:rsid w:val="000961D4"/>
    <w:rsid w:val="00096590"/>
    <w:rsid w:val="00096B76"/>
    <w:rsid w:val="00097625"/>
    <w:rsid w:val="000A18D3"/>
    <w:rsid w:val="000A1F90"/>
    <w:rsid w:val="000A2884"/>
    <w:rsid w:val="000A2A91"/>
    <w:rsid w:val="000A2FD5"/>
    <w:rsid w:val="000A313C"/>
    <w:rsid w:val="000A426E"/>
    <w:rsid w:val="000A4957"/>
    <w:rsid w:val="000A4DBA"/>
    <w:rsid w:val="000A52B0"/>
    <w:rsid w:val="000A5369"/>
    <w:rsid w:val="000A5719"/>
    <w:rsid w:val="000A5989"/>
    <w:rsid w:val="000A5B78"/>
    <w:rsid w:val="000A692E"/>
    <w:rsid w:val="000A6A10"/>
    <w:rsid w:val="000A6D59"/>
    <w:rsid w:val="000A7483"/>
    <w:rsid w:val="000B047B"/>
    <w:rsid w:val="000B1021"/>
    <w:rsid w:val="000B1801"/>
    <w:rsid w:val="000B1B4C"/>
    <w:rsid w:val="000B1ED7"/>
    <w:rsid w:val="000B2C93"/>
    <w:rsid w:val="000B498B"/>
    <w:rsid w:val="000B49BE"/>
    <w:rsid w:val="000B5376"/>
    <w:rsid w:val="000B597C"/>
    <w:rsid w:val="000B6140"/>
    <w:rsid w:val="000B6383"/>
    <w:rsid w:val="000B645D"/>
    <w:rsid w:val="000B6949"/>
    <w:rsid w:val="000B6DB5"/>
    <w:rsid w:val="000B785E"/>
    <w:rsid w:val="000C0408"/>
    <w:rsid w:val="000C1C93"/>
    <w:rsid w:val="000C1EF9"/>
    <w:rsid w:val="000C2E18"/>
    <w:rsid w:val="000C3BF5"/>
    <w:rsid w:val="000C4615"/>
    <w:rsid w:val="000C47E8"/>
    <w:rsid w:val="000C4A1A"/>
    <w:rsid w:val="000C5C81"/>
    <w:rsid w:val="000C671B"/>
    <w:rsid w:val="000C70E6"/>
    <w:rsid w:val="000D02E7"/>
    <w:rsid w:val="000D1835"/>
    <w:rsid w:val="000D1A5D"/>
    <w:rsid w:val="000D1C10"/>
    <w:rsid w:val="000D22AF"/>
    <w:rsid w:val="000D311B"/>
    <w:rsid w:val="000D5B27"/>
    <w:rsid w:val="000D6311"/>
    <w:rsid w:val="000D6C12"/>
    <w:rsid w:val="000D6CA6"/>
    <w:rsid w:val="000D6D99"/>
    <w:rsid w:val="000D71AA"/>
    <w:rsid w:val="000D765D"/>
    <w:rsid w:val="000D7D2C"/>
    <w:rsid w:val="000D7FC5"/>
    <w:rsid w:val="000D7FC9"/>
    <w:rsid w:val="000E1151"/>
    <w:rsid w:val="000E16DD"/>
    <w:rsid w:val="000E1ACC"/>
    <w:rsid w:val="000E1D0D"/>
    <w:rsid w:val="000E28F9"/>
    <w:rsid w:val="000E3881"/>
    <w:rsid w:val="000E3D13"/>
    <w:rsid w:val="000E4A5E"/>
    <w:rsid w:val="000E4A66"/>
    <w:rsid w:val="000E4CFB"/>
    <w:rsid w:val="000E4DD8"/>
    <w:rsid w:val="000E4F93"/>
    <w:rsid w:val="000E61AE"/>
    <w:rsid w:val="000E6859"/>
    <w:rsid w:val="000E6961"/>
    <w:rsid w:val="000E6BFA"/>
    <w:rsid w:val="000E7083"/>
    <w:rsid w:val="000E78C3"/>
    <w:rsid w:val="000E793F"/>
    <w:rsid w:val="000F04EC"/>
    <w:rsid w:val="000F0EFE"/>
    <w:rsid w:val="000F1366"/>
    <w:rsid w:val="000F237B"/>
    <w:rsid w:val="000F26D0"/>
    <w:rsid w:val="000F27EC"/>
    <w:rsid w:val="000F28C9"/>
    <w:rsid w:val="000F2FFA"/>
    <w:rsid w:val="000F3E55"/>
    <w:rsid w:val="000F3EE5"/>
    <w:rsid w:val="000F4CA9"/>
    <w:rsid w:val="000F501B"/>
    <w:rsid w:val="000F5922"/>
    <w:rsid w:val="000F59BE"/>
    <w:rsid w:val="000F5E2D"/>
    <w:rsid w:val="000F6DB0"/>
    <w:rsid w:val="000F6E19"/>
    <w:rsid w:val="000F6E7D"/>
    <w:rsid w:val="0010090D"/>
    <w:rsid w:val="00101672"/>
    <w:rsid w:val="0010184A"/>
    <w:rsid w:val="00102380"/>
    <w:rsid w:val="001024E2"/>
    <w:rsid w:val="00104AAA"/>
    <w:rsid w:val="00105097"/>
    <w:rsid w:val="0010577B"/>
    <w:rsid w:val="00105FE7"/>
    <w:rsid w:val="001071F0"/>
    <w:rsid w:val="001101D7"/>
    <w:rsid w:val="00110456"/>
    <w:rsid w:val="00110CBF"/>
    <w:rsid w:val="00110E7B"/>
    <w:rsid w:val="00111162"/>
    <w:rsid w:val="00111959"/>
    <w:rsid w:val="00111E52"/>
    <w:rsid w:val="00111F1A"/>
    <w:rsid w:val="001121E7"/>
    <w:rsid w:val="001122B8"/>
    <w:rsid w:val="00112BE8"/>
    <w:rsid w:val="001132FE"/>
    <w:rsid w:val="0011430C"/>
    <w:rsid w:val="00114772"/>
    <w:rsid w:val="00114776"/>
    <w:rsid w:val="00114A48"/>
    <w:rsid w:val="00114FEE"/>
    <w:rsid w:val="00115268"/>
    <w:rsid w:val="001157D6"/>
    <w:rsid w:val="00115F99"/>
    <w:rsid w:val="001163BB"/>
    <w:rsid w:val="00116C6B"/>
    <w:rsid w:val="00117B64"/>
    <w:rsid w:val="00117B91"/>
    <w:rsid w:val="00120530"/>
    <w:rsid w:val="00120577"/>
    <w:rsid w:val="001205BD"/>
    <w:rsid w:val="00120746"/>
    <w:rsid w:val="001207C8"/>
    <w:rsid w:val="001214F5"/>
    <w:rsid w:val="001217A7"/>
    <w:rsid w:val="00121A94"/>
    <w:rsid w:val="00121AE5"/>
    <w:rsid w:val="00122002"/>
    <w:rsid w:val="00122194"/>
    <w:rsid w:val="0012354D"/>
    <w:rsid w:val="00123CA7"/>
    <w:rsid w:val="00124717"/>
    <w:rsid w:val="0012492A"/>
    <w:rsid w:val="0012497C"/>
    <w:rsid w:val="00124F93"/>
    <w:rsid w:val="001254AF"/>
    <w:rsid w:val="00125743"/>
    <w:rsid w:val="001266BD"/>
    <w:rsid w:val="00127886"/>
    <w:rsid w:val="00127D3F"/>
    <w:rsid w:val="0013024B"/>
    <w:rsid w:val="001302BD"/>
    <w:rsid w:val="001306BD"/>
    <w:rsid w:val="00130DEC"/>
    <w:rsid w:val="00130FFC"/>
    <w:rsid w:val="00133C55"/>
    <w:rsid w:val="00134694"/>
    <w:rsid w:val="001348D5"/>
    <w:rsid w:val="0013545F"/>
    <w:rsid w:val="0013548D"/>
    <w:rsid w:val="00135C82"/>
    <w:rsid w:val="00136111"/>
    <w:rsid w:val="001362B3"/>
    <w:rsid w:val="00136363"/>
    <w:rsid w:val="00136975"/>
    <w:rsid w:val="00136ACB"/>
    <w:rsid w:val="00137B81"/>
    <w:rsid w:val="001403FF"/>
    <w:rsid w:val="00140A14"/>
    <w:rsid w:val="00140E8A"/>
    <w:rsid w:val="0014160F"/>
    <w:rsid w:val="00142340"/>
    <w:rsid w:val="001428E9"/>
    <w:rsid w:val="00143E49"/>
    <w:rsid w:val="00144EEA"/>
    <w:rsid w:val="00145A46"/>
    <w:rsid w:val="00146BC5"/>
    <w:rsid w:val="001470DF"/>
    <w:rsid w:val="00150061"/>
    <w:rsid w:val="00150949"/>
    <w:rsid w:val="00150C38"/>
    <w:rsid w:val="00151684"/>
    <w:rsid w:val="001519E5"/>
    <w:rsid w:val="00151A6C"/>
    <w:rsid w:val="0015348F"/>
    <w:rsid w:val="00153F6D"/>
    <w:rsid w:val="001542CE"/>
    <w:rsid w:val="00154ABA"/>
    <w:rsid w:val="00154CFA"/>
    <w:rsid w:val="00155322"/>
    <w:rsid w:val="00156218"/>
    <w:rsid w:val="001567C7"/>
    <w:rsid w:val="00156EF9"/>
    <w:rsid w:val="001577AA"/>
    <w:rsid w:val="00160981"/>
    <w:rsid w:val="00160A3A"/>
    <w:rsid w:val="00160C4F"/>
    <w:rsid w:val="00160E81"/>
    <w:rsid w:val="00161CDE"/>
    <w:rsid w:val="00161F71"/>
    <w:rsid w:val="00162903"/>
    <w:rsid w:val="001633A6"/>
    <w:rsid w:val="0016372A"/>
    <w:rsid w:val="001637BD"/>
    <w:rsid w:val="00163AAC"/>
    <w:rsid w:val="001641D8"/>
    <w:rsid w:val="00164D36"/>
    <w:rsid w:val="00164DDA"/>
    <w:rsid w:val="00166422"/>
    <w:rsid w:val="00166E7D"/>
    <w:rsid w:val="00167306"/>
    <w:rsid w:val="0016756B"/>
    <w:rsid w:val="00167688"/>
    <w:rsid w:val="00170B94"/>
    <w:rsid w:val="001715D2"/>
    <w:rsid w:val="00171CC3"/>
    <w:rsid w:val="00171DF0"/>
    <w:rsid w:val="001721F9"/>
    <w:rsid w:val="00172263"/>
    <w:rsid w:val="00174138"/>
    <w:rsid w:val="001744FE"/>
    <w:rsid w:val="001749FE"/>
    <w:rsid w:val="00174D89"/>
    <w:rsid w:val="0017510F"/>
    <w:rsid w:val="0017622A"/>
    <w:rsid w:val="00177960"/>
    <w:rsid w:val="00177C2F"/>
    <w:rsid w:val="00177D16"/>
    <w:rsid w:val="0018036A"/>
    <w:rsid w:val="001806FF"/>
    <w:rsid w:val="00181FA6"/>
    <w:rsid w:val="00182928"/>
    <w:rsid w:val="00182DE1"/>
    <w:rsid w:val="00182F62"/>
    <w:rsid w:val="00182FFE"/>
    <w:rsid w:val="00183780"/>
    <w:rsid w:val="00183FDA"/>
    <w:rsid w:val="001848FB"/>
    <w:rsid w:val="0018498B"/>
    <w:rsid w:val="0018499D"/>
    <w:rsid w:val="00185689"/>
    <w:rsid w:val="00186699"/>
    <w:rsid w:val="00186BF3"/>
    <w:rsid w:val="00186FB6"/>
    <w:rsid w:val="001872F2"/>
    <w:rsid w:val="001874AD"/>
    <w:rsid w:val="0018763B"/>
    <w:rsid w:val="00190263"/>
    <w:rsid w:val="0019031A"/>
    <w:rsid w:val="00190E28"/>
    <w:rsid w:val="00190E49"/>
    <w:rsid w:val="00190F13"/>
    <w:rsid w:val="001924CF"/>
    <w:rsid w:val="0019271B"/>
    <w:rsid w:val="00192E8E"/>
    <w:rsid w:val="00193976"/>
    <w:rsid w:val="00194234"/>
    <w:rsid w:val="00195F08"/>
    <w:rsid w:val="00196632"/>
    <w:rsid w:val="00196DC2"/>
    <w:rsid w:val="001978FC"/>
    <w:rsid w:val="001A29D6"/>
    <w:rsid w:val="001A2AE8"/>
    <w:rsid w:val="001A2BEE"/>
    <w:rsid w:val="001A3EF9"/>
    <w:rsid w:val="001A45DA"/>
    <w:rsid w:val="001A5752"/>
    <w:rsid w:val="001A60AD"/>
    <w:rsid w:val="001A7972"/>
    <w:rsid w:val="001A798E"/>
    <w:rsid w:val="001A7CC3"/>
    <w:rsid w:val="001A7DC5"/>
    <w:rsid w:val="001B219F"/>
    <w:rsid w:val="001B2437"/>
    <w:rsid w:val="001B3223"/>
    <w:rsid w:val="001B37D7"/>
    <w:rsid w:val="001B3A3D"/>
    <w:rsid w:val="001B3AF2"/>
    <w:rsid w:val="001B445B"/>
    <w:rsid w:val="001B559B"/>
    <w:rsid w:val="001B5B1E"/>
    <w:rsid w:val="001B6443"/>
    <w:rsid w:val="001B6953"/>
    <w:rsid w:val="001B6A3A"/>
    <w:rsid w:val="001B6AD2"/>
    <w:rsid w:val="001B6EFC"/>
    <w:rsid w:val="001B7854"/>
    <w:rsid w:val="001B7B6C"/>
    <w:rsid w:val="001C00FB"/>
    <w:rsid w:val="001C01C2"/>
    <w:rsid w:val="001C23AE"/>
    <w:rsid w:val="001C2C85"/>
    <w:rsid w:val="001C3D44"/>
    <w:rsid w:val="001C3EB1"/>
    <w:rsid w:val="001C4114"/>
    <w:rsid w:val="001C50F7"/>
    <w:rsid w:val="001C5866"/>
    <w:rsid w:val="001C6AE0"/>
    <w:rsid w:val="001C7117"/>
    <w:rsid w:val="001C7451"/>
    <w:rsid w:val="001D0097"/>
    <w:rsid w:val="001D02B0"/>
    <w:rsid w:val="001D0BA9"/>
    <w:rsid w:val="001D2269"/>
    <w:rsid w:val="001D24A7"/>
    <w:rsid w:val="001D3249"/>
    <w:rsid w:val="001D3F67"/>
    <w:rsid w:val="001D4115"/>
    <w:rsid w:val="001D513C"/>
    <w:rsid w:val="001D52ED"/>
    <w:rsid w:val="001D577F"/>
    <w:rsid w:val="001D5E2C"/>
    <w:rsid w:val="001D68E1"/>
    <w:rsid w:val="001D72F7"/>
    <w:rsid w:val="001D7568"/>
    <w:rsid w:val="001E013D"/>
    <w:rsid w:val="001E0286"/>
    <w:rsid w:val="001E0339"/>
    <w:rsid w:val="001E1576"/>
    <w:rsid w:val="001E1907"/>
    <w:rsid w:val="001E2414"/>
    <w:rsid w:val="001E28CA"/>
    <w:rsid w:val="001E2BF7"/>
    <w:rsid w:val="001E31ED"/>
    <w:rsid w:val="001E395C"/>
    <w:rsid w:val="001E4A50"/>
    <w:rsid w:val="001E4F4C"/>
    <w:rsid w:val="001E50C7"/>
    <w:rsid w:val="001E5AF1"/>
    <w:rsid w:val="001E5DA1"/>
    <w:rsid w:val="001E7000"/>
    <w:rsid w:val="001E7250"/>
    <w:rsid w:val="001E7847"/>
    <w:rsid w:val="001E7D88"/>
    <w:rsid w:val="001F048E"/>
    <w:rsid w:val="001F0B2D"/>
    <w:rsid w:val="001F28FD"/>
    <w:rsid w:val="001F2931"/>
    <w:rsid w:val="001F2D1D"/>
    <w:rsid w:val="001F2FE8"/>
    <w:rsid w:val="001F3039"/>
    <w:rsid w:val="001F3121"/>
    <w:rsid w:val="001F39E8"/>
    <w:rsid w:val="001F3F22"/>
    <w:rsid w:val="001F3FF3"/>
    <w:rsid w:val="001F4386"/>
    <w:rsid w:val="001F488B"/>
    <w:rsid w:val="001F4ADA"/>
    <w:rsid w:val="001F4F6C"/>
    <w:rsid w:val="001F56CB"/>
    <w:rsid w:val="001F61A4"/>
    <w:rsid w:val="001F64BA"/>
    <w:rsid w:val="001F6A20"/>
    <w:rsid w:val="001F6CC4"/>
    <w:rsid w:val="0020001F"/>
    <w:rsid w:val="00200091"/>
    <w:rsid w:val="002002B8"/>
    <w:rsid w:val="00200684"/>
    <w:rsid w:val="0020072B"/>
    <w:rsid w:val="00200744"/>
    <w:rsid w:val="0020079A"/>
    <w:rsid w:val="002007B6"/>
    <w:rsid w:val="00200E46"/>
    <w:rsid w:val="00201405"/>
    <w:rsid w:val="0020251E"/>
    <w:rsid w:val="002035E6"/>
    <w:rsid w:val="002043D7"/>
    <w:rsid w:val="0020534D"/>
    <w:rsid w:val="00205A4E"/>
    <w:rsid w:val="002063A6"/>
    <w:rsid w:val="00206400"/>
    <w:rsid w:val="002066F4"/>
    <w:rsid w:val="0020672A"/>
    <w:rsid w:val="00206AC9"/>
    <w:rsid w:val="0020733E"/>
    <w:rsid w:val="002073C7"/>
    <w:rsid w:val="00207927"/>
    <w:rsid w:val="002104AA"/>
    <w:rsid w:val="00210528"/>
    <w:rsid w:val="0021059D"/>
    <w:rsid w:val="00210E71"/>
    <w:rsid w:val="0021119D"/>
    <w:rsid w:val="00211A53"/>
    <w:rsid w:val="002122FA"/>
    <w:rsid w:val="00212F91"/>
    <w:rsid w:val="00213B34"/>
    <w:rsid w:val="00213C83"/>
    <w:rsid w:val="002140C6"/>
    <w:rsid w:val="00216126"/>
    <w:rsid w:val="0021637B"/>
    <w:rsid w:val="00216426"/>
    <w:rsid w:val="00216CF9"/>
    <w:rsid w:val="00216D00"/>
    <w:rsid w:val="00216F0F"/>
    <w:rsid w:val="002171B9"/>
    <w:rsid w:val="00217C65"/>
    <w:rsid w:val="0022019B"/>
    <w:rsid w:val="002206D1"/>
    <w:rsid w:val="00220DB1"/>
    <w:rsid w:val="0022171E"/>
    <w:rsid w:val="00221A1C"/>
    <w:rsid w:val="00221A69"/>
    <w:rsid w:val="00222314"/>
    <w:rsid w:val="002237EA"/>
    <w:rsid w:val="00223E20"/>
    <w:rsid w:val="0022442D"/>
    <w:rsid w:val="00224517"/>
    <w:rsid w:val="00224910"/>
    <w:rsid w:val="00224A89"/>
    <w:rsid w:val="00224C09"/>
    <w:rsid w:val="002252FC"/>
    <w:rsid w:val="00226402"/>
    <w:rsid w:val="00226830"/>
    <w:rsid w:val="00226D15"/>
    <w:rsid w:val="002271F6"/>
    <w:rsid w:val="0022736B"/>
    <w:rsid w:val="00227436"/>
    <w:rsid w:val="00227F8A"/>
    <w:rsid w:val="00230176"/>
    <w:rsid w:val="00230D78"/>
    <w:rsid w:val="00230E0E"/>
    <w:rsid w:val="00230E8E"/>
    <w:rsid w:val="0023150E"/>
    <w:rsid w:val="002321A6"/>
    <w:rsid w:val="002332D6"/>
    <w:rsid w:val="002338E0"/>
    <w:rsid w:val="002347E3"/>
    <w:rsid w:val="00234AD1"/>
    <w:rsid w:val="0023533F"/>
    <w:rsid w:val="0023545F"/>
    <w:rsid w:val="00235A9E"/>
    <w:rsid w:val="00235B69"/>
    <w:rsid w:val="00236031"/>
    <w:rsid w:val="00236E5A"/>
    <w:rsid w:val="00236F44"/>
    <w:rsid w:val="00237070"/>
    <w:rsid w:val="00237CC9"/>
    <w:rsid w:val="0024016B"/>
    <w:rsid w:val="00240977"/>
    <w:rsid w:val="00240C0D"/>
    <w:rsid w:val="00241FDE"/>
    <w:rsid w:val="002425DF"/>
    <w:rsid w:val="002429B8"/>
    <w:rsid w:val="0024337D"/>
    <w:rsid w:val="00245484"/>
    <w:rsid w:val="00245A19"/>
    <w:rsid w:val="002467EF"/>
    <w:rsid w:val="0024726B"/>
    <w:rsid w:val="00247477"/>
    <w:rsid w:val="0024790E"/>
    <w:rsid w:val="002479BA"/>
    <w:rsid w:val="00250363"/>
    <w:rsid w:val="002503E1"/>
    <w:rsid w:val="00251FFD"/>
    <w:rsid w:val="002520A6"/>
    <w:rsid w:val="002520F4"/>
    <w:rsid w:val="002523E3"/>
    <w:rsid w:val="00252B97"/>
    <w:rsid w:val="00253AAF"/>
    <w:rsid w:val="00254102"/>
    <w:rsid w:val="002543FB"/>
    <w:rsid w:val="00254793"/>
    <w:rsid w:val="00254F03"/>
    <w:rsid w:val="002552A1"/>
    <w:rsid w:val="00256217"/>
    <w:rsid w:val="00256D16"/>
    <w:rsid w:val="00260B98"/>
    <w:rsid w:val="00260E3C"/>
    <w:rsid w:val="0026116B"/>
    <w:rsid w:val="0026147A"/>
    <w:rsid w:val="00261598"/>
    <w:rsid w:val="00261630"/>
    <w:rsid w:val="00261706"/>
    <w:rsid w:val="00261BDB"/>
    <w:rsid w:val="00262A9E"/>
    <w:rsid w:val="002636F3"/>
    <w:rsid w:val="0026408C"/>
    <w:rsid w:val="00264256"/>
    <w:rsid w:val="002644C1"/>
    <w:rsid w:val="00264C77"/>
    <w:rsid w:val="00264D12"/>
    <w:rsid w:val="00264DCF"/>
    <w:rsid w:val="00264EED"/>
    <w:rsid w:val="0026502C"/>
    <w:rsid w:val="0026539A"/>
    <w:rsid w:val="00265F58"/>
    <w:rsid w:val="00266592"/>
    <w:rsid w:val="00266E90"/>
    <w:rsid w:val="00266FA1"/>
    <w:rsid w:val="002673F9"/>
    <w:rsid w:val="00267AC9"/>
    <w:rsid w:val="00267F02"/>
    <w:rsid w:val="00270154"/>
    <w:rsid w:val="00270401"/>
    <w:rsid w:val="00270DB5"/>
    <w:rsid w:val="00270EA2"/>
    <w:rsid w:val="00271A3D"/>
    <w:rsid w:val="00273E0C"/>
    <w:rsid w:val="00273E1B"/>
    <w:rsid w:val="00273FB2"/>
    <w:rsid w:val="00274064"/>
    <w:rsid w:val="00274812"/>
    <w:rsid w:val="00275424"/>
    <w:rsid w:val="0027545A"/>
    <w:rsid w:val="00275998"/>
    <w:rsid w:val="002764C5"/>
    <w:rsid w:val="00276CD4"/>
    <w:rsid w:val="00276D57"/>
    <w:rsid w:val="00276E32"/>
    <w:rsid w:val="00277119"/>
    <w:rsid w:val="002773F6"/>
    <w:rsid w:val="002775A8"/>
    <w:rsid w:val="00277625"/>
    <w:rsid w:val="00277A92"/>
    <w:rsid w:val="0028019E"/>
    <w:rsid w:val="00281084"/>
    <w:rsid w:val="002811A6"/>
    <w:rsid w:val="00281582"/>
    <w:rsid w:val="002826CF"/>
    <w:rsid w:val="0028301B"/>
    <w:rsid w:val="00283444"/>
    <w:rsid w:val="002838DC"/>
    <w:rsid w:val="00283C16"/>
    <w:rsid w:val="00284045"/>
    <w:rsid w:val="00284A29"/>
    <w:rsid w:val="00284B09"/>
    <w:rsid w:val="00284CC5"/>
    <w:rsid w:val="00284F46"/>
    <w:rsid w:val="00285563"/>
    <w:rsid w:val="00286280"/>
    <w:rsid w:val="0028632E"/>
    <w:rsid w:val="0028651D"/>
    <w:rsid w:val="00286B07"/>
    <w:rsid w:val="002902AE"/>
    <w:rsid w:val="00290788"/>
    <w:rsid w:val="00290B49"/>
    <w:rsid w:val="00291043"/>
    <w:rsid w:val="0029132B"/>
    <w:rsid w:val="00291794"/>
    <w:rsid w:val="00291C5C"/>
    <w:rsid w:val="00291D91"/>
    <w:rsid w:val="00291DFE"/>
    <w:rsid w:val="00292BCD"/>
    <w:rsid w:val="00292D5A"/>
    <w:rsid w:val="00292F23"/>
    <w:rsid w:val="00292FA0"/>
    <w:rsid w:val="00293D33"/>
    <w:rsid w:val="0029467C"/>
    <w:rsid w:val="00294913"/>
    <w:rsid w:val="00295029"/>
    <w:rsid w:val="00295965"/>
    <w:rsid w:val="0029666D"/>
    <w:rsid w:val="002970AA"/>
    <w:rsid w:val="00297EF5"/>
    <w:rsid w:val="002A1A05"/>
    <w:rsid w:val="002A1C3F"/>
    <w:rsid w:val="002A1DFA"/>
    <w:rsid w:val="002A1E86"/>
    <w:rsid w:val="002A235A"/>
    <w:rsid w:val="002A28ED"/>
    <w:rsid w:val="002A3033"/>
    <w:rsid w:val="002A4D49"/>
    <w:rsid w:val="002A504D"/>
    <w:rsid w:val="002A5960"/>
    <w:rsid w:val="002A5BD7"/>
    <w:rsid w:val="002A5E61"/>
    <w:rsid w:val="002A62F8"/>
    <w:rsid w:val="002A6B05"/>
    <w:rsid w:val="002A7C02"/>
    <w:rsid w:val="002A7E3E"/>
    <w:rsid w:val="002B0240"/>
    <w:rsid w:val="002B0FF8"/>
    <w:rsid w:val="002B133C"/>
    <w:rsid w:val="002B14E0"/>
    <w:rsid w:val="002B1823"/>
    <w:rsid w:val="002B1BEA"/>
    <w:rsid w:val="002B2189"/>
    <w:rsid w:val="002B2217"/>
    <w:rsid w:val="002B226D"/>
    <w:rsid w:val="002B2472"/>
    <w:rsid w:val="002B28C8"/>
    <w:rsid w:val="002B2D55"/>
    <w:rsid w:val="002B3F15"/>
    <w:rsid w:val="002B462F"/>
    <w:rsid w:val="002B5305"/>
    <w:rsid w:val="002B5723"/>
    <w:rsid w:val="002B5FC5"/>
    <w:rsid w:val="002B604B"/>
    <w:rsid w:val="002B6141"/>
    <w:rsid w:val="002B680C"/>
    <w:rsid w:val="002B72B5"/>
    <w:rsid w:val="002B7495"/>
    <w:rsid w:val="002C0C75"/>
    <w:rsid w:val="002C0D16"/>
    <w:rsid w:val="002C1605"/>
    <w:rsid w:val="002C1A66"/>
    <w:rsid w:val="002C1CC6"/>
    <w:rsid w:val="002C3E96"/>
    <w:rsid w:val="002C43A9"/>
    <w:rsid w:val="002C4A0A"/>
    <w:rsid w:val="002C781C"/>
    <w:rsid w:val="002C7893"/>
    <w:rsid w:val="002D00E3"/>
    <w:rsid w:val="002D184C"/>
    <w:rsid w:val="002D1EEB"/>
    <w:rsid w:val="002D3770"/>
    <w:rsid w:val="002D3ACF"/>
    <w:rsid w:val="002D3D16"/>
    <w:rsid w:val="002D40D9"/>
    <w:rsid w:val="002D45AC"/>
    <w:rsid w:val="002D5CED"/>
    <w:rsid w:val="002D61A8"/>
    <w:rsid w:val="002D627E"/>
    <w:rsid w:val="002D685C"/>
    <w:rsid w:val="002D6C0A"/>
    <w:rsid w:val="002E11E5"/>
    <w:rsid w:val="002E1200"/>
    <w:rsid w:val="002E17A6"/>
    <w:rsid w:val="002E2B4E"/>
    <w:rsid w:val="002E2D50"/>
    <w:rsid w:val="002E3609"/>
    <w:rsid w:val="002E3E6A"/>
    <w:rsid w:val="002E467C"/>
    <w:rsid w:val="002E499D"/>
    <w:rsid w:val="002E4A6C"/>
    <w:rsid w:val="002E55C3"/>
    <w:rsid w:val="002E56C7"/>
    <w:rsid w:val="002E5724"/>
    <w:rsid w:val="002E682E"/>
    <w:rsid w:val="002E6899"/>
    <w:rsid w:val="002E73B5"/>
    <w:rsid w:val="002E78FF"/>
    <w:rsid w:val="002F0E52"/>
    <w:rsid w:val="002F1C88"/>
    <w:rsid w:val="002F26B9"/>
    <w:rsid w:val="002F359F"/>
    <w:rsid w:val="002F412C"/>
    <w:rsid w:val="002F443E"/>
    <w:rsid w:val="002F4FF8"/>
    <w:rsid w:val="002F505E"/>
    <w:rsid w:val="002F55EB"/>
    <w:rsid w:val="002F5E37"/>
    <w:rsid w:val="002F6467"/>
    <w:rsid w:val="002F6D93"/>
    <w:rsid w:val="002F7050"/>
    <w:rsid w:val="002F7107"/>
    <w:rsid w:val="002F7674"/>
    <w:rsid w:val="002F7E4A"/>
    <w:rsid w:val="00300DD8"/>
    <w:rsid w:val="00301C2A"/>
    <w:rsid w:val="00302565"/>
    <w:rsid w:val="00302C4A"/>
    <w:rsid w:val="00302E9E"/>
    <w:rsid w:val="00303B94"/>
    <w:rsid w:val="00304377"/>
    <w:rsid w:val="0030516F"/>
    <w:rsid w:val="0030598F"/>
    <w:rsid w:val="00306692"/>
    <w:rsid w:val="00306D68"/>
    <w:rsid w:val="0030735D"/>
    <w:rsid w:val="00307464"/>
    <w:rsid w:val="0031064C"/>
    <w:rsid w:val="003119F7"/>
    <w:rsid w:val="003125A1"/>
    <w:rsid w:val="00312BBE"/>
    <w:rsid w:val="00313562"/>
    <w:rsid w:val="00313FCF"/>
    <w:rsid w:val="0031411C"/>
    <w:rsid w:val="0031446D"/>
    <w:rsid w:val="003145D1"/>
    <w:rsid w:val="00314A72"/>
    <w:rsid w:val="00314C91"/>
    <w:rsid w:val="00315A75"/>
    <w:rsid w:val="00316332"/>
    <w:rsid w:val="003175AC"/>
    <w:rsid w:val="0031784B"/>
    <w:rsid w:val="00317F65"/>
    <w:rsid w:val="00321917"/>
    <w:rsid w:val="00321ECC"/>
    <w:rsid w:val="00322151"/>
    <w:rsid w:val="0032247D"/>
    <w:rsid w:val="003231B3"/>
    <w:rsid w:val="00323704"/>
    <w:rsid w:val="00323BBF"/>
    <w:rsid w:val="0032438E"/>
    <w:rsid w:val="00324B03"/>
    <w:rsid w:val="00325683"/>
    <w:rsid w:val="003256E8"/>
    <w:rsid w:val="003265BD"/>
    <w:rsid w:val="00326E95"/>
    <w:rsid w:val="00327777"/>
    <w:rsid w:val="00327C04"/>
    <w:rsid w:val="00327C3D"/>
    <w:rsid w:val="0033063F"/>
    <w:rsid w:val="0033071C"/>
    <w:rsid w:val="00330F42"/>
    <w:rsid w:val="00331119"/>
    <w:rsid w:val="00331195"/>
    <w:rsid w:val="0033219A"/>
    <w:rsid w:val="003325FA"/>
    <w:rsid w:val="00332678"/>
    <w:rsid w:val="00333102"/>
    <w:rsid w:val="00333673"/>
    <w:rsid w:val="00333ADB"/>
    <w:rsid w:val="00333D54"/>
    <w:rsid w:val="003344DC"/>
    <w:rsid w:val="003346E3"/>
    <w:rsid w:val="003347DA"/>
    <w:rsid w:val="003349C6"/>
    <w:rsid w:val="00334E25"/>
    <w:rsid w:val="003356D5"/>
    <w:rsid w:val="00336BA0"/>
    <w:rsid w:val="00336DF3"/>
    <w:rsid w:val="00337102"/>
    <w:rsid w:val="00337388"/>
    <w:rsid w:val="0033748B"/>
    <w:rsid w:val="00337834"/>
    <w:rsid w:val="00337C50"/>
    <w:rsid w:val="00340536"/>
    <w:rsid w:val="003409B3"/>
    <w:rsid w:val="00340B17"/>
    <w:rsid w:val="00342594"/>
    <w:rsid w:val="00342813"/>
    <w:rsid w:val="003440B7"/>
    <w:rsid w:val="0034433D"/>
    <w:rsid w:val="00344626"/>
    <w:rsid w:val="0034505B"/>
    <w:rsid w:val="00346816"/>
    <w:rsid w:val="003469BE"/>
    <w:rsid w:val="003469C4"/>
    <w:rsid w:val="00346C8D"/>
    <w:rsid w:val="00347796"/>
    <w:rsid w:val="003479D9"/>
    <w:rsid w:val="00347D99"/>
    <w:rsid w:val="0035026B"/>
    <w:rsid w:val="00350B93"/>
    <w:rsid w:val="003517C7"/>
    <w:rsid w:val="003517E7"/>
    <w:rsid w:val="00351EFE"/>
    <w:rsid w:val="003524CF"/>
    <w:rsid w:val="0035319E"/>
    <w:rsid w:val="00353255"/>
    <w:rsid w:val="0035379E"/>
    <w:rsid w:val="00353E61"/>
    <w:rsid w:val="00353E65"/>
    <w:rsid w:val="00354253"/>
    <w:rsid w:val="00354475"/>
    <w:rsid w:val="003553C6"/>
    <w:rsid w:val="003559E6"/>
    <w:rsid w:val="00355BF7"/>
    <w:rsid w:val="00355D6A"/>
    <w:rsid w:val="00355D99"/>
    <w:rsid w:val="00355E9A"/>
    <w:rsid w:val="003566E3"/>
    <w:rsid w:val="003568D7"/>
    <w:rsid w:val="00356C89"/>
    <w:rsid w:val="00357E71"/>
    <w:rsid w:val="0036175C"/>
    <w:rsid w:val="00361F51"/>
    <w:rsid w:val="0036261A"/>
    <w:rsid w:val="00363AC5"/>
    <w:rsid w:val="00364891"/>
    <w:rsid w:val="003649CD"/>
    <w:rsid w:val="00365118"/>
    <w:rsid w:val="003654EF"/>
    <w:rsid w:val="0036654E"/>
    <w:rsid w:val="003670FE"/>
    <w:rsid w:val="00371322"/>
    <w:rsid w:val="00371905"/>
    <w:rsid w:val="00371E49"/>
    <w:rsid w:val="00372569"/>
    <w:rsid w:val="00373295"/>
    <w:rsid w:val="003735B5"/>
    <w:rsid w:val="00374B60"/>
    <w:rsid w:val="00375655"/>
    <w:rsid w:val="00375ACF"/>
    <w:rsid w:val="0037641D"/>
    <w:rsid w:val="0037653B"/>
    <w:rsid w:val="003766C4"/>
    <w:rsid w:val="003773C9"/>
    <w:rsid w:val="0037755C"/>
    <w:rsid w:val="00377B58"/>
    <w:rsid w:val="00377E14"/>
    <w:rsid w:val="00380569"/>
    <w:rsid w:val="00381348"/>
    <w:rsid w:val="0038169F"/>
    <w:rsid w:val="00381B23"/>
    <w:rsid w:val="00382ADA"/>
    <w:rsid w:val="003835D5"/>
    <w:rsid w:val="00385E08"/>
    <w:rsid w:val="003865F4"/>
    <w:rsid w:val="00386644"/>
    <w:rsid w:val="00386DFD"/>
    <w:rsid w:val="00387667"/>
    <w:rsid w:val="00387836"/>
    <w:rsid w:val="00387B44"/>
    <w:rsid w:val="00387BE4"/>
    <w:rsid w:val="00387D57"/>
    <w:rsid w:val="00387D76"/>
    <w:rsid w:val="00390BB4"/>
    <w:rsid w:val="00390C26"/>
    <w:rsid w:val="00390E0D"/>
    <w:rsid w:val="003911CB"/>
    <w:rsid w:val="003917BD"/>
    <w:rsid w:val="00391F95"/>
    <w:rsid w:val="003926D0"/>
    <w:rsid w:val="003932E6"/>
    <w:rsid w:val="00395157"/>
    <w:rsid w:val="003959DD"/>
    <w:rsid w:val="00395D24"/>
    <w:rsid w:val="003965B5"/>
    <w:rsid w:val="00396833"/>
    <w:rsid w:val="003970EB"/>
    <w:rsid w:val="003A0F65"/>
    <w:rsid w:val="003A1DCD"/>
    <w:rsid w:val="003A271E"/>
    <w:rsid w:val="003A2C3E"/>
    <w:rsid w:val="003A310A"/>
    <w:rsid w:val="003A35FC"/>
    <w:rsid w:val="003A3B53"/>
    <w:rsid w:val="003A413C"/>
    <w:rsid w:val="003A4154"/>
    <w:rsid w:val="003A4882"/>
    <w:rsid w:val="003A48C2"/>
    <w:rsid w:val="003A4E06"/>
    <w:rsid w:val="003A5912"/>
    <w:rsid w:val="003A5FBC"/>
    <w:rsid w:val="003A6F53"/>
    <w:rsid w:val="003A75E8"/>
    <w:rsid w:val="003A78FA"/>
    <w:rsid w:val="003A7C3C"/>
    <w:rsid w:val="003B0382"/>
    <w:rsid w:val="003B0AD1"/>
    <w:rsid w:val="003B0C24"/>
    <w:rsid w:val="003B14DD"/>
    <w:rsid w:val="003B2B6D"/>
    <w:rsid w:val="003B2F86"/>
    <w:rsid w:val="003B3298"/>
    <w:rsid w:val="003B3B1B"/>
    <w:rsid w:val="003B4623"/>
    <w:rsid w:val="003B506F"/>
    <w:rsid w:val="003B5178"/>
    <w:rsid w:val="003B55FC"/>
    <w:rsid w:val="003B5ED1"/>
    <w:rsid w:val="003B7431"/>
    <w:rsid w:val="003B7479"/>
    <w:rsid w:val="003B777E"/>
    <w:rsid w:val="003C08E6"/>
    <w:rsid w:val="003C12AD"/>
    <w:rsid w:val="003C19A0"/>
    <w:rsid w:val="003C1F50"/>
    <w:rsid w:val="003C28E7"/>
    <w:rsid w:val="003C2B22"/>
    <w:rsid w:val="003C3268"/>
    <w:rsid w:val="003C3715"/>
    <w:rsid w:val="003C3C58"/>
    <w:rsid w:val="003C42D8"/>
    <w:rsid w:val="003C49BA"/>
    <w:rsid w:val="003C4AD1"/>
    <w:rsid w:val="003C5994"/>
    <w:rsid w:val="003C5A6F"/>
    <w:rsid w:val="003C5CAB"/>
    <w:rsid w:val="003C6BE0"/>
    <w:rsid w:val="003C7485"/>
    <w:rsid w:val="003C796C"/>
    <w:rsid w:val="003C79CA"/>
    <w:rsid w:val="003D011B"/>
    <w:rsid w:val="003D02D1"/>
    <w:rsid w:val="003D0785"/>
    <w:rsid w:val="003D0B33"/>
    <w:rsid w:val="003D12A8"/>
    <w:rsid w:val="003D13F0"/>
    <w:rsid w:val="003D2481"/>
    <w:rsid w:val="003D2A1C"/>
    <w:rsid w:val="003D2AD4"/>
    <w:rsid w:val="003D2BAE"/>
    <w:rsid w:val="003D35B2"/>
    <w:rsid w:val="003D3A08"/>
    <w:rsid w:val="003D3C92"/>
    <w:rsid w:val="003D3F1E"/>
    <w:rsid w:val="003D3FEB"/>
    <w:rsid w:val="003D4865"/>
    <w:rsid w:val="003D4940"/>
    <w:rsid w:val="003D5072"/>
    <w:rsid w:val="003D5582"/>
    <w:rsid w:val="003D61FA"/>
    <w:rsid w:val="003D6A53"/>
    <w:rsid w:val="003D6D09"/>
    <w:rsid w:val="003E1435"/>
    <w:rsid w:val="003E14A5"/>
    <w:rsid w:val="003E194C"/>
    <w:rsid w:val="003E2919"/>
    <w:rsid w:val="003E3920"/>
    <w:rsid w:val="003E3E63"/>
    <w:rsid w:val="003E3F83"/>
    <w:rsid w:val="003E4EA4"/>
    <w:rsid w:val="003E668A"/>
    <w:rsid w:val="003E6CAF"/>
    <w:rsid w:val="003E6D8E"/>
    <w:rsid w:val="003E7262"/>
    <w:rsid w:val="003E7661"/>
    <w:rsid w:val="003F0040"/>
    <w:rsid w:val="003F0C9C"/>
    <w:rsid w:val="003F1989"/>
    <w:rsid w:val="003F19DF"/>
    <w:rsid w:val="003F1D44"/>
    <w:rsid w:val="003F1D93"/>
    <w:rsid w:val="003F275F"/>
    <w:rsid w:val="003F32C9"/>
    <w:rsid w:val="003F33EC"/>
    <w:rsid w:val="003F3FF5"/>
    <w:rsid w:val="003F426B"/>
    <w:rsid w:val="003F58AF"/>
    <w:rsid w:val="003F750C"/>
    <w:rsid w:val="00401EDE"/>
    <w:rsid w:val="00401F7A"/>
    <w:rsid w:val="004027F1"/>
    <w:rsid w:val="004033DD"/>
    <w:rsid w:val="0040375F"/>
    <w:rsid w:val="0040425A"/>
    <w:rsid w:val="004042B1"/>
    <w:rsid w:val="004044FC"/>
    <w:rsid w:val="0040490D"/>
    <w:rsid w:val="00404D00"/>
    <w:rsid w:val="00404FC1"/>
    <w:rsid w:val="00405500"/>
    <w:rsid w:val="00405F7F"/>
    <w:rsid w:val="00406B93"/>
    <w:rsid w:val="0040746B"/>
    <w:rsid w:val="004077F0"/>
    <w:rsid w:val="00410464"/>
    <w:rsid w:val="00410B9B"/>
    <w:rsid w:val="004112B1"/>
    <w:rsid w:val="004116E0"/>
    <w:rsid w:val="00411AFF"/>
    <w:rsid w:val="00412DB4"/>
    <w:rsid w:val="00413627"/>
    <w:rsid w:val="004136CF"/>
    <w:rsid w:val="00413D5F"/>
    <w:rsid w:val="004148C2"/>
    <w:rsid w:val="00415C7E"/>
    <w:rsid w:val="00416041"/>
    <w:rsid w:val="004163A1"/>
    <w:rsid w:val="00416907"/>
    <w:rsid w:val="004172BA"/>
    <w:rsid w:val="00417E24"/>
    <w:rsid w:val="004205EB"/>
    <w:rsid w:val="00420D46"/>
    <w:rsid w:val="004225F2"/>
    <w:rsid w:val="0042271D"/>
    <w:rsid w:val="00422B26"/>
    <w:rsid w:val="00423F3C"/>
    <w:rsid w:val="00424266"/>
    <w:rsid w:val="00424D4A"/>
    <w:rsid w:val="00425343"/>
    <w:rsid w:val="00425666"/>
    <w:rsid w:val="00426014"/>
    <w:rsid w:val="00426113"/>
    <w:rsid w:val="0042756F"/>
    <w:rsid w:val="0043175D"/>
    <w:rsid w:val="00432263"/>
    <w:rsid w:val="0043242E"/>
    <w:rsid w:val="00432903"/>
    <w:rsid w:val="0043299B"/>
    <w:rsid w:val="00433244"/>
    <w:rsid w:val="004337CD"/>
    <w:rsid w:val="00433FE6"/>
    <w:rsid w:val="0043401C"/>
    <w:rsid w:val="004345BC"/>
    <w:rsid w:val="00434D1C"/>
    <w:rsid w:val="0043506A"/>
    <w:rsid w:val="00435A5F"/>
    <w:rsid w:val="00435B7E"/>
    <w:rsid w:val="00436CE4"/>
    <w:rsid w:val="00436FB3"/>
    <w:rsid w:val="004377B5"/>
    <w:rsid w:val="004403DF"/>
    <w:rsid w:val="0044241F"/>
    <w:rsid w:val="00443C55"/>
    <w:rsid w:val="00443E4C"/>
    <w:rsid w:val="00443F3E"/>
    <w:rsid w:val="00444240"/>
    <w:rsid w:val="00444735"/>
    <w:rsid w:val="00444C6F"/>
    <w:rsid w:val="00444D4F"/>
    <w:rsid w:val="004454D3"/>
    <w:rsid w:val="004458F0"/>
    <w:rsid w:val="00445F7D"/>
    <w:rsid w:val="004461AA"/>
    <w:rsid w:val="004466B4"/>
    <w:rsid w:val="00446A87"/>
    <w:rsid w:val="00446BD4"/>
    <w:rsid w:val="00446F8C"/>
    <w:rsid w:val="00446FFF"/>
    <w:rsid w:val="004470E3"/>
    <w:rsid w:val="004473F9"/>
    <w:rsid w:val="00447A73"/>
    <w:rsid w:val="0045083E"/>
    <w:rsid w:val="00450AE8"/>
    <w:rsid w:val="00450EF3"/>
    <w:rsid w:val="004516E9"/>
    <w:rsid w:val="00451BD6"/>
    <w:rsid w:val="0045207E"/>
    <w:rsid w:val="004526C6"/>
    <w:rsid w:val="00452AC0"/>
    <w:rsid w:val="004531A8"/>
    <w:rsid w:val="0045415E"/>
    <w:rsid w:val="00454E89"/>
    <w:rsid w:val="004561D1"/>
    <w:rsid w:val="00457589"/>
    <w:rsid w:val="00460796"/>
    <w:rsid w:val="00460EE5"/>
    <w:rsid w:val="00461F01"/>
    <w:rsid w:val="0046248E"/>
    <w:rsid w:val="004625F3"/>
    <w:rsid w:val="00462B67"/>
    <w:rsid w:val="00463301"/>
    <w:rsid w:val="0046414E"/>
    <w:rsid w:val="00464A90"/>
    <w:rsid w:val="00464B99"/>
    <w:rsid w:val="00465577"/>
    <w:rsid w:val="00467962"/>
    <w:rsid w:val="00470135"/>
    <w:rsid w:val="0047061E"/>
    <w:rsid w:val="00470785"/>
    <w:rsid w:val="00470A8C"/>
    <w:rsid w:val="00471901"/>
    <w:rsid w:val="00471E95"/>
    <w:rsid w:val="00472785"/>
    <w:rsid w:val="00473278"/>
    <w:rsid w:val="00473D81"/>
    <w:rsid w:val="00474AF1"/>
    <w:rsid w:val="00474F5B"/>
    <w:rsid w:val="00476509"/>
    <w:rsid w:val="004768CE"/>
    <w:rsid w:val="004778C2"/>
    <w:rsid w:val="00480189"/>
    <w:rsid w:val="004807D7"/>
    <w:rsid w:val="00480C1C"/>
    <w:rsid w:val="004834AF"/>
    <w:rsid w:val="004839EC"/>
    <w:rsid w:val="004845ED"/>
    <w:rsid w:val="00484EAA"/>
    <w:rsid w:val="004859AB"/>
    <w:rsid w:val="004859CB"/>
    <w:rsid w:val="004860A3"/>
    <w:rsid w:val="00486DB8"/>
    <w:rsid w:val="0048714A"/>
    <w:rsid w:val="004871A1"/>
    <w:rsid w:val="004915D9"/>
    <w:rsid w:val="004919B2"/>
    <w:rsid w:val="00491A2C"/>
    <w:rsid w:val="004929D7"/>
    <w:rsid w:val="00492D8B"/>
    <w:rsid w:val="00493D2B"/>
    <w:rsid w:val="00495CE0"/>
    <w:rsid w:val="00497679"/>
    <w:rsid w:val="00497C4F"/>
    <w:rsid w:val="00497CEE"/>
    <w:rsid w:val="004A0E47"/>
    <w:rsid w:val="004A0FB6"/>
    <w:rsid w:val="004A1F82"/>
    <w:rsid w:val="004A24AE"/>
    <w:rsid w:val="004A27CC"/>
    <w:rsid w:val="004A27F9"/>
    <w:rsid w:val="004A36F5"/>
    <w:rsid w:val="004A4292"/>
    <w:rsid w:val="004A4EE7"/>
    <w:rsid w:val="004A51BD"/>
    <w:rsid w:val="004A5C8D"/>
    <w:rsid w:val="004A79C3"/>
    <w:rsid w:val="004A7C37"/>
    <w:rsid w:val="004A7D05"/>
    <w:rsid w:val="004B03A5"/>
    <w:rsid w:val="004B0612"/>
    <w:rsid w:val="004B07D7"/>
    <w:rsid w:val="004B0901"/>
    <w:rsid w:val="004B1FEC"/>
    <w:rsid w:val="004B2027"/>
    <w:rsid w:val="004B2130"/>
    <w:rsid w:val="004B2287"/>
    <w:rsid w:val="004B27CA"/>
    <w:rsid w:val="004B449C"/>
    <w:rsid w:val="004B47E7"/>
    <w:rsid w:val="004B4C40"/>
    <w:rsid w:val="004B4FD3"/>
    <w:rsid w:val="004B53CC"/>
    <w:rsid w:val="004B54AA"/>
    <w:rsid w:val="004B6FCB"/>
    <w:rsid w:val="004B7063"/>
    <w:rsid w:val="004B7137"/>
    <w:rsid w:val="004B798C"/>
    <w:rsid w:val="004C0E54"/>
    <w:rsid w:val="004C11E3"/>
    <w:rsid w:val="004C147C"/>
    <w:rsid w:val="004C15B3"/>
    <w:rsid w:val="004C1667"/>
    <w:rsid w:val="004C1B46"/>
    <w:rsid w:val="004C2084"/>
    <w:rsid w:val="004C2786"/>
    <w:rsid w:val="004C2999"/>
    <w:rsid w:val="004C2A99"/>
    <w:rsid w:val="004C3EB5"/>
    <w:rsid w:val="004C4764"/>
    <w:rsid w:val="004C4CA3"/>
    <w:rsid w:val="004C588A"/>
    <w:rsid w:val="004C68A3"/>
    <w:rsid w:val="004C6E8F"/>
    <w:rsid w:val="004D00A7"/>
    <w:rsid w:val="004D045A"/>
    <w:rsid w:val="004D0532"/>
    <w:rsid w:val="004D1A52"/>
    <w:rsid w:val="004D1BB1"/>
    <w:rsid w:val="004D3388"/>
    <w:rsid w:val="004D45B2"/>
    <w:rsid w:val="004D45E4"/>
    <w:rsid w:val="004D5D7B"/>
    <w:rsid w:val="004D72DE"/>
    <w:rsid w:val="004D7C6E"/>
    <w:rsid w:val="004D7DB6"/>
    <w:rsid w:val="004E037D"/>
    <w:rsid w:val="004E0685"/>
    <w:rsid w:val="004E1648"/>
    <w:rsid w:val="004E2066"/>
    <w:rsid w:val="004E2379"/>
    <w:rsid w:val="004E2E7D"/>
    <w:rsid w:val="004E3482"/>
    <w:rsid w:val="004E3509"/>
    <w:rsid w:val="004E3BDC"/>
    <w:rsid w:val="004E58FC"/>
    <w:rsid w:val="004E5CD8"/>
    <w:rsid w:val="004E6409"/>
    <w:rsid w:val="004E65A2"/>
    <w:rsid w:val="004E669D"/>
    <w:rsid w:val="004E6AF3"/>
    <w:rsid w:val="004F10AB"/>
    <w:rsid w:val="004F122F"/>
    <w:rsid w:val="004F1B15"/>
    <w:rsid w:val="004F2223"/>
    <w:rsid w:val="004F3159"/>
    <w:rsid w:val="004F369E"/>
    <w:rsid w:val="004F3987"/>
    <w:rsid w:val="004F411A"/>
    <w:rsid w:val="004F4337"/>
    <w:rsid w:val="004F57FD"/>
    <w:rsid w:val="004F5F33"/>
    <w:rsid w:val="004F5FEF"/>
    <w:rsid w:val="004F7894"/>
    <w:rsid w:val="004F7A83"/>
    <w:rsid w:val="004F7E67"/>
    <w:rsid w:val="00500090"/>
    <w:rsid w:val="0050028B"/>
    <w:rsid w:val="0050055D"/>
    <w:rsid w:val="00500610"/>
    <w:rsid w:val="00501136"/>
    <w:rsid w:val="00501411"/>
    <w:rsid w:val="005017CD"/>
    <w:rsid w:val="00501B85"/>
    <w:rsid w:val="00501C55"/>
    <w:rsid w:val="00502067"/>
    <w:rsid w:val="00502498"/>
    <w:rsid w:val="00503382"/>
    <w:rsid w:val="0050347F"/>
    <w:rsid w:val="00503AD9"/>
    <w:rsid w:val="00503C1D"/>
    <w:rsid w:val="00503D15"/>
    <w:rsid w:val="00504212"/>
    <w:rsid w:val="00504B88"/>
    <w:rsid w:val="00504D6B"/>
    <w:rsid w:val="00505A3D"/>
    <w:rsid w:val="005070E8"/>
    <w:rsid w:val="00507578"/>
    <w:rsid w:val="005076DA"/>
    <w:rsid w:val="005079B5"/>
    <w:rsid w:val="005101A7"/>
    <w:rsid w:val="00510E51"/>
    <w:rsid w:val="0051137B"/>
    <w:rsid w:val="00511897"/>
    <w:rsid w:val="00511A0B"/>
    <w:rsid w:val="00511C90"/>
    <w:rsid w:val="005127E1"/>
    <w:rsid w:val="00512BC3"/>
    <w:rsid w:val="0051365B"/>
    <w:rsid w:val="0051423E"/>
    <w:rsid w:val="005142AE"/>
    <w:rsid w:val="00515363"/>
    <w:rsid w:val="00515FF9"/>
    <w:rsid w:val="0051614F"/>
    <w:rsid w:val="00521062"/>
    <w:rsid w:val="005214CF"/>
    <w:rsid w:val="00521F91"/>
    <w:rsid w:val="00522971"/>
    <w:rsid w:val="00522B69"/>
    <w:rsid w:val="00523928"/>
    <w:rsid w:val="00523D6B"/>
    <w:rsid w:val="00524046"/>
    <w:rsid w:val="00525B13"/>
    <w:rsid w:val="005260B7"/>
    <w:rsid w:val="005264CB"/>
    <w:rsid w:val="00526C54"/>
    <w:rsid w:val="00527294"/>
    <w:rsid w:val="005273CA"/>
    <w:rsid w:val="005300EE"/>
    <w:rsid w:val="00531D7A"/>
    <w:rsid w:val="00531E12"/>
    <w:rsid w:val="00531FE9"/>
    <w:rsid w:val="00532002"/>
    <w:rsid w:val="005324A3"/>
    <w:rsid w:val="005338A8"/>
    <w:rsid w:val="00534403"/>
    <w:rsid w:val="005347E9"/>
    <w:rsid w:val="00535592"/>
    <w:rsid w:val="005356C8"/>
    <w:rsid w:val="00535A4B"/>
    <w:rsid w:val="0053710F"/>
    <w:rsid w:val="0053713E"/>
    <w:rsid w:val="0053741E"/>
    <w:rsid w:val="00537E63"/>
    <w:rsid w:val="0054069C"/>
    <w:rsid w:val="00540718"/>
    <w:rsid w:val="00541403"/>
    <w:rsid w:val="005416B1"/>
    <w:rsid w:val="0054177F"/>
    <w:rsid w:val="00542711"/>
    <w:rsid w:val="00542E35"/>
    <w:rsid w:val="0054301C"/>
    <w:rsid w:val="005437E4"/>
    <w:rsid w:val="00543B3C"/>
    <w:rsid w:val="00543CBE"/>
    <w:rsid w:val="00543CED"/>
    <w:rsid w:val="005440DE"/>
    <w:rsid w:val="005441AA"/>
    <w:rsid w:val="005445C7"/>
    <w:rsid w:val="00544A6D"/>
    <w:rsid w:val="00544E54"/>
    <w:rsid w:val="00545214"/>
    <w:rsid w:val="00545BD5"/>
    <w:rsid w:val="00545D2E"/>
    <w:rsid w:val="00546EA7"/>
    <w:rsid w:val="00547B68"/>
    <w:rsid w:val="00550024"/>
    <w:rsid w:val="005505A3"/>
    <w:rsid w:val="005505D7"/>
    <w:rsid w:val="00552AC4"/>
    <w:rsid w:val="005536B7"/>
    <w:rsid w:val="00553F34"/>
    <w:rsid w:val="00553FA1"/>
    <w:rsid w:val="00554005"/>
    <w:rsid w:val="00555C6F"/>
    <w:rsid w:val="00555FD9"/>
    <w:rsid w:val="00555FF0"/>
    <w:rsid w:val="005560CC"/>
    <w:rsid w:val="005604FC"/>
    <w:rsid w:val="00560AF0"/>
    <w:rsid w:val="00560F1A"/>
    <w:rsid w:val="0056200F"/>
    <w:rsid w:val="00562325"/>
    <w:rsid w:val="005669A4"/>
    <w:rsid w:val="0056736B"/>
    <w:rsid w:val="005673CB"/>
    <w:rsid w:val="00567D1B"/>
    <w:rsid w:val="00570F59"/>
    <w:rsid w:val="00571791"/>
    <w:rsid w:val="00571CD8"/>
    <w:rsid w:val="0057307C"/>
    <w:rsid w:val="00574042"/>
    <w:rsid w:val="0057547F"/>
    <w:rsid w:val="005760B2"/>
    <w:rsid w:val="005764AF"/>
    <w:rsid w:val="00576B19"/>
    <w:rsid w:val="00577994"/>
    <w:rsid w:val="0058160A"/>
    <w:rsid w:val="00581B2C"/>
    <w:rsid w:val="00581C55"/>
    <w:rsid w:val="0058248D"/>
    <w:rsid w:val="00582799"/>
    <w:rsid w:val="00583DEB"/>
    <w:rsid w:val="00584BBF"/>
    <w:rsid w:val="00585025"/>
    <w:rsid w:val="00586433"/>
    <w:rsid w:val="00587E5D"/>
    <w:rsid w:val="0059013A"/>
    <w:rsid w:val="00591198"/>
    <w:rsid w:val="005913FE"/>
    <w:rsid w:val="00591779"/>
    <w:rsid w:val="005920B1"/>
    <w:rsid w:val="0059212E"/>
    <w:rsid w:val="0059289F"/>
    <w:rsid w:val="0059328E"/>
    <w:rsid w:val="005935AA"/>
    <w:rsid w:val="005939FF"/>
    <w:rsid w:val="00594490"/>
    <w:rsid w:val="00595311"/>
    <w:rsid w:val="0059556F"/>
    <w:rsid w:val="005960CE"/>
    <w:rsid w:val="00597630"/>
    <w:rsid w:val="00597B3B"/>
    <w:rsid w:val="005A0EAF"/>
    <w:rsid w:val="005A0FF5"/>
    <w:rsid w:val="005A1896"/>
    <w:rsid w:val="005A39AD"/>
    <w:rsid w:val="005A3E26"/>
    <w:rsid w:val="005A43A6"/>
    <w:rsid w:val="005A535A"/>
    <w:rsid w:val="005A686D"/>
    <w:rsid w:val="005A7F1F"/>
    <w:rsid w:val="005B01AC"/>
    <w:rsid w:val="005B0AF5"/>
    <w:rsid w:val="005B0D3C"/>
    <w:rsid w:val="005B21C0"/>
    <w:rsid w:val="005B2317"/>
    <w:rsid w:val="005B3E2A"/>
    <w:rsid w:val="005B4936"/>
    <w:rsid w:val="005B4EBF"/>
    <w:rsid w:val="005B5328"/>
    <w:rsid w:val="005B6FEB"/>
    <w:rsid w:val="005B75FD"/>
    <w:rsid w:val="005B7879"/>
    <w:rsid w:val="005B7CEC"/>
    <w:rsid w:val="005C010B"/>
    <w:rsid w:val="005C0182"/>
    <w:rsid w:val="005C0412"/>
    <w:rsid w:val="005C071C"/>
    <w:rsid w:val="005C0BBD"/>
    <w:rsid w:val="005C0DE5"/>
    <w:rsid w:val="005C11D8"/>
    <w:rsid w:val="005C1EFE"/>
    <w:rsid w:val="005C21B5"/>
    <w:rsid w:val="005C3FBE"/>
    <w:rsid w:val="005C4453"/>
    <w:rsid w:val="005C49DA"/>
    <w:rsid w:val="005C503D"/>
    <w:rsid w:val="005C6B73"/>
    <w:rsid w:val="005D07AE"/>
    <w:rsid w:val="005D0E4A"/>
    <w:rsid w:val="005D11F5"/>
    <w:rsid w:val="005D2B7F"/>
    <w:rsid w:val="005D32FA"/>
    <w:rsid w:val="005D3908"/>
    <w:rsid w:val="005D3BAC"/>
    <w:rsid w:val="005D4A14"/>
    <w:rsid w:val="005D4F92"/>
    <w:rsid w:val="005D5201"/>
    <w:rsid w:val="005D520B"/>
    <w:rsid w:val="005D5A97"/>
    <w:rsid w:val="005D5C96"/>
    <w:rsid w:val="005D5F38"/>
    <w:rsid w:val="005D6561"/>
    <w:rsid w:val="005D6BF6"/>
    <w:rsid w:val="005D6C39"/>
    <w:rsid w:val="005D6C9E"/>
    <w:rsid w:val="005D77B0"/>
    <w:rsid w:val="005D77C0"/>
    <w:rsid w:val="005D781B"/>
    <w:rsid w:val="005E1117"/>
    <w:rsid w:val="005E1ABC"/>
    <w:rsid w:val="005E1E59"/>
    <w:rsid w:val="005E2751"/>
    <w:rsid w:val="005E345F"/>
    <w:rsid w:val="005E4BAD"/>
    <w:rsid w:val="005E4F0F"/>
    <w:rsid w:val="005E522C"/>
    <w:rsid w:val="005E53BE"/>
    <w:rsid w:val="005E6533"/>
    <w:rsid w:val="005E6A4A"/>
    <w:rsid w:val="005E6D6A"/>
    <w:rsid w:val="005E76C7"/>
    <w:rsid w:val="005E76D5"/>
    <w:rsid w:val="005F2343"/>
    <w:rsid w:val="005F24DE"/>
    <w:rsid w:val="005F2C4C"/>
    <w:rsid w:val="005F30C4"/>
    <w:rsid w:val="005F3B24"/>
    <w:rsid w:val="005F4547"/>
    <w:rsid w:val="005F48EB"/>
    <w:rsid w:val="005F4B78"/>
    <w:rsid w:val="005F4DB0"/>
    <w:rsid w:val="005F5955"/>
    <w:rsid w:val="005F6205"/>
    <w:rsid w:val="005F6243"/>
    <w:rsid w:val="005F7131"/>
    <w:rsid w:val="005F739E"/>
    <w:rsid w:val="005F7576"/>
    <w:rsid w:val="005F7B45"/>
    <w:rsid w:val="005F7FB1"/>
    <w:rsid w:val="0060058B"/>
    <w:rsid w:val="00600744"/>
    <w:rsid w:val="00600BAD"/>
    <w:rsid w:val="00600C31"/>
    <w:rsid w:val="006014EE"/>
    <w:rsid w:val="00601E8B"/>
    <w:rsid w:val="00601FCA"/>
    <w:rsid w:val="00601FFD"/>
    <w:rsid w:val="0060230F"/>
    <w:rsid w:val="00602421"/>
    <w:rsid w:val="006037C9"/>
    <w:rsid w:val="00604523"/>
    <w:rsid w:val="006049E7"/>
    <w:rsid w:val="00604AB4"/>
    <w:rsid w:val="00605153"/>
    <w:rsid w:val="006054A6"/>
    <w:rsid w:val="006057FB"/>
    <w:rsid w:val="00605935"/>
    <w:rsid w:val="00605C2D"/>
    <w:rsid w:val="00605CBD"/>
    <w:rsid w:val="006064C9"/>
    <w:rsid w:val="00607A73"/>
    <w:rsid w:val="00610AB2"/>
    <w:rsid w:val="00611446"/>
    <w:rsid w:val="00611997"/>
    <w:rsid w:val="00612560"/>
    <w:rsid w:val="006146B8"/>
    <w:rsid w:val="0061473D"/>
    <w:rsid w:val="00615A29"/>
    <w:rsid w:val="00615D1C"/>
    <w:rsid w:val="00616573"/>
    <w:rsid w:val="0061690D"/>
    <w:rsid w:val="006203E2"/>
    <w:rsid w:val="006208F3"/>
    <w:rsid w:val="00620BEC"/>
    <w:rsid w:val="00621262"/>
    <w:rsid w:val="006218AD"/>
    <w:rsid w:val="00621F9E"/>
    <w:rsid w:val="0062208E"/>
    <w:rsid w:val="00622E08"/>
    <w:rsid w:val="00624C20"/>
    <w:rsid w:val="0062519C"/>
    <w:rsid w:val="0062520F"/>
    <w:rsid w:val="006258F7"/>
    <w:rsid w:val="00625C47"/>
    <w:rsid w:val="006270C3"/>
    <w:rsid w:val="00627954"/>
    <w:rsid w:val="00627B6C"/>
    <w:rsid w:val="00627F69"/>
    <w:rsid w:val="00630324"/>
    <w:rsid w:val="006303A5"/>
    <w:rsid w:val="00630AF6"/>
    <w:rsid w:val="006314C4"/>
    <w:rsid w:val="00631C86"/>
    <w:rsid w:val="006323C3"/>
    <w:rsid w:val="00632492"/>
    <w:rsid w:val="00632C11"/>
    <w:rsid w:val="00633447"/>
    <w:rsid w:val="006336E3"/>
    <w:rsid w:val="00633D11"/>
    <w:rsid w:val="00633E74"/>
    <w:rsid w:val="00634FF8"/>
    <w:rsid w:val="0063515F"/>
    <w:rsid w:val="006356D3"/>
    <w:rsid w:val="00636279"/>
    <w:rsid w:val="006378C4"/>
    <w:rsid w:val="00640163"/>
    <w:rsid w:val="00640B64"/>
    <w:rsid w:val="006417A0"/>
    <w:rsid w:val="00642311"/>
    <w:rsid w:val="0064302B"/>
    <w:rsid w:val="00643679"/>
    <w:rsid w:val="006439F9"/>
    <w:rsid w:val="00643DBB"/>
    <w:rsid w:val="00643E23"/>
    <w:rsid w:val="00644135"/>
    <w:rsid w:val="00645344"/>
    <w:rsid w:val="0064598E"/>
    <w:rsid w:val="00645A09"/>
    <w:rsid w:val="00645BF4"/>
    <w:rsid w:val="00645C18"/>
    <w:rsid w:val="006464C8"/>
    <w:rsid w:val="006469AF"/>
    <w:rsid w:val="006476E1"/>
    <w:rsid w:val="00647DA0"/>
    <w:rsid w:val="006515CB"/>
    <w:rsid w:val="00653A6C"/>
    <w:rsid w:val="006545EB"/>
    <w:rsid w:val="00655061"/>
    <w:rsid w:val="00656792"/>
    <w:rsid w:val="006568B6"/>
    <w:rsid w:val="00656EAE"/>
    <w:rsid w:val="0065717B"/>
    <w:rsid w:val="006571B3"/>
    <w:rsid w:val="0065749E"/>
    <w:rsid w:val="006602C1"/>
    <w:rsid w:val="006611D5"/>
    <w:rsid w:val="0066160F"/>
    <w:rsid w:val="00661DDD"/>
    <w:rsid w:val="0066309C"/>
    <w:rsid w:val="0066395B"/>
    <w:rsid w:val="00665216"/>
    <w:rsid w:val="00665252"/>
    <w:rsid w:val="0066538E"/>
    <w:rsid w:val="00665886"/>
    <w:rsid w:val="00665EBC"/>
    <w:rsid w:val="006666CC"/>
    <w:rsid w:val="00666B41"/>
    <w:rsid w:val="00666FC6"/>
    <w:rsid w:val="00667748"/>
    <w:rsid w:val="006705F2"/>
    <w:rsid w:val="0067081A"/>
    <w:rsid w:val="0067117A"/>
    <w:rsid w:val="006715B9"/>
    <w:rsid w:val="00671A0C"/>
    <w:rsid w:val="00671A1D"/>
    <w:rsid w:val="00671F05"/>
    <w:rsid w:val="00672218"/>
    <w:rsid w:val="006724BC"/>
    <w:rsid w:val="00673DFA"/>
    <w:rsid w:val="0067436D"/>
    <w:rsid w:val="00674A8F"/>
    <w:rsid w:val="00674C9A"/>
    <w:rsid w:val="00674E27"/>
    <w:rsid w:val="00675168"/>
    <w:rsid w:val="006751FE"/>
    <w:rsid w:val="00675F6E"/>
    <w:rsid w:val="006760A0"/>
    <w:rsid w:val="0067794E"/>
    <w:rsid w:val="00677998"/>
    <w:rsid w:val="00677CD7"/>
    <w:rsid w:val="00680135"/>
    <w:rsid w:val="006806E3"/>
    <w:rsid w:val="006807B7"/>
    <w:rsid w:val="006807C7"/>
    <w:rsid w:val="00680931"/>
    <w:rsid w:val="00680A03"/>
    <w:rsid w:val="0068140C"/>
    <w:rsid w:val="00681F24"/>
    <w:rsid w:val="006827F8"/>
    <w:rsid w:val="00682FEA"/>
    <w:rsid w:val="00683376"/>
    <w:rsid w:val="00683AF2"/>
    <w:rsid w:val="00683F44"/>
    <w:rsid w:val="00684324"/>
    <w:rsid w:val="006847CF"/>
    <w:rsid w:val="00684C31"/>
    <w:rsid w:val="00685DF9"/>
    <w:rsid w:val="0068624C"/>
    <w:rsid w:val="006867ED"/>
    <w:rsid w:val="00686E41"/>
    <w:rsid w:val="0068725B"/>
    <w:rsid w:val="00687AE6"/>
    <w:rsid w:val="0069035D"/>
    <w:rsid w:val="00691696"/>
    <w:rsid w:val="00691950"/>
    <w:rsid w:val="00692950"/>
    <w:rsid w:val="00692F35"/>
    <w:rsid w:val="00693978"/>
    <w:rsid w:val="00694017"/>
    <w:rsid w:val="006942D8"/>
    <w:rsid w:val="00694BDB"/>
    <w:rsid w:val="00695343"/>
    <w:rsid w:val="00695FA9"/>
    <w:rsid w:val="00697191"/>
    <w:rsid w:val="006977A5"/>
    <w:rsid w:val="00697825"/>
    <w:rsid w:val="0069795B"/>
    <w:rsid w:val="006A029C"/>
    <w:rsid w:val="006A08D8"/>
    <w:rsid w:val="006A0B28"/>
    <w:rsid w:val="006A0EDA"/>
    <w:rsid w:val="006A1154"/>
    <w:rsid w:val="006A17F7"/>
    <w:rsid w:val="006A32A2"/>
    <w:rsid w:val="006A338B"/>
    <w:rsid w:val="006A344C"/>
    <w:rsid w:val="006A410D"/>
    <w:rsid w:val="006A4156"/>
    <w:rsid w:val="006A6C5C"/>
    <w:rsid w:val="006A79D0"/>
    <w:rsid w:val="006A7A9D"/>
    <w:rsid w:val="006A7C0C"/>
    <w:rsid w:val="006B0581"/>
    <w:rsid w:val="006B067A"/>
    <w:rsid w:val="006B09AD"/>
    <w:rsid w:val="006B1B07"/>
    <w:rsid w:val="006B1B73"/>
    <w:rsid w:val="006B26EA"/>
    <w:rsid w:val="006B2FF8"/>
    <w:rsid w:val="006B358F"/>
    <w:rsid w:val="006B3AFD"/>
    <w:rsid w:val="006B3B35"/>
    <w:rsid w:val="006B5115"/>
    <w:rsid w:val="006B5D1A"/>
    <w:rsid w:val="006B61E7"/>
    <w:rsid w:val="006B6258"/>
    <w:rsid w:val="006B67F0"/>
    <w:rsid w:val="006B68F6"/>
    <w:rsid w:val="006B70B2"/>
    <w:rsid w:val="006B7163"/>
    <w:rsid w:val="006B7B67"/>
    <w:rsid w:val="006C046A"/>
    <w:rsid w:val="006C04C3"/>
    <w:rsid w:val="006C0672"/>
    <w:rsid w:val="006C0C10"/>
    <w:rsid w:val="006C13CA"/>
    <w:rsid w:val="006C2681"/>
    <w:rsid w:val="006C2C58"/>
    <w:rsid w:val="006C2F10"/>
    <w:rsid w:val="006C3E18"/>
    <w:rsid w:val="006C442F"/>
    <w:rsid w:val="006C44E5"/>
    <w:rsid w:val="006C5263"/>
    <w:rsid w:val="006C52D9"/>
    <w:rsid w:val="006C63C0"/>
    <w:rsid w:val="006C7340"/>
    <w:rsid w:val="006C75FF"/>
    <w:rsid w:val="006C78B9"/>
    <w:rsid w:val="006C7D48"/>
    <w:rsid w:val="006C7DBF"/>
    <w:rsid w:val="006C7E11"/>
    <w:rsid w:val="006D07C2"/>
    <w:rsid w:val="006D0F7D"/>
    <w:rsid w:val="006D28F9"/>
    <w:rsid w:val="006D2E80"/>
    <w:rsid w:val="006D2F38"/>
    <w:rsid w:val="006D3105"/>
    <w:rsid w:val="006D31F9"/>
    <w:rsid w:val="006D36AE"/>
    <w:rsid w:val="006D3731"/>
    <w:rsid w:val="006D4082"/>
    <w:rsid w:val="006D40C0"/>
    <w:rsid w:val="006D5904"/>
    <w:rsid w:val="006D6057"/>
    <w:rsid w:val="006D66C2"/>
    <w:rsid w:val="006D7301"/>
    <w:rsid w:val="006D7399"/>
    <w:rsid w:val="006D7970"/>
    <w:rsid w:val="006D7B6C"/>
    <w:rsid w:val="006D7EE4"/>
    <w:rsid w:val="006E0203"/>
    <w:rsid w:val="006E07C9"/>
    <w:rsid w:val="006E09C4"/>
    <w:rsid w:val="006E108B"/>
    <w:rsid w:val="006E154D"/>
    <w:rsid w:val="006E1709"/>
    <w:rsid w:val="006E2DD4"/>
    <w:rsid w:val="006E4540"/>
    <w:rsid w:val="006E461A"/>
    <w:rsid w:val="006E4B27"/>
    <w:rsid w:val="006E515D"/>
    <w:rsid w:val="006E550F"/>
    <w:rsid w:val="006E5C2F"/>
    <w:rsid w:val="006E6192"/>
    <w:rsid w:val="006E667F"/>
    <w:rsid w:val="006E6A4D"/>
    <w:rsid w:val="006E6CE4"/>
    <w:rsid w:val="006E6D33"/>
    <w:rsid w:val="006E7ABB"/>
    <w:rsid w:val="006F03FF"/>
    <w:rsid w:val="006F078F"/>
    <w:rsid w:val="006F0E16"/>
    <w:rsid w:val="006F1DDC"/>
    <w:rsid w:val="006F1E5E"/>
    <w:rsid w:val="006F29B9"/>
    <w:rsid w:val="006F2B1B"/>
    <w:rsid w:val="006F307C"/>
    <w:rsid w:val="006F4485"/>
    <w:rsid w:val="006F4589"/>
    <w:rsid w:val="006F689E"/>
    <w:rsid w:val="006F68F3"/>
    <w:rsid w:val="006F7826"/>
    <w:rsid w:val="00700398"/>
    <w:rsid w:val="00700ACA"/>
    <w:rsid w:val="00702934"/>
    <w:rsid w:val="00702B37"/>
    <w:rsid w:val="00702D40"/>
    <w:rsid w:val="00703022"/>
    <w:rsid w:val="007035AF"/>
    <w:rsid w:val="007036BE"/>
    <w:rsid w:val="00703B3C"/>
    <w:rsid w:val="00704797"/>
    <w:rsid w:val="00704DCF"/>
    <w:rsid w:val="00705268"/>
    <w:rsid w:val="00706541"/>
    <w:rsid w:val="00706C97"/>
    <w:rsid w:val="0071039A"/>
    <w:rsid w:val="007108A2"/>
    <w:rsid w:val="0071098C"/>
    <w:rsid w:val="007117C4"/>
    <w:rsid w:val="00711901"/>
    <w:rsid w:val="007119E8"/>
    <w:rsid w:val="00711E8D"/>
    <w:rsid w:val="00712006"/>
    <w:rsid w:val="0071231B"/>
    <w:rsid w:val="00712602"/>
    <w:rsid w:val="00713073"/>
    <w:rsid w:val="007130DC"/>
    <w:rsid w:val="0071363F"/>
    <w:rsid w:val="00713837"/>
    <w:rsid w:val="007138E8"/>
    <w:rsid w:val="0071420D"/>
    <w:rsid w:val="007149B7"/>
    <w:rsid w:val="00714A71"/>
    <w:rsid w:val="00714FA2"/>
    <w:rsid w:val="00715088"/>
    <w:rsid w:val="00715428"/>
    <w:rsid w:val="007155C0"/>
    <w:rsid w:val="0071655A"/>
    <w:rsid w:val="00716669"/>
    <w:rsid w:val="0071678A"/>
    <w:rsid w:val="00716F22"/>
    <w:rsid w:val="00717891"/>
    <w:rsid w:val="00717DE0"/>
    <w:rsid w:val="00720319"/>
    <w:rsid w:val="007214A9"/>
    <w:rsid w:val="00722CD5"/>
    <w:rsid w:val="007230B4"/>
    <w:rsid w:val="007233F1"/>
    <w:rsid w:val="0072390D"/>
    <w:rsid w:val="00724700"/>
    <w:rsid w:val="00725F28"/>
    <w:rsid w:val="0072611F"/>
    <w:rsid w:val="007270B7"/>
    <w:rsid w:val="00727287"/>
    <w:rsid w:val="0072731A"/>
    <w:rsid w:val="00727C09"/>
    <w:rsid w:val="0073081C"/>
    <w:rsid w:val="00730D1F"/>
    <w:rsid w:val="00730F4E"/>
    <w:rsid w:val="007310BE"/>
    <w:rsid w:val="007316D9"/>
    <w:rsid w:val="00731ADE"/>
    <w:rsid w:val="00732FF8"/>
    <w:rsid w:val="007337A5"/>
    <w:rsid w:val="00734D62"/>
    <w:rsid w:val="0073569C"/>
    <w:rsid w:val="00735CD7"/>
    <w:rsid w:val="007364F5"/>
    <w:rsid w:val="00736865"/>
    <w:rsid w:val="007368B4"/>
    <w:rsid w:val="00736C3B"/>
    <w:rsid w:val="00737925"/>
    <w:rsid w:val="00737A22"/>
    <w:rsid w:val="0074083D"/>
    <w:rsid w:val="00740A9D"/>
    <w:rsid w:val="00740BD1"/>
    <w:rsid w:val="00740D0A"/>
    <w:rsid w:val="00741459"/>
    <w:rsid w:val="00741804"/>
    <w:rsid w:val="00743815"/>
    <w:rsid w:val="0074393D"/>
    <w:rsid w:val="00743D07"/>
    <w:rsid w:val="00743D16"/>
    <w:rsid w:val="00744002"/>
    <w:rsid w:val="00744288"/>
    <w:rsid w:val="00744D81"/>
    <w:rsid w:val="00745C16"/>
    <w:rsid w:val="007460C4"/>
    <w:rsid w:val="0074641A"/>
    <w:rsid w:val="007465F0"/>
    <w:rsid w:val="00746702"/>
    <w:rsid w:val="007469AA"/>
    <w:rsid w:val="00746E5E"/>
    <w:rsid w:val="007471AD"/>
    <w:rsid w:val="00750207"/>
    <w:rsid w:val="00750F5F"/>
    <w:rsid w:val="0075130D"/>
    <w:rsid w:val="00752396"/>
    <w:rsid w:val="007529DE"/>
    <w:rsid w:val="00752BA2"/>
    <w:rsid w:val="007541B9"/>
    <w:rsid w:val="0075420D"/>
    <w:rsid w:val="007544E4"/>
    <w:rsid w:val="00754F21"/>
    <w:rsid w:val="007556E0"/>
    <w:rsid w:val="00755860"/>
    <w:rsid w:val="00755CA4"/>
    <w:rsid w:val="00755F96"/>
    <w:rsid w:val="00756664"/>
    <w:rsid w:val="00756670"/>
    <w:rsid w:val="00756929"/>
    <w:rsid w:val="00757B30"/>
    <w:rsid w:val="00757EF1"/>
    <w:rsid w:val="00760156"/>
    <w:rsid w:val="00761306"/>
    <w:rsid w:val="00761487"/>
    <w:rsid w:val="0076260A"/>
    <w:rsid w:val="00762A91"/>
    <w:rsid w:val="00762BBE"/>
    <w:rsid w:val="00763000"/>
    <w:rsid w:val="00763369"/>
    <w:rsid w:val="00763422"/>
    <w:rsid w:val="00763891"/>
    <w:rsid w:val="00764DA1"/>
    <w:rsid w:val="0076512D"/>
    <w:rsid w:val="00765402"/>
    <w:rsid w:val="00765B5A"/>
    <w:rsid w:val="007666B5"/>
    <w:rsid w:val="00766FAC"/>
    <w:rsid w:val="0076719B"/>
    <w:rsid w:val="00771476"/>
    <w:rsid w:val="00771751"/>
    <w:rsid w:val="00771E3B"/>
    <w:rsid w:val="0077203E"/>
    <w:rsid w:val="00772BFE"/>
    <w:rsid w:val="00772DFF"/>
    <w:rsid w:val="0077302C"/>
    <w:rsid w:val="00773CB1"/>
    <w:rsid w:val="00773DFC"/>
    <w:rsid w:val="00773F26"/>
    <w:rsid w:val="00774A55"/>
    <w:rsid w:val="00774B43"/>
    <w:rsid w:val="00775362"/>
    <w:rsid w:val="00775548"/>
    <w:rsid w:val="00775ED9"/>
    <w:rsid w:val="0077799E"/>
    <w:rsid w:val="007779CC"/>
    <w:rsid w:val="007779D3"/>
    <w:rsid w:val="007802D4"/>
    <w:rsid w:val="007803AF"/>
    <w:rsid w:val="007804C2"/>
    <w:rsid w:val="00780CEF"/>
    <w:rsid w:val="00781287"/>
    <w:rsid w:val="0078205A"/>
    <w:rsid w:val="00782692"/>
    <w:rsid w:val="00782AEC"/>
    <w:rsid w:val="00782DE2"/>
    <w:rsid w:val="00783445"/>
    <w:rsid w:val="00783512"/>
    <w:rsid w:val="007844A3"/>
    <w:rsid w:val="00784728"/>
    <w:rsid w:val="00784F48"/>
    <w:rsid w:val="0078597D"/>
    <w:rsid w:val="0078619F"/>
    <w:rsid w:val="00786EDB"/>
    <w:rsid w:val="00786F28"/>
    <w:rsid w:val="00790394"/>
    <w:rsid w:val="007903FD"/>
    <w:rsid w:val="00790C1C"/>
    <w:rsid w:val="007911AB"/>
    <w:rsid w:val="00791617"/>
    <w:rsid w:val="00792129"/>
    <w:rsid w:val="00792C5D"/>
    <w:rsid w:val="00793983"/>
    <w:rsid w:val="00794206"/>
    <w:rsid w:val="007946A3"/>
    <w:rsid w:val="00794F6F"/>
    <w:rsid w:val="0079557D"/>
    <w:rsid w:val="007957DA"/>
    <w:rsid w:val="00795E84"/>
    <w:rsid w:val="00795FD8"/>
    <w:rsid w:val="007963CE"/>
    <w:rsid w:val="00796673"/>
    <w:rsid w:val="00796763"/>
    <w:rsid w:val="00797161"/>
    <w:rsid w:val="007971A8"/>
    <w:rsid w:val="00797685"/>
    <w:rsid w:val="007A03B9"/>
    <w:rsid w:val="007A08B9"/>
    <w:rsid w:val="007A0D15"/>
    <w:rsid w:val="007A0FB6"/>
    <w:rsid w:val="007A0FCD"/>
    <w:rsid w:val="007A19E2"/>
    <w:rsid w:val="007A19E6"/>
    <w:rsid w:val="007A2ECC"/>
    <w:rsid w:val="007A2EF1"/>
    <w:rsid w:val="007A3531"/>
    <w:rsid w:val="007A49A5"/>
    <w:rsid w:val="007A5D1A"/>
    <w:rsid w:val="007A5F8D"/>
    <w:rsid w:val="007A64B5"/>
    <w:rsid w:val="007A68B9"/>
    <w:rsid w:val="007A6E32"/>
    <w:rsid w:val="007A6FF4"/>
    <w:rsid w:val="007A7D02"/>
    <w:rsid w:val="007A7FA5"/>
    <w:rsid w:val="007B0034"/>
    <w:rsid w:val="007B029A"/>
    <w:rsid w:val="007B0AF3"/>
    <w:rsid w:val="007B1096"/>
    <w:rsid w:val="007B18B1"/>
    <w:rsid w:val="007B246F"/>
    <w:rsid w:val="007B354E"/>
    <w:rsid w:val="007B371F"/>
    <w:rsid w:val="007B5323"/>
    <w:rsid w:val="007B589F"/>
    <w:rsid w:val="007B5D59"/>
    <w:rsid w:val="007B6A1E"/>
    <w:rsid w:val="007B6B13"/>
    <w:rsid w:val="007B6D8F"/>
    <w:rsid w:val="007C0F88"/>
    <w:rsid w:val="007C0FBD"/>
    <w:rsid w:val="007C17AA"/>
    <w:rsid w:val="007C1D06"/>
    <w:rsid w:val="007C2007"/>
    <w:rsid w:val="007C2184"/>
    <w:rsid w:val="007C23BB"/>
    <w:rsid w:val="007C2D18"/>
    <w:rsid w:val="007C3491"/>
    <w:rsid w:val="007C3821"/>
    <w:rsid w:val="007C3E9B"/>
    <w:rsid w:val="007C413E"/>
    <w:rsid w:val="007C4576"/>
    <w:rsid w:val="007C46A7"/>
    <w:rsid w:val="007C4D6B"/>
    <w:rsid w:val="007C599F"/>
    <w:rsid w:val="007C5BB6"/>
    <w:rsid w:val="007C6CA9"/>
    <w:rsid w:val="007C7105"/>
    <w:rsid w:val="007D0BAC"/>
    <w:rsid w:val="007D15F2"/>
    <w:rsid w:val="007D1947"/>
    <w:rsid w:val="007D2238"/>
    <w:rsid w:val="007D28CF"/>
    <w:rsid w:val="007D394A"/>
    <w:rsid w:val="007D4FA7"/>
    <w:rsid w:val="007D507D"/>
    <w:rsid w:val="007D53BD"/>
    <w:rsid w:val="007D56FF"/>
    <w:rsid w:val="007D5A20"/>
    <w:rsid w:val="007D5B1C"/>
    <w:rsid w:val="007D648E"/>
    <w:rsid w:val="007D686B"/>
    <w:rsid w:val="007D6E1D"/>
    <w:rsid w:val="007D784F"/>
    <w:rsid w:val="007E0613"/>
    <w:rsid w:val="007E07E0"/>
    <w:rsid w:val="007E0857"/>
    <w:rsid w:val="007E09C3"/>
    <w:rsid w:val="007E0D7F"/>
    <w:rsid w:val="007E13F4"/>
    <w:rsid w:val="007E165F"/>
    <w:rsid w:val="007E1E9C"/>
    <w:rsid w:val="007E2945"/>
    <w:rsid w:val="007E32EA"/>
    <w:rsid w:val="007E393A"/>
    <w:rsid w:val="007E39C7"/>
    <w:rsid w:val="007E41A9"/>
    <w:rsid w:val="007E4FDC"/>
    <w:rsid w:val="007E5956"/>
    <w:rsid w:val="007E5BE2"/>
    <w:rsid w:val="007E5CD4"/>
    <w:rsid w:val="007E6A6D"/>
    <w:rsid w:val="007E6F06"/>
    <w:rsid w:val="007E7023"/>
    <w:rsid w:val="007E7356"/>
    <w:rsid w:val="007E7FEF"/>
    <w:rsid w:val="007F021D"/>
    <w:rsid w:val="007F14AF"/>
    <w:rsid w:val="007F1B53"/>
    <w:rsid w:val="007F1E31"/>
    <w:rsid w:val="007F2201"/>
    <w:rsid w:val="007F30FB"/>
    <w:rsid w:val="007F35C3"/>
    <w:rsid w:val="007F3B76"/>
    <w:rsid w:val="007F3FFB"/>
    <w:rsid w:val="007F4846"/>
    <w:rsid w:val="007F4875"/>
    <w:rsid w:val="007F615B"/>
    <w:rsid w:val="007F625F"/>
    <w:rsid w:val="007F662B"/>
    <w:rsid w:val="007F721F"/>
    <w:rsid w:val="008007C5"/>
    <w:rsid w:val="0080227D"/>
    <w:rsid w:val="00802A22"/>
    <w:rsid w:val="00803501"/>
    <w:rsid w:val="00803B0B"/>
    <w:rsid w:val="008040C0"/>
    <w:rsid w:val="008041F2"/>
    <w:rsid w:val="00804292"/>
    <w:rsid w:val="00804B60"/>
    <w:rsid w:val="008055CD"/>
    <w:rsid w:val="00805F77"/>
    <w:rsid w:val="0080679B"/>
    <w:rsid w:val="00806872"/>
    <w:rsid w:val="008073F7"/>
    <w:rsid w:val="0080747E"/>
    <w:rsid w:val="00807B72"/>
    <w:rsid w:val="00807E2A"/>
    <w:rsid w:val="008102B6"/>
    <w:rsid w:val="0081037F"/>
    <w:rsid w:val="0081123A"/>
    <w:rsid w:val="008133C0"/>
    <w:rsid w:val="00814613"/>
    <w:rsid w:val="008149CC"/>
    <w:rsid w:val="00814D8F"/>
    <w:rsid w:val="00815A3F"/>
    <w:rsid w:val="00815E72"/>
    <w:rsid w:val="0081650B"/>
    <w:rsid w:val="00816A59"/>
    <w:rsid w:val="00820044"/>
    <w:rsid w:val="0082275C"/>
    <w:rsid w:val="0082348A"/>
    <w:rsid w:val="008247D8"/>
    <w:rsid w:val="00824FDC"/>
    <w:rsid w:val="0082680D"/>
    <w:rsid w:val="0082685B"/>
    <w:rsid w:val="00830D09"/>
    <w:rsid w:val="00830D2B"/>
    <w:rsid w:val="008310BD"/>
    <w:rsid w:val="008316E0"/>
    <w:rsid w:val="00831F7D"/>
    <w:rsid w:val="008320EB"/>
    <w:rsid w:val="00832A94"/>
    <w:rsid w:val="00834211"/>
    <w:rsid w:val="00834642"/>
    <w:rsid w:val="008352BB"/>
    <w:rsid w:val="00836D02"/>
    <w:rsid w:val="00836D43"/>
    <w:rsid w:val="00836D6D"/>
    <w:rsid w:val="00837239"/>
    <w:rsid w:val="00837645"/>
    <w:rsid w:val="00837A4D"/>
    <w:rsid w:val="008409EF"/>
    <w:rsid w:val="00840E6D"/>
    <w:rsid w:val="0084143A"/>
    <w:rsid w:val="00841A75"/>
    <w:rsid w:val="008435D7"/>
    <w:rsid w:val="00843BAF"/>
    <w:rsid w:val="008445C9"/>
    <w:rsid w:val="00844690"/>
    <w:rsid w:val="00845865"/>
    <w:rsid w:val="00845D88"/>
    <w:rsid w:val="0084648A"/>
    <w:rsid w:val="00847631"/>
    <w:rsid w:val="00847A88"/>
    <w:rsid w:val="00847ACD"/>
    <w:rsid w:val="008500FB"/>
    <w:rsid w:val="00850464"/>
    <w:rsid w:val="0085062C"/>
    <w:rsid w:val="008515C2"/>
    <w:rsid w:val="00852248"/>
    <w:rsid w:val="00852A29"/>
    <w:rsid w:val="00853363"/>
    <w:rsid w:val="00854665"/>
    <w:rsid w:val="00854CF7"/>
    <w:rsid w:val="0085551D"/>
    <w:rsid w:val="00855F28"/>
    <w:rsid w:val="00855F80"/>
    <w:rsid w:val="008561EF"/>
    <w:rsid w:val="00856588"/>
    <w:rsid w:val="00856895"/>
    <w:rsid w:val="0085773A"/>
    <w:rsid w:val="00861A74"/>
    <w:rsid w:val="00862AA2"/>
    <w:rsid w:val="00862DE0"/>
    <w:rsid w:val="00862EC5"/>
    <w:rsid w:val="008630C1"/>
    <w:rsid w:val="0086401F"/>
    <w:rsid w:val="0086447F"/>
    <w:rsid w:val="0086589D"/>
    <w:rsid w:val="00865993"/>
    <w:rsid w:val="00865A06"/>
    <w:rsid w:val="00865D20"/>
    <w:rsid w:val="008660DC"/>
    <w:rsid w:val="0086707F"/>
    <w:rsid w:val="00867172"/>
    <w:rsid w:val="00867AA3"/>
    <w:rsid w:val="008700ED"/>
    <w:rsid w:val="008701A6"/>
    <w:rsid w:val="00870FEC"/>
    <w:rsid w:val="00872EF4"/>
    <w:rsid w:val="00872F31"/>
    <w:rsid w:val="00873014"/>
    <w:rsid w:val="008731F0"/>
    <w:rsid w:val="00873C57"/>
    <w:rsid w:val="00873C86"/>
    <w:rsid w:val="00873E7C"/>
    <w:rsid w:val="00876860"/>
    <w:rsid w:val="008773B0"/>
    <w:rsid w:val="0088084F"/>
    <w:rsid w:val="00880AAE"/>
    <w:rsid w:val="008815A8"/>
    <w:rsid w:val="0088380F"/>
    <w:rsid w:val="008838AA"/>
    <w:rsid w:val="008847A1"/>
    <w:rsid w:val="00885A70"/>
    <w:rsid w:val="00885CB6"/>
    <w:rsid w:val="00886060"/>
    <w:rsid w:val="00890873"/>
    <w:rsid w:val="00890E71"/>
    <w:rsid w:val="00890F37"/>
    <w:rsid w:val="008917CA"/>
    <w:rsid w:val="008919C1"/>
    <w:rsid w:val="00891C26"/>
    <w:rsid w:val="0089212A"/>
    <w:rsid w:val="00894520"/>
    <w:rsid w:val="0089484D"/>
    <w:rsid w:val="008971CF"/>
    <w:rsid w:val="008978B6"/>
    <w:rsid w:val="008A0369"/>
    <w:rsid w:val="008A0BC9"/>
    <w:rsid w:val="008A113C"/>
    <w:rsid w:val="008A14C3"/>
    <w:rsid w:val="008A1798"/>
    <w:rsid w:val="008A1AD0"/>
    <w:rsid w:val="008A23EC"/>
    <w:rsid w:val="008A2A7E"/>
    <w:rsid w:val="008A2BFB"/>
    <w:rsid w:val="008A3664"/>
    <w:rsid w:val="008A36D6"/>
    <w:rsid w:val="008A3AC9"/>
    <w:rsid w:val="008A3D0C"/>
    <w:rsid w:val="008A3E10"/>
    <w:rsid w:val="008A47F4"/>
    <w:rsid w:val="008A4A84"/>
    <w:rsid w:val="008A501A"/>
    <w:rsid w:val="008A5EF3"/>
    <w:rsid w:val="008A6007"/>
    <w:rsid w:val="008A61CB"/>
    <w:rsid w:val="008A61E7"/>
    <w:rsid w:val="008A6BEB"/>
    <w:rsid w:val="008B04FD"/>
    <w:rsid w:val="008B0635"/>
    <w:rsid w:val="008B0E00"/>
    <w:rsid w:val="008B1FC4"/>
    <w:rsid w:val="008B27C0"/>
    <w:rsid w:val="008B2C7D"/>
    <w:rsid w:val="008B4A94"/>
    <w:rsid w:val="008B4F1D"/>
    <w:rsid w:val="008B54E3"/>
    <w:rsid w:val="008B5562"/>
    <w:rsid w:val="008B5584"/>
    <w:rsid w:val="008B57CF"/>
    <w:rsid w:val="008B5952"/>
    <w:rsid w:val="008B5AD1"/>
    <w:rsid w:val="008B6581"/>
    <w:rsid w:val="008B72CC"/>
    <w:rsid w:val="008B7CF2"/>
    <w:rsid w:val="008C0CEE"/>
    <w:rsid w:val="008C1812"/>
    <w:rsid w:val="008C18FB"/>
    <w:rsid w:val="008C1F9D"/>
    <w:rsid w:val="008C1FD5"/>
    <w:rsid w:val="008C2053"/>
    <w:rsid w:val="008C237B"/>
    <w:rsid w:val="008C24BF"/>
    <w:rsid w:val="008C2CB3"/>
    <w:rsid w:val="008C302B"/>
    <w:rsid w:val="008C3423"/>
    <w:rsid w:val="008C3E81"/>
    <w:rsid w:val="008C4C2B"/>
    <w:rsid w:val="008C66E4"/>
    <w:rsid w:val="008C676D"/>
    <w:rsid w:val="008C71D6"/>
    <w:rsid w:val="008C7765"/>
    <w:rsid w:val="008C79FB"/>
    <w:rsid w:val="008D0489"/>
    <w:rsid w:val="008D0D96"/>
    <w:rsid w:val="008D0E87"/>
    <w:rsid w:val="008D1377"/>
    <w:rsid w:val="008D1EA2"/>
    <w:rsid w:val="008D2045"/>
    <w:rsid w:val="008D2296"/>
    <w:rsid w:val="008D26AD"/>
    <w:rsid w:val="008D26E7"/>
    <w:rsid w:val="008D3436"/>
    <w:rsid w:val="008D3C5B"/>
    <w:rsid w:val="008D4C67"/>
    <w:rsid w:val="008D600F"/>
    <w:rsid w:val="008D611A"/>
    <w:rsid w:val="008D79AC"/>
    <w:rsid w:val="008E0372"/>
    <w:rsid w:val="008E1C5B"/>
    <w:rsid w:val="008E3A62"/>
    <w:rsid w:val="008E45D4"/>
    <w:rsid w:val="008E4C1B"/>
    <w:rsid w:val="008E4CC3"/>
    <w:rsid w:val="008E4F77"/>
    <w:rsid w:val="008E59E0"/>
    <w:rsid w:val="008E60DB"/>
    <w:rsid w:val="008E63D2"/>
    <w:rsid w:val="008E6857"/>
    <w:rsid w:val="008E75A8"/>
    <w:rsid w:val="008E767C"/>
    <w:rsid w:val="008F0DB5"/>
    <w:rsid w:val="008F0F3B"/>
    <w:rsid w:val="008F1526"/>
    <w:rsid w:val="008F154A"/>
    <w:rsid w:val="008F1965"/>
    <w:rsid w:val="008F1BAD"/>
    <w:rsid w:val="008F239F"/>
    <w:rsid w:val="008F24BB"/>
    <w:rsid w:val="008F2A4A"/>
    <w:rsid w:val="008F3AAE"/>
    <w:rsid w:val="008F3C47"/>
    <w:rsid w:val="008F4826"/>
    <w:rsid w:val="008F4A11"/>
    <w:rsid w:val="008F53EE"/>
    <w:rsid w:val="008F5DFF"/>
    <w:rsid w:val="008F67FE"/>
    <w:rsid w:val="008F6A55"/>
    <w:rsid w:val="008F7078"/>
    <w:rsid w:val="008F77D8"/>
    <w:rsid w:val="008F78E5"/>
    <w:rsid w:val="008F7A10"/>
    <w:rsid w:val="008F7D4B"/>
    <w:rsid w:val="00900178"/>
    <w:rsid w:val="00900534"/>
    <w:rsid w:val="009007C5"/>
    <w:rsid w:val="00902065"/>
    <w:rsid w:val="00902A04"/>
    <w:rsid w:val="00902E50"/>
    <w:rsid w:val="00903A54"/>
    <w:rsid w:val="009044A1"/>
    <w:rsid w:val="00904B58"/>
    <w:rsid w:val="00904EC2"/>
    <w:rsid w:val="00905016"/>
    <w:rsid w:val="00905692"/>
    <w:rsid w:val="00905CDA"/>
    <w:rsid w:val="009061B0"/>
    <w:rsid w:val="00906CB4"/>
    <w:rsid w:val="00906DBD"/>
    <w:rsid w:val="00906E6A"/>
    <w:rsid w:val="00906EE6"/>
    <w:rsid w:val="009070C1"/>
    <w:rsid w:val="00910FF6"/>
    <w:rsid w:val="00911D00"/>
    <w:rsid w:val="00912885"/>
    <w:rsid w:val="0091308A"/>
    <w:rsid w:val="0091332A"/>
    <w:rsid w:val="00913A8A"/>
    <w:rsid w:val="00913BE7"/>
    <w:rsid w:val="009142CB"/>
    <w:rsid w:val="009154A7"/>
    <w:rsid w:val="00916BD3"/>
    <w:rsid w:val="00916C42"/>
    <w:rsid w:val="00917E91"/>
    <w:rsid w:val="009207D7"/>
    <w:rsid w:val="009210CE"/>
    <w:rsid w:val="009212CA"/>
    <w:rsid w:val="0092292C"/>
    <w:rsid w:val="00922A04"/>
    <w:rsid w:val="00923E44"/>
    <w:rsid w:val="00923E45"/>
    <w:rsid w:val="009251CD"/>
    <w:rsid w:val="009271BF"/>
    <w:rsid w:val="009273AA"/>
    <w:rsid w:val="0092742B"/>
    <w:rsid w:val="00927D29"/>
    <w:rsid w:val="00930455"/>
    <w:rsid w:val="00931AEA"/>
    <w:rsid w:val="00931B42"/>
    <w:rsid w:val="00931D7D"/>
    <w:rsid w:val="00933A55"/>
    <w:rsid w:val="00933E15"/>
    <w:rsid w:val="0093420D"/>
    <w:rsid w:val="00934E43"/>
    <w:rsid w:val="00934F46"/>
    <w:rsid w:val="009352D1"/>
    <w:rsid w:val="00935472"/>
    <w:rsid w:val="00935C83"/>
    <w:rsid w:val="00936475"/>
    <w:rsid w:val="00936792"/>
    <w:rsid w:val="0093724D"/>
    <w:rsid w:val="0093773D"/>
    <w:rsid w:val="00940582"/>
    <w:rsid w:val="00940A8F"/>
    <w:rsid w:val="0094111A"/>
    <w:rsid w:val="00941428"/>
    <w:rsid w:val="0094291D"/>
    <w:rsid w:val="00942FCC"/>
    <w:rsid w:val="00944557"/>
    <w:rsid w:val="0094485C"/>
    <w:rsid w:val="00944FAE"/>
    <w:rsid w:val="0094534F"/>
    <w:rsid w:val="009457A4"/>
    <w:rsid w:val="00945900"/>
    <w:rsid w:val="009466D2"/>
    <w:rsid w:val="00946945"/>
    <w:rsid w:val="00946D2E"/>
    <w:rsid w:val="00950846"/>
    <w:rsid w:val="00952F91"/>
    <w:rsid w:val="00953442"/>
    <w:rsid w:val="00953A48"/>
    <w:rsid w:val="0095475A"/>
    <w:rsid w:val="0095488F"/>
    <w:rsid w:val="00954BEA"/>
    <w:rsid w:val="009560E1"/>
    <w:rsid w:val="009566D0"/>
    <w:rsid w:val="00957189"/>
    <w:rsid w:val="0095799D"/>
    <w:rsid w:val="00957AE0"/>
    <w:rsid w:val="00960267"/>
    <w:rsid w:val="00960658"/>
    <w:rsid w:val="009612AE"/>
    <w:rsid w:val="00961D5E"/>
    <w:rsid w:val="009624FB"/>
    <w:rsid w:val="0096337B"/>
    <w:rsid w:val="00963A8D"/>
    <w:rsid w:val="00964007"/>
    <w:rsid w:val="009656A3"/>
    <w:rsid w:val="00965757"/>
    <w:rsid w:val="00966D5A"/>
    <w:rsid w:val="00966EDD"/>
    <w:rsid w:val="0096712F"/>
    <w:rsid w:val="00967355"/>
    <w:rsid w:val="00970B32"/>
    <w:rsid w:val="00972089"/>
    <w:rsid w:val="009724CA"/>
    <w:rsid w:val="00973077"/>
    <w:rsid w:val="00973B15"/>
    <w:rsid w:val="00973CB4"/>
    <w:rsid w:val="00973DC3"/>
    <w:rsid w:val="00973E1E"/>
    <w:rsid w:val="009745CD"/>
    <w:rsid w:val="00974A3F"/>
    <w:rsid w:val="00975AA8"/>
    <w:rsid w:val="00975B41"/>
    <w:rsid w:val="00976D11"/>
    <w:rsid w:val="00976F15"/>
    <w:rsid w:val="009772C7"/>
    <w:rsid w:val="009803A2"/>
    <w:rsid w:val="00980C6E"/>
    <w:rsid w:val="00980F09"/>
    <w:rsid w:val="00981637"/>
    <w:rsid w:val="009821E1"/>
    <w:rsid w:val="0098227A"/>
    <w:rsid w:val="00983BC2"/>
    <w:rsid w:val="00983F1C"/>
    <w:rsid w:val="00984188"/>
    <w:rsid w:val="00984627"/>
    <w:rsid w:val="00985341"/>
    <w:rsid w:val="009860AE"/>
    <w:rsid w:val="00986D78"/>
    <w:rsid w:val="00987F71"/>
    <w:rsid w:val="0099008D"/>
    <w:rsid w:val="00990333"/>
    <w:rsid w:val="009903DF"/>
    <w:rsid w:val="00990E0D"/>
    <w:rsid w:val="009915C0"/>
    <w:rsid w:val="00991BD3"/>
    <w:rsid w:val="00991CAD"/>
    <w:rsid w:val="009920FC"/>
    <w:rsid w:val="00993F15"/>
    <w:rsid w:val="00995678"/>
    <w:rsid w:val="00996CB7"/>
    <w:rsid w:val="0099721D"/>
    <w:rsid w:val="009973DC"/>
    <w:rsid w:val="009973EA"/>
    <w:rsid w:val="009975B3"/>
    <w:rsid w:val="009A0F0A"/>
    <w:rsid w:val="009A12BB"/>
    <w:rsid w:val="009A2540"/>
    <w:rsid w:val="009A2950"/>
    <w:rsid w:val="009A2B18"/>
    <w:rsid w:val="009A300F"/>
    <w:rsid w:val="009A4655"/>
    <w:rsid w:val="009A4FD7"/>
    <w:rsid w:val="009A68EA"/>
    <w:rsid w:val="009A6DFC"/>
    <w:rsid w:val="009A7427"/>
    <w:rsid w:val="009B0333"/>
    <w:rsid w:val="009B0455"/>
    <w:rsid w:val="009B13C0"/>
    <w:rsid w:val="009B1A5E"/>
    <w:rsid w:val="009B2071"/>
    <w:rsid w:val="009B2150"/>
    <w:rsid w:val="009B234A"/>
    <w:rsid w:val="009B4596"/>
    <w:rsid w:val="009B4D03"/>
    <w:rsid w:val="009B559A"/>
    <w:rsid w:val="009B6226"/>
    <w:rsid w:val="009B63B3"/>
    <w:rsid w:val="009B665A"/>
    <w:rsid w:val="009B67D6"/>
    <w:rsid w:val="009C0113"/>
    <w:rsid w:val="009C0702"/>
    <w:rsid w:val="009C0819"/>
    <w:rsid w:val="009C0BCA"/>
    <w:rsid w:val="009C1D01"/>
    <w:rsid w:val="009C232C"/>
    <w:rsid w:val="009C30D9"/>
    <w:rsid w:val="009C3EAD"/>
    <w:rsid w:val="009C40F7"/>
    <w:rsid w:val="009C4A70"/>
    <w:rsid w:val="009C4E22"/>
    <w:rsid w:val="009C6983"/>
    <w:rsid w:val="009C6A46"/>
    <w:rsid w:val="009C6C9C"/>
    <w:rsid w:val="009C7267"/>
    <w:rsid w:val="009C7366"/>
    <w:rsid w:val="009C7590"/>
    <w:rsid w:val="009C7872"/>
    <w:rsid w:val="009D0FF2"/>
    <w:rsid w:val="009D22BE"/>
    <w:rsid w:val="009D27CD"/>
    <w:rsid w:val="009D294A"/>
    <w:rsid w:val="009D319F"/>
    <w:rsid w:val="009D32AB"/>
    <w:rsid w:val="009D399D"/>
    <w:rsid w:val="009D3F21"/>
    <w:rsid w:val="009D3F39"/>
    <w:rsid w:val="009D58B3"/>
    <w:rsid w:val="009D5A5D"/>
    <w:rsid w:val="009D5BC0"/>
    <w:rsid w:val="009D6F9B"/>
    <w:rsid w:val="009D76C6"/>
    <w:rsid w:val="009D79F1"/>
    <w:rsid w:val="009D7D9A"/>
    <w:rsid w:val="009E01AB"/>
    <w:rsid w:val="009E0403"/>
    <w:rsid w:val="009E0DC0"/>
    <w:rsid w:val="009E1699"/>
    <w:rsid w:val="009E2D64"/>
    <w:rsid w:val="009E2DD1"/>
    <w:rsid w:val="009E2DDC"/>
    <w:rsid w:val="009E37B5"/>
    <w:rsid w:val="009E4C77"/>
    <w:rsid w:val="009E52BE"/>
    <w:rsid w:val="009E56F9"/>
    <w:rsid w:val="009E61A5"/>
    <w:rsid w:val="009E6C14"/>
    <w:rsid w:val="009E6DCC"/>
    <w:rsid w:val="009F041D"/>
    <w:rsid w:val="009F082D"/>
    <w:rsid w:val="009F0933"/>
    <w:rsid w:val="009F0E49"/>
    <w:rsid w:val="009F1693"/>
    <w:rsid w:val="009F1840"/>
    <w:rsid w:val="009F2501"/>
    <w:rsid w:val="009F2F9B"/>
    <w:rsid w:val="009F3980"/>
    <w:rsid w:val="009F50AE"/>
    <w:rsid w:val="009F55E2"/>
    <w:rsid w:val="009F596B"/>
    <w:rsid w:val="009F6B18"/>
    <w:rsid w:val="009F7078"/>
    <w:rsid w:val="009F7D97"/>
    <w:rsid w:val="00A00755"/>
    <w:rsid w:val="00A00A1E"/>
    <w:rsid w:val="00A00D74"/>
    <w:rsid w:val="00A03865"/>
    <w:rsid w:val="00A03E82"/>
    <w:rsid w:val="00A04DE3"/>
    <w:rsid w:val="00A04E1F"/>
    <w:rsid w:val="00A05210"/>
    <w:rsid w:val="00A053BB"/>
    <w:rsid w:val="00A05EBE"/>
    <w:rsid w:val="00A070A5"/>
    <w:rsid w:val="00A07625"/>
    <w:rsid w:val="00A07C39"/>
    <w:rsid w:val="00A07E05"/>
    <w:rsid w:val="00A07E0B"/>
    <w:rsid w:val="00A1021D"/>
    <w:rsid w:val="00A110BA"/>
    <w:rsid w:val="00A110F9"/>
    <w:rsid w:val="00A11BDF"/>
    <w:rsid w:val="00A12AA7"/>
    <w:rsid w:val="00A13B8C"/>
    <w:rsid w:val="00A1442F"/>
    <w:rsid w:val="00A146C3"/>
    <w:rsid w:val="00A146D1"/>
    <w:rsid w:val="00A1583D"/>
    <w:rsid w:val="00A15AB6"/>
    <w:rsid w:val="00A16101"/>
    <w:rsid w:val="00A1658D"/>
    <w:rsid w:val="00A16BEA"/>
    <w:rsid w:val="00A16CE1"/>
    <w:rsid w:val="00A16EF9"/>
    <w:rsid w:val="00A17EB4"/>
    <w:rsid w:val="00A20C2F"/>
    <w:rsid w:val="00A21BE4"/>
    <w:rsid w:val="00A21EF3"/>
    <w:rsid w:val="00A22B90"/>
    <w:rsid w:val="00A23FC5"/>
    <w:rsid w:val="00A24984"/>
    <w:rsid w:val="00A24DEE"/>
    <w:rsid w:val="00A24DFE"/>
    <w:rsid w:val="00A25661"/>
    <w:rsid w:val="00A26324"/>
    <w:rsid w:val="00A27098"/>
    <w:rsid w:val="00A2777F"/>
    <w:rsid w:val="00A2788A"/>
    <w:rsid w:val="00A278C7"/>
    <w:rsid w:val="00A27EDA"/>
    <w:rsid w:val="00A31103"/>
    <w:rsid w:val="00A31706"/>
    <w:rsid w:val="00A31B99"/>
    <w:rsid w:val="00A31DFA"/>
    <w:rsid w:val="00A3250D"/>
    <w:rsid w:val="00A32720"/>
    <w:rsid w:val="00A327E5"/>
    <w:rsid w:val="00A32E74"/>
    <w:rsid w:val="00A32FAC"/>
    <w:rsid w:val="00A33EAE"/>
    <w:rsid w:val="00A34AA5"/>
    <w:rsid w:val="00A3506F"/>
    <w:rsid w:val="00A35B0D"/>
    <w:rsid w:val="00A36359"/>
    <w:rsid w:val="00A37625"/>
    <w:rsid w:val="00A37BFF"/>
    <w:rsid w:val="00A40073"/>
    <w:rsid w:val="00A4080D"/>
    <w:rsid w:val="00A4106D"/>
    <w:rsid w:val="00A411AC"/>
    <w:rsid w:val="00A4151F"/>
    <w:rsid w:val="00A41647"/>
    <w:rsid w:val="00A420F8"/>
    <w:rsid w:val="00A42A1C"/>
    <w:rsid w:val="00A42CF4"/>
    <w:rsid w:val="00A4314B"/>
    <w:rsid w:val="00A43508"/>
    <w:rsid w:val="00A442D0"/>
    <w:rsid w:val="00A44ABD"/>
    <w:rsid w:val="00A44D9C"/>
    <w:rsid w:val="00A45ADE"/>
    <w:rsid w:val="00A45E98"/>
    <w:rsid w:val="00A460BF"/>
    <w:rsid w:val="00A46AFB"/>
    <w:rsid w:val="00A46F75"/>
    <w:rsid w:val="00A47415"/>
    <w:rsid w:val="00A479FB"/>
    <w:rsid w:val="00A47CA1"/>
    <w:rsid w:val="00A50F6E"/>
    <w:rsid w:val="00A51B9C"/>
    <w:rsid w:val="00A52623"/>
    <w:rsid w:val="00A52651"/>
    <w:rsid w:val="00A5338C"/>
    <w:rsid w:val="00A54376"/>
    <w:rsid w:val="00A543B6"/>
    <w:rsid w:val="00A54C6C"/>
    <w:rsid w:val="00A55132"/>
    <w:rsid w:val="00A559E9"/>
    <w:rsid w:val="00A57BBE"/>
    <w:rsid w:val="00A60542"/>
    <w:rsid w:val="00A60700"/>
    <w:rsid w:val="00A60A52"/>
    <w:rsid w:val="00A61BB6"/>
    <w:rsid w:val="00A624FA"/>
    <w:rsid w:val="00A629B5"/>
    <w:rsid w:val="00A63063"/>
    <w:rsid w:val="00A63482"/>
    <w:rsid w:val="00A637AB"/>
    <w:rsid w:val="00A63F7B"/>
    <w:rsid w:val="00A651AF"/>
    <w:rsid w:val="00A651D2"/>
    <w:rsid w:val="00A653BC"/>
    <w:rsid w:val="00A657A8"/>
    <w:rsid w:val="00A65AE5"/>
    <w:rsid w:val="00A65B61"/>
    <w:rsid w:val="00A664E4"/>
    <w:rsid w:val="00A66B2D"/>
    <w:rsid w:val="00A67B43"/>
    <w:rsid w:val="00A706E8"/>
    <w:rsid w:val="00A706F2"/>
    <w:rsid w:val="00A707D9"/>
    <w:rsid w:val="00A720CA"/>
    <w:rsid w:val="00A72303"/>
    <w:rsid w:val="00A7241D"/>
    <w:rsid w:val="00A72653"/>
    <w:rsid w:val="00A72CDF"/>
    <w:rsid w:val="00A73426"/>
    <w:rsid w:val="00A73D85"/>
    <w:rsid w:val="00A74311"/>
    <w:rsid w:val="00A7625C"/>
    <w:rsid w:val="00A80C20"/>
    <w:rsid w:val="00A80CCA"/>
    <w:rsid w:val="00A80CEF"/>
    <w:rsid w:val="00A80EB0"/>
    <w:rsid w:val="00A8282A"/>
    <w:rsid w:val="00A84E40"/>
    <w:rsid w:val="00A84F66"/>
    <w:rsid w:val="00A8517D"/>
    <w:rsid w:val="00A852B1"/>
    <w:rsid w:val="00A856A0"/>
    <w:rsid w:val="00A86D5C"/>
    <w:rsid w:val="00A874DE"/>
    <w:rsid w:val="00A87E10"/>
    <w:rsid w:val="00A90B19"/>
    <w:rsid w:val="00A91273"/>
    <w:rsid w:val="00A9172A"/>
    <w:rsid w:val="00A9297A"/>
    <w:rsid w:val="00A93459"/>
    <w:rsid w:val="00A95017"/>
    <w:rsid w:val="00A9657F"/>
    <w:rsid w:val="00A974F9"/>
    <w:rsid w:val="00A97AF5"/>
    <w:rsid w:val="00AA005D"/>
    <w:rsid w:val="00AA0989"/>
    <w:rsid w:val="00AA0BD0"/>
    <w:rsid w:val="00AA12F4"/>
    <w:rsid w:val="00AA157E"/>
    <w:rsid w:val="00AA1CA3"/>
    <w:rsid w:val="00AA27AE"/>
    <w:rsid w:val="00AA3066"/>
    <w:rsid w:val="00AA3C1B"/>
    <w:rsid w:val="00AA48FD"/>
    <w:rsid w:val="00AA502A"/>
    <w:rsid w:val="00AA53CD"/>
    <w:rsid w:val="00AA541E"/>
    <w:rsid w:val="00AA589E"/>
    <w:rsid w:val="00AA5CDA"/>
    <w:rsid w:val="00AA6C54"/>
    <w:rsid w:val="00AA6DD4"/>
    <w:rsid w:val="00AB0C59"/>
    <w:rsid w:val="00AB1028"/>
    <w:rsid w:val="00AB2E29"/>
    <w:rsid w:val="00AB3BA4"/>
    <w:rsid w:val="00AB51A7"/>
    <w:rsid w:val="00AB55A3"/>
    <w:rsid w:val="00AB58AF"/>
    <w:rsid w:val="00AB67BF"/>
    <w:rsid w:val="00AB78F0"/>
    <w:rsid w:val="00AB7E4A"/>
    <w:rsid w:val="00AC0270"/>
    <w:rsid w:val="00AC0A69"/>
    <w:rsid w:val="00AC0CCD"/>
    <w:rsid w:val="00AC143B"/>
    <w:rsid w:val="00AC15D8"/>
    <w:rsid w:val="00AC1F8C"/>
    <w:rsid w:val="00AC259B"/>
    <w:rsid w:val="00AC2D56"/>
    <w:rsid w:val="00AC4227"/>
    <w:rsid w:val="00AC501E"/>
    <w:rsid w:val="00AC5433"/>
    <w:rsid w:val="00AC5767"/>
    <w:rsid w:val="00AC586A"/>
    <w:rsid w:val="00AC58FA"/>
    <w:rsid w:val="00AC6278"/>
    <w:rsid w:val="00AC6B63"/>
    <w:rsid w:val="00AC7837"/>
    <w:rsid w:val="00AC7B2D"/>
    <w:rsid w:val="00AC7C4A"/>
    <w:rsid w:val="00AC7D6E"/>
    <w:rsid w:val="00AD0D38"/>
    <w:rsid w:val="00AD1924"/>
    <w:rsid w:val="00AD22D6"/>
    <w:rsid w:val="00AD2423"/>
    <w:rsid w:val="00AD36A9"/>
    <w:rsid w:val="00AD39D5"/>
    <w:rsid w:val="00AD3A72"/>
    <w:rsid w:val="00AD4623"/>
    <w:rsid w:val="00AD4BE9"/>
    <w:rsid w:val="00AD4CAE"/>
    <w:rsid w:val="00AD5B00"/>
    <w:rsid w:val="00AD7163"/>
    <w:rsid w:val="00AD71AD"/>
    <w:rsid w:val="00AD7CB5"/>
    <w:rsid w:val="00AE0B4D"/>
    <w:rsid w:val="00AE0FEC"/>
    <w:rsid w:val="00AE107F"/>
    <w:rsid w:val="00AE17C5"/>
    <w:rsid w:val="00AE1886"/>
    <w:rsid w:val="00AE1C06"/>
    <w:rsid w:val="00AE1E2E"/>
    <w:rsid w:val="00AE239A"/>
    <w:rsid w:val="00AE341D"/>
    <w:rsid w:val="00AE55E0"/>
    <w:rsid w:val="00AE57F5"/>
    <w:rsid w:val="00AE5E2F"/>
    <w:rsid w:val="00AE634D"/>
    <w:rsid w:val="00AE767B"/>
    <w:rsid w:val="00AF0ABB"/>
    <w:rsid w:val="00AF0D43"/>
    <w:rsid w:val="00AF11AA"/>
    <w:rsid w:val="00AF1460"/>
    <w:rsid w:val="00AF1680"/>
    <w:rsid w:val="00AF1FCF"/>
    <w:rsid w:val="00AF25E5"/>
    <w:rsid w:val="00AF2F90"/>
    <w:rsid w:val="00AF373F"/>
    <w:rsid w:val="00AF3E25"/>
    <w:rsid w:val="00AF43F8"/>
    <w:rsid w:val="00AF46B8"/>
    <w:rsid w:val="00AF57DD"/>
    <w:rsid w:val="00AF5BEA"/>
    <w:rsid w:val="00AF6F0F"/>
    <w:rsid w:val="00AF70C8"/>
    <w:rsid w:val="00B00C02"/>
    <w:rsid w:val="00B0102E"/>
    <w:rsid w:val="00B01224"/>
    <w:rsid w:val="00B012F1"/>
    <w:rsid w:val="00B013A9"/>
    <w:rsid w:val="00B02372"/>
    <w:rsid w:val="00B030F6"/>
    <w:rsid w:val="00B03675"/>
    <w:rsid w:val="00B0397A"/>
    <w:rsid w:val="00B04406"/>
    <w:rsid w:val="00B0522D"/>
    <w:rsid w:val="00B05537"/>
    <w:rsid w:val="00B0585C"/>
    <w:rsid w:val="00B05E55"/>
    <w:rsid w:val="00B0601C"/>
    <w:rsid w:val="00B06229"/>
    <w:rsid w:val="00B06271"/>
    <w:rsid w:val="00B068B0"/>
    <w:rsid w:val="00B07229"/>
    <w:rsid w:val="00B103A6"/>
    <w:rsid w:val="00B10777"/>
    <w:rsid w:val="00B10CA5"/>
    <w:rsid w:val="00B11488"/>
    <w:rsid w:val="00B132B4"/>
    <w:rsid w:val="00B13E08"/>
    <w:rsid w:val="00B1459D"/>
    <w:rsid w:val="00B14F44"/>
    <w:rsid w:val="00B1636E"/>
    <w:rsid w:val="00B16A56"/>
    <w:rsid w:val="00B17388"/>
    <w:rsid w:val="00B17553"/>
    <w:rsid w:val="00B178A1"/>
    <w:rsid w:val="00B2051E"/>
    <w:rsid w:val="00B212D4"/>
    <w:rsid w:val="00B21DAA"/>
    <w:rsid w:val="00B21F4F"/>
    <w:rsid w:val="00B22E89"/>
    <w:rsid w:val="00B23DA7"/>
    <w:rsid w:val="00B24390"/>
    <w:rsid w:val="00B243C4"/>
    <w:rsid w:val="00B24A7A"/>
    <w:rsid w:val="00B24BAF"/>
    <w:rsid w:val="00B25B67"/>
    <w:rsid w:val="00B27B66"/>
    <w:rsid w:val="00B309F4"/>
    <w:rsid w:val="00B31CAA"/>
    <w:rsid w:val="00B33747"/>
    <w:rsid w:val="00B3383F"/>
    <w:rsid w:val="00B33993"/>
    <w:rsid w:val="00B344EB"/>
    <w:rsid w:val="00B348DD"/>
    <w:rsid w:val="00B37EDA"/>
    <w:rsid w:val="00B4045D"/>
    <w:rsid w:val="00B40AD3"/>
    <w:rsid w:val="00B41C5E"/>
    <w:rsid w:val="00B42752"/>
    <w:rsid w:val="00B4288D"/>
    <w:rsid w:val="00B42F7B"/>
    <w:rsid w:val="00B438B5"/>
    <w:rsid w:val="00B43BC7"/>
    <w:rsid w:val="00B4480A"/>
    <w:rsid w:val="00B44CD7"/>
    <w:rsid w:val="00B451B9"/>
    <w:rsid w:val="00B45DBE"/>
    <w:rsid w:val="00B45FBC"/>
    <w:rsid w:val="00B46355"/>
    <w:rsid w:val="00B46372"/>
    <w:rsid w:val="00B4676C"/>
    <w:rsid w:val="00B478D7"/>
    <w:rsid w:val="00B47F6E"/>
    <w:rsid w:val="00B50540"/>
    <w:rsid w:val="00B519A4"/>
    <w:rsid w:val="00B51C18"/>
    <w:rsid w:val="00B5280B"/>
    <w:rsid w:val="00B52BD2"/>
    <w:rsid w:val="00B52CCF"/>
    <w:rsid w:val="00B52D31"/>
    <w:rsid w:val="00B534CE"/>
    <w:rsid w:val="00B544E3"/>
    <w:rsid w:val="00B54C23"/>
    <w:rsid w:val="00B54F16"/>
    <w:rsid w:val="00B55EB3"/>
    <w:rsid w:val="00B60196"/>
    <w:rsid w:val="00B60BCC"/>
    <w:rsid w:val="00B60E65"/>
    <w:rsid w:val="00B6257B"/>
    <w:rsid w:val="00B630DE"/>
    <w:rsid w:val="00B635EF"/>
    <w:rsid w:val="00B63E84"/>
    <w:rsid w:val="00B63F6D"/>
    <w:rsid w:val="00B63F78"/>
    <w:rsid w:val="00B63F7D"/>
    <w:rsid w:val="00B6435B"/>
    <w:rsid w:val="00B64B0F"/>
    <w:rsid w:val="00B64C80"/>
    <w:rsid w:val="00B66029"/>
    <w:rsid w:val="00B668A9"/>
    <w:rsid w:val="00B675DB"/>
    <w:rsid w:val="00B6768B"/>
    <w:rsid w:val="00B708BB"/>
    <w:rsid w:val="00B70B50"/>
    <w:rsid w:val="00B717A2"/>
    <w:rsid w:val="00B7215B"/>
    <w:rsid w:val="00B726FE"/>
    <w:rsid w:val="00B73028"/>
    <w:rsid w:val="00B7316C"/>
    <w:rsid w:val="00B73548"/>
    <w:rsid w:val="00B7362B"/>
    <w:rsid w:val="00B7369B"/>
    <w:rsid w:val="00B751E7"/>
    <w:rsid w:val="00B7668B"/>
    <w:rsid w:val="00B77239"/>
    <w:rsid w:val="00B806BC"/>
    <w:rsid w:val="00B80C48"/>
    <w:rsid w:val="00B81A0D"/>
    <w:rsid w:val="00B81DA3"/>
    <w:rsid w:val="00B81E53"/>
    <w:rsid w:val="00B828DB"/>
    <w:rsid w:val="00B82CEC"/>
    <w:rsid w:val="00B83400"/>
    <w:rsid w:val="00B83436"/>
    <w:rsid w:val="00B8406C"/>
    <w:rsid w:val="00B8466F"/>
    <w:rsid w:val="00B85E81"/>
    <w:rsid w:val="00B87370"/>
    <w:rsid w:val="00B87FBD"/>
    <w:rsid w:val="00B907D1"/>
    <w:rsid w:val="00B90817"/>
    <w:rsid w:val="00B908EA"/>
    <w:rsid w:val="00B90C3F"/>
    <w:rsid w:val="00B90E4F"/>
    <w:rsid w:val="00B910A3"/>
    <w:rsid w:val="00B914F4"/>
    <w:rsid w:val="00B919B6"/>
    <w:rsid w:val="00B91DE4"/>
    <w:rsid w:val="00B92119"/>
    <w:rsid w:val="00B9274F"/>
    <w:rsid w:val="00B92910"/>
    <w:rsid w:val="00B92F88"/>
    <w:rsid w:val="00B92FA7"/>
    <w:rsid w:val="00B936C0"/>
    <w:rsid w:val="00B939FE"/>
    <w:rsid w:val="00B94804"/>
    <w:rsid w:val="00B94AD0"/>
    <w:rsid w:val="00B94D18"/>
    <w:rsid w:val="00B959D3"/>
    <w:rsid w:val="00B96108"/>
    <w:rsid w:val="00B96470"/>
    <w:rsid w:val="00B971B3"/>
    <w:rsid w:val="00BA11B5"/>
    <w:rsid w:val="00BA181B"/>
    <w:rsid w:val="00BA19BD"/>
    <w:rsid w:val="00BA2963"/>
    <w:rsid w:val="00BA29D6"/>
    <w:rsid w:val="00BA42F6"/>
    <w:rsid w:val="00BA4D78"/>
    <w:rsid w:val="00BA5114"/>
    <w:rsid w:val="00BA5323"/>
    <w:rsid w:val="00BA6150"/>
    <w:rsid w:val="00BA6465"/>
    <w:rsid w:val="00BA72A5"/>
    <w:rsid w:val="00BB085C"/>
    <w:rsid w:val="00BB0D1C"/>
    <w:rsid w:val="00BB0EA3"/>
    <w:rsid w:val="00BB2367"/>
    <w:rsid w:val="00BB2661"/>
    <w:rsid w:val="00BB4072"/>
    <w:rsid w:val="00BB4304"/>
    <w:rsid w:val="00BB4471"/>
    <w:rsid w:val="00BB4AAA"/>
    <w:rsid w:val="00BB4FF1"/>
    <w:rsid w:val="00BB52BD"/>
    <w:rsid w:val="00BB566E"/>
    <w:rsid w:val="00BB5F02"/>
    <w:rsid w:val="00BB6A38"/>
    <w:rsid w:val="00BB6D17"/>
    <w:rsid w:val="00BB6FC5"/>
    <w:rsid w:val="00BB7A20"/>
    <w:rsid w:val="00BB7C02"/>
    <w:rsid w:val="00BC07D6"/>
    <w:rsid w:val="00BC11E7"/>
    <w:rsid w:val="00BC15F0"/>
    <w:rsid w:val="00BC23FC"/>
    <w:rsid w:val="00BC24C9"/>
    <w:rsid w:val="00BC25B6"/>
    <w:rsid w:val="00BC269E"/>
    <w:rsid w:val="00BC2D5C"/>
    <w:rsid w:val="00BC332E"/>
    <w:rsid w:val="00BC3334"/>
    <w:rsid w:val="00BC3618"/>
    <w:rsid w:val="00BC3948"/>
    <w:rsid w:val="00BC3F74"/>
    <w:rsid w:val="00BC45F3"/>
    <w:rsid w:val="00BC48FD"/>
    <w:rsid w:val="00BC498A"/>
    <w:rsid w:val="00BC56F2"/>
    <w:rsid w:val="00BC5789"/>
    <w:rsid w:val="00BC5E99"/>
    <w:rsid w:val="00BC5ED4"/>
    <w:rsid w:val="00BC616D"/>
    <w:rsid w:val="00BC6BC3"/>
    <w:rsid w:val="00BC6F6C"/>
    <w:rsid w:val="00BD0723"/>
    <w:rsid w:val="00BD0F0F"/>
    <w:rsid w:val="00BD138E"/>
    <w:rsid w:val="00BD1D26"/>
    <w:rsid w:val="00BD2D6C"/>
    <w:rsid w:val="00BD3034"/>
    <w:rsid w:val="00BD3A16"/>
    <w:rsid w:val="00BD4DB2"/>
    <w:rsid w:val="00BD5116"/>
    <w:rsid w:val="00BD5401"/>
    <w:rsid w:val="00BD6ACD"/>
    <w:rsid w:val="00BD743A"/>
    <w:rsid w:val="00BD7F42"/>
    <w:rsid w:val="00BE11D8"/>
    <w:rsid w:val="00BE1302"/>
    <w:rsid w:val="00BE1F0D"/>
    <w:rsid w:val="00BE207C"/>
    <w:rsid w:val="00BE2563"/>
    <w:rsid w:val="00BE2C20"/>
    <w:rsid w:val="00BE2C99"/>
    <w:rsid w:val="00BE2F14"/>
    <w:rsid w:val="00BE3321"/>
    <w:rsid w:val="00BE3333"/>
    <w:rsid w:val="00BE59CA"/>
    <w:rsid w:val="00BE65FC"/>
    <w:rsid w:val="00BE662C"/>
    <w:rsid w:val="00BE67CC"/>
    <w:rsid w:val="00BE6D43"/>
    <w:rsid w:val="00BE70A3"/>
    <w:rsid w:val="00BE735C"/>
    <w:rsid w:val="00BF07F7"/>
    <w:rsid w:val="00BF12D9"/>
    <w:rsid w:val="00BF21F5"/>
    <w:rsid w:val="00BF2415"/>
    <w:rsid w:val="00BF255D"/>
    <w:rsid w:val="00BF29B9"/>
    <w:rsid w:val="00BF43B8"/>
    <w:rsid w:val="00BF452C"/>
    <w:rsid w:val="00BF59D0"/>
    <w:rsid w:val="00BF717F"/>
    <w:rsid w:val="00BF7EC5"/>
    <w:rsid w:val="00C0006B"/>
    <w:rsid w:val="00C00365"/>
    <w:rsid w:val="00C005D5"/>
    <w:rsid w:val="00C00DCB"/>
    <w:rsid w:val="00C0194D"/>
    <w:rsid w:val="00C01D39"/>
    <w:rsid w:val="00C023A5"/>
    <w:rsid w:val="00C03070"/>
    <w:rsid w:val="00C03506"/>
    <w:rsid w:val="00C03F95"/>
    <w:rsid w:val="00C047AA"/>
    <w:rsid w:val="00C048CD"/>
    <w:rsid w:val="00C04A9C"/>
    <w:rsid w:val="00C05B52"/>
    <w:rsid w:val="00C05C91"/>
    <w:rsid w:val="00C06194"/>
    <w:rsid w:val="00C0619C"/>
    <w:rsid w:val="00C06A83"/>
    <w:rsid w:val="00C074FC"/>
    <w:rsid w:val="00C07770"/>
    <w:rsid w:val="00C07FAC"/>
    <w:rsid w:val="00C107C0"/>
    <w:rsid w:val="00C107D1"/>
    <w:rsid w:val="00C11335"/>
    <w:rsid w:val="00C115AD"/>
    <w:rsid w:val="00C119A5"/>
    <w:rsid w:val="00C11ACC"/>
    <w:rsid w:val="00C11B5E"/>
    <w:rsid w:val="00C11D09"/>
    <w:rsid w:val="00C11EF3"/>
    <w:rsid w:val="00C12667"/>
    <w:rsid w:val="00C12D8B"/>
    <w:rsid w:val="00C13165"/>
    <w:rsid w:val="00C151D4"/>
    <w:rsid w:val="00C151FF"/>
    <w:rsid w:val="00C159D2"/>
    <w:rsid w:val="00C15F79"/>
    <w:rsid w:val="00C16BFF"/>
    <w:rsid w:val="00C17726"/>
    <w:rsid w:val="00C17B31"/>
    <w:rsid w:val="00C17F19"/>
    <w:rsid w:val="00C20E7B"/>
    <w:rsid w:val="00C21DD4"/>
    <w:rsid w:val="00C232FC"/>
    <w:rsid w:val="00C2409F"/>
    <w:rsid w:val="00C24710"/>
    <w:rsid w:val="00C24DC0"/>
    <w:rsid w:val="00C24E4B"/>
    <w:rsid w:val="00C2561A"/>
    <w:rsid w:val="00C258EA"/>
    <w:rsid w:val="00C25F59"/>
    <w:rsid w:val="00C27764"/>
    <w:rsid w:val="00C279DB"/>
    <w:rsid w:val="00C309F9"/>
    <w:rsid w:val="00C31BA1"/>
    <w:rsid w:val="00C31CFA"/>
    <w:rsid w:val="00C31DC3"/>
    <w:rsid w:val="00C31EF3"/>
    <w:rsid w:val="00C3203F"/>
    <w:rsid w:val="00C33360"/>
    <w:rsid w:val="00C33BC3"/>
    <w:rsid w:val="00C347B5"/>
    <w:rsid w:val="00C351C4"/>
    <w:rsid w:val="00C35979"/>
    <w:rsid w:val="00C37309"/>
    <w:rsid w:val="00C37719"/>
    <w:rsid w:val="00C37E97"/>
    <w:rsid w:val="00C4017E"/>
    <w:rsid w:val="00C40428"/>
    <w:rsid w:val="00C4053A"/>
    <w:rsid w:val="00C4087E"/>
    <w:rsid w:val="00C40973"/>
    <w:rsid w:val="00C41AD4"/>
    <w:rsid w:val="00C42DA9"/>
    <w:rsid w:val="00C4332B"/>
    <w:rsid w:val="00C4368B"/>
    <w:rsid w:val="00C4383D"/>
    <w:rsid w:val="00C43BE5"/>
    <w:rsid w:val="00C4468C"/>
    <w:rsid w:val="00C44E7E"/>
    <w:rsid w:val="00C4511A"/>
    <w:rsid w:val="00C458D3"/>
    <w:rsid w:val="00C464A0"/>
    <w:rsid w:val="00C46D7F"/>
    <w:rsid w:val="00C50ABB"/>
    <w:rsid w:val="00C50E02"/>
    <w:rsid w:val="00C51CBE"/>
    <w:rsid w:val="00C52746"/>
    <w:rsid w:val="00C53359"/>
    <w:rsid w:val="00C5445E"/>
    <w:rsid w:val="00C5483C"/>
    <w:rsid w:val="00C55C05"/>
    <w:rsid w:val="00C55E01"/>
    <w:rsid w:val="00C56A0A"/>
    <w:rsid w:val="00C56F94"/>
    <w:rsid w:val="00C61F0D"/>
    <w:rsid w:val="00C6212C"/>
    <w:rsid w:val="00C6369F"/>
    <w:rsid w:val="00C63F68"/>
    <w:rsid w:val="00C64649"/>
    <w:rsid w:val="00C64677"/>
    <w:rsid w:val="00C647D6"/>
    <w:rsid w:val="00C66EAA"/>
    <w:rsid w:val="00C67222"/>
    <w:rsid w:val="00C6794C"/>
    <w:rsid w:val="00C67F5B"/>
    <w:rsid w:val="00C715FA"/>
    <w:rsid w:val="00C7234B"/>
    <w:rsid w:val="00C72620"/>
    <w:rsid w:val="00C72B17"/>
    <w:rsid w:val="00C72FDD"/>
    <w:rsid w:val="00C733B3"/>
    <w:rsid w:val="00C73A55"/>
    <w:rsid w:val="00C73A5C"/>
    <w:rsid w:val="00C73C4F"/>
    <w:rsid w:val="00C747B5"/>
    <w:rsid w:val="00C75C25"/>
    <w:rsid w:val="00C76B2C"/>
    <w:rsid w:val="00C77026"/>
    <w:rsid w:val="00C800DC"/>
    <w:rsid w:val="00C80AA0"/>
    <w:rsid w:val="00C81260"/>
    <w:rsid w:val="00C81911"/>
    <w:rsid w:val="00C81C8C"/>
    <w:rsid w:val="00C82047"/>
    <w:rsid w:val="00C82A2D"/>
    <w:rsid w:val="00C82BDB"/>
    <w:rsid w:val="00C832D6"/>
    <w:rsid w:val="00C833B5"/>
    <w:rsid w:val="00C8483E"/>
    <w:rsid w:val="00C84D73"/>
    <w:rsid w:val="00C84D78"/>
    <w:rsid w:val="00C85AD8"/>
    <w:rsid w:val="00C86015"/>
    <w:rsid w:val="00C86082"/>
    <w:rsid w:val="00C86401"/>
    <w:rsid w:val="00C87463"/>
    <w:rsid w:val="00C87BA4"/>
    <w:rsid w:val="00C87C91"/>
    <w:rsid w:val="00C87DD9"/>
    <w:rsid w:val="00C87F5A"/>
    <w:rsid w:val="00C902D3"/>
    <w:rsid w:val="00C90568"/>
    <w:rsid w:val="00C918A1"/>
    <w:rsid w:val="00C918F5"/>
    <w:rsid w:val="00C91A64"/>
    <w:rsid w:val="00C927F9"/>
    <w:rsid w:val="00C93855"/>
    <w:rsid w:val="00C93DBE"/>
    <w:rsid w:val="00C9408D"/>
    <w:rsid w:val="00C9463B"/>
    <w:rsid w:val="00C94796"/>
    <w:rsid w:val="00C94B43"/>
    <w:rsid w:val="00C95E57"/>
    <w:rsid w:val="00C969A4"/>
    <w:rsid w:val="00C96B4F"/>
    <w:rsid w:val="00C9715E"/>
    <w:rsid w:val="00C9774E"/>
    <w:rsid w:val="00C977E2"/>
    <w:rsid w:val="00C97D87"/>
    <w:rsid w:val="00CA1140"/>
    <w:rsid w:val="00CA11F8"/>
    <w:rsid w:val="00CA11FF"/>
    <w:rsid w:val="00CA15B0"/>
    <w:rsid w:val="00CA177A"/>
    <w:rsid w:val="00CA1E5E"/>
    <w:rsid w:val="00CA20B5"/>
    <w:rsid w:val="00CA2150"/>
    <w:rsid w:val="00CA246B"/>
    <w:rsid w:val="00CA3068"/>
    <w:rsid w:val="00CA31ED"/>
    <w:rsid w:val="00CA36AD"/>
    <w:rsid w:val="00CA382B"/>
    <w:rsid w:val="00CA3DEB"/>
    <w:rsid w:val="00CA3E98"/>
    <w:rsid w:val="00CA3FA6"/>
    <w:rsid w:val="00CA4719"/>
    <w:rsid w:val="00CA4C94"/>
    <w:rsid w:val="00CA54BE"/>
    <w:rsid w:val="00CA5509"/>
    <w:rsid w:val="00CA5B59"/>
    <w:rsid w:val="00CA621D"/>
    <w:rsid w:val="00CA6512"/>
    <w:rsid w:val="00CA6964"/>
    <w:rsid w:val="00CA70CB"/>
    <w:rsid w:val="00CB0096"/>
    <w:rsid w:val="00CB07A5"/>
    <w:rsid w:val="00CB19B4"/>
    <w:rsid w:val="00CB2056"/>
    <w:rsid w:val="00CB43C9"/>
    <w:rsid w:val="00CB5C9C"/>
    <w:rsid w:val="00CB66DD"/>
    <w:rsid w:val="00CB68B0"/>
    <w:rsid w:val="00CB7B39"/>
    <w:rsid w:val="00CC0667"/>
    <w:rsid w:val="00CC09B2"/>
    <w:rsid w:val="00CC134B"/>
    <w:rsid w:val="00CC1858"/>
    <w:rsid w:val="00CC2E2D"/>
    <w:rsid w:val="00CC3EB9"/>
    <w:rsid w:val="00CC45B6"/>
    <w:rsid w:val="00CC5544"/>
    <w:rsid w:val="00CC6BEC"/>
    <w:rsid w:val="00CC6DF2"/>
    <w:rsid w:val="00CC7B8C"/>
    <w:rsid w:val="00CC7FB3"/>
    <w:rsid w:val="00CD0195"/>
    <w:rsid w:val="00CD0680"/>
    <w:rsid w:val="00CD071A"/>
    <w:rsid w:val="00CD0A11"/>
    <w:rsid w:val="00CD162B"/>
    <w:rsid w:val="00CD2BCE"/>
    <w:rsid w:val="00CD34E0"/>
    <w:rsid w:val="00CD43E9"/>
    <w:rsid w:val="00CD497D"/>
    <w:rsid w:val="00CD564D"/>
    <w:rsid w:val="00CD5AB2"/>
    <w:rsid w:val="00CD5EE9"/>
    <w:rsid w:val="00CD60BB"/>
    <w:rsid w:val="00CD6375"/>
    <w:rsid w:val="00CD66FA"/>
    <w:rsid w:val="00CD746B"/>
    <w:rsid w:val="00CD7684"/>
    <w:rsid w:val="00CE1543"/>
    <w:rsid w:val="00CE3673"/>
    <w:rsid w:val="00CE4F6F"/>
    <w:rsid w:val="00CE55C8"/>
    <w:rsid w:val="00CE5E2C"/>
    <w:rsid w:val="00CE7632"/>
    <w:rsid w:val="00CE7931"/>
    <w:rsid w:val="00CF0028"/>
    <w:rsid w:val="00CF02AA"/>
    <w:rsid w:val="00CF05EC"/>
    <w:rsid w:val="00CF1122"/>
    <w:rsid w:val="00CF1195"/>
    <w:rsid w:val="00CF2F26"/>
    <w:rsid w:val="00CF35F2"/>
    <w:rsid w:val="00CF430D"/>
    <w:rsid w:val="00CF43BC"/>
    <w:rsid w:val="00CF6285"/>
    <w:rsid w:val="00CF7639"/>
    <w:rsid w:val="00D0127B"/>
    <w:rsid w:val="00D01336"/>
    <w:rsid w:val="00D01710"/>
    <w:rsid w:val="00D0171F"/>
    <w:rsid w:val="00D0207E"/>
    <w:rsid w:val="00D0248B"/>
    <w:rsid w:val="00D02658"/>
    <w:rsid w:val="00D02F82"/>
    <w:rsid w:val="00D030B1"/>
    <w:rsid w:val="00D0374B"/>
    <w:rsid w:val="00D0377E"/>
    <w:rsid w:val="00D03AF3"/>
    <w:rsid w:val="00D0456B"/>
    <w:rsid w:val="00D04F04"/>
    <w:rsid w:val="00D04F1F"/>
    <w:rsid w:val="00D063CF"/>
    <w:rsid w:val="00D06F46"/>
    <w:rsid w:val="00D076A2"/>
    <w:rsid w:val="00D07816"/>
    <w:rsid w:val="00D07820"/>
    <w:rsid w:val="00D07EB6"/>
    <w:rsid w:val="00D110C5"/>
    <w:rsid w:val="00D11654"/>
    <w:rsid w:val="00D12549"/>
    <w:rsid w:val="00D131F5"/>
    <w:rsid w:val="00D1374E"/>
    <w:rsid w:val="00D13A46"/>
    <w:rsid w:val="00D13BB5"/>
    <w:rsid w:val="00D13BD9"/>
    <w:rsid w:val="00D145E8"/>
    <w:rsid w:val="00D14628"/>
    <w:rsid w:val="00D148E0"/>
    <w:rsid w:val="00D14A1B"/>
    <w:rsid w:val="00D1611D"/>
    <w:rsid w:val="00D16515"/>
    <w:rsid w:val="00D16B44"/>
    <w:rsid w:val="00D200B8"/>
    <w:rsid w:val="00D20245"/>
    <w:rsid w:val="00D20591"/>
    <w:rsid w:val="00D20C0A"/>
    <w:rsid w:val="00D21DD2"/>
    <w:rsid w:val="00D22309"/>
    <w:rsid w:val="00D22768"/>
    <w:rsid w:val="00D229C3"/>
    <w:rsid w:val="00D22BC5"/>
    <w:rsid w:val="00D22D3B"/>
    <w:rsid w:val="00D23175"/>
    <w:rsid w:val="00D236DE"/>
    <w:rsid w:val="00D245BC"/>
    <w:rsid w:val="00D24E40"/>
    <w:rsid w:val="00D26454"/>
    <w:rsid w:val="00D273D2"/>
    <w:rsid w:val="00D276D9"/>
    <w:rsid w:val="00D31297"/>
    <w:rsid w:val="00D314CA"/>
    <w:rsid w:val="00D3223F"/>
    <w:rsid w:val="00D32954"/>
    <w:rsid w:val="00D32E97"/>
    <w:rsid w:val="00D3376D"/>
    <w:rsid w:val="00D33BF9"/>
    <w:rsid w:val="00D34065"/>
    <w:rsid w:val="00D342AB"/>
    <w:rsid w:val="00D34FC4"/>
    <w:rsid w:val="00D3570E"/>
    <w:rsid w:val="00D36568"/>
    <w:rsid w:val="00D36C58"/>
    <w:rsid w:val="00D3705F"/>
    <w:rsid w:val="00D372E5"/>
    <w:rsid w:val="00D374CE"/>
    <w:rsid w:val="00D379DB"/>
    <w:rsid w:val="00D40AE8"/>
    <w:rsid w:val="00D4154A"/>
    <w:rsid w:val="00D42022"/>
    <w:rsid w:val="00D42183"/>
    <w:rsid w:val="00D43382"/>
    <w:rsid w:val="00D43673"/>
    <w:rsid w:val="00D43E32"/>
    <w:rsid w:val="00D44285"/>
    <w:rsid w:val="00D4433D"/>
    <w:rsid w:val="00D44722"/>
    <w:rsid w:val="00D44DE1"/>
    <w:rsid w:val="00D4561C"/>
    <w:rsid w:val="00D45702"/>
    <w:rsid w:val="00D459B2"/>
    <w:rsid w:val="00D46BF1"/>
    <w:rsid w:val="00D46F32"/>
    <w:rsid w:val="00D47EEF"/>
    <w:rsid w:val="00D50EB5"/>
    <w:rsid w:val="00D5154F"/>
    <w:rsid w:val="00D51603"/>
    <w:rsid w:val="00D51740"/>
    <w:rsid w:val="00D51E66"/>
    <w:rsid w:val="00D5212D"/>
    <w:rsid w:val="00D52564"/>
    <w:rsid w:val="00D53B72"/>
    <w:rsid w:val="00D5444B"/>
    <w:rsid w:val="00D54B79"/>
    <w:rsid w:val="00D55766"/>
    <w:rsid w:val="00D56210"/>
    <w:rsid w:val="00D56DEF"/>
    <w:rsid w:val="00D574E4"/>
    <w:rsid w:val="00D57606"/>
    <w:rsid w:val="00D57E2B"/>
    <w:rsid w:val="00D60188"/>
    <w:rsid w:val="00D601C2"/>
    <w:rsid w:val="00D60647"/>
    <w:rsid w:val="00D60928"/>
    <w:rsid w:val="00D61830"/>
    <w:rsid w:val="00D6197F"/>
    <w:rsid w:val="00D6260B"/>
    <w:rsid w:val="00D62B85"/>
    <w:rsid w:val="00D63B22"/>
    <w:rsid w:val="00D6425E"/>
    <w:rsid w:val="00D64A38"/>
    <w:rsid w:val="00D651C4"/>
    <w:rsid w:val="00D6534C"/>
    <w:rsid w:val="00D6561B"/>
    <w:rsid w:val="00D663A5"/>
    <w:rsid w:val="00D703FD"/>
    <w:rsid w:val="00D70A4E"/>
    <w:rsid w:val="00D71783"/>
    <w:rsid w:val="00D7186F"/>
    <w:rsid w:val="00D718D6"/>
    <w:rsid w:val="00D71912"/>
    <w:rsid w:val="00D71BCA"/>
    <w:rsid w:val="00D71FBC"/>
    <w:rsid w:val="00D72275"/>
    <w:rsid w:val="00D730E9"/>
    <w:rsid w:val="00D73124"/>
    <w:rsid w:val="00D74C77"/>
    <w:rsid w:val="00D74FF3"/>
    <w:rsid w:val="00D75876"/>
    <w:rsid w:val="00D7589E"/>
    <w:rsid w:val="00D759DB"/>
    <w:rsid w:val="00D75A73"/>
    <w:rsid w:val="00D765D9"/>
    <w:rsid w:val="00D76ACA"/>
    <w:rsid w:val="00D77B75"/>
    <w:rsid w:val="00D77F64"/>
    <w:rsid w:val="00D80404"/>
    <w:rsid w:val="00D8100E"/>
    <w:rsid w:val="00D8140B"/>
    <w:rsid w:val="00D8157F"/>
    <w:rsid w:val="00D8179A"/>
    <w:rsid w:val="00D82532"/>
    <w:rsid w:val="00D83104"/>
    <w:rsid w:val="00D832EB"/>
    <w:rsid w:val="00D83E05"/>
    <w:rsid w:val="00D8406F"/>
    <w:rsid w:val="00D84103"/>
    <w:rsid w:val="00D841B8"/>
    <w:rsid w:val="00D8452D"/>
    <w:rsid w:val="00D8560A"/>
    <w:rsid w:val="00D85939"/>
    <w:rsid w:val="00D85AD6"/>
    <w:rsid w:val="00D86B67"/>
    <w:rsid w:val="00D86BCE"/>
    <w:rsid w:val="00D86DCE"/>
    <w:rsid w:val="00D87047"/>
    <w:rsid w:val="00D87F88"/>
    <w:rsid w:val="00D90554"/>
    <w:rsid w:val="00D906A5"/>
    <w:rsid w:val="00D90CAD"/>
    <w:rsid w:val="00D9107F"/>
    <w:rsid w:val="00D914D3"/>
    <w:rsid w:val="00D9176D"/>
    <w:rsid w:val="00D91CDF"/>
    <w:rsid w:val="00D91F15"/>
    <w:rsid w:val="00D92885"/>
    <w:rsid w:val="00D92954"/>
    <w:rsid w:val="00D932F5"/>
    <w:rsid w:val="00D9337E"/>
    <w:rsid w:val="00D933D1"/>
    <w:rsid w:val="00D93D36"/>
    <w:rsid w:val="00D93ECE"/>
    <w:rsid w:val="00D95090"/>
    <w:rsid w:val="00D959BA"/>
    <w:rsid w:val="00D95AAC"/>
    <w:rsid w:val="00D9636D"/>
    <w:rsid w:val="00D97B25"/>
    <w:rsid w:val="00D97F28"/>
    <w:rsid w:val="00D97F4B"/>
    <w:rsid w:val="00DA02EF"/>
    <w:rsid w:val="00DA1554"/>
    <w:rsid w:val="00DA1DAE"/>
    <w:rsid w:val="00DA1DCE"/>
    <w:rsid w:val="00DA222D"/>
    <w:rsid w:val="00DA32D2"/>
    <w:rsid w:val="00DA3313"/>
    <w:rsid w:val="00DA35CA"/>
    <w:rsid w:val="00DA36FF"/>
    <w:rsid w:val="00DA3BE1"/>
    <w:rsid w:val="00DA43BB"/>
    <w:rsid w:val="00DA4498"/>
    <w:rsid w:val="00DA4510"/>
    <w:rsid w:val="00DA4763"/>
    <w:rsid w:val="00DA4BE0"/>
    <w:rsid w:val="00DA58A3"/>
    <w:rsid w:val="00DA5977"/>
    <w:rsid w:val="00DA66F1"/>
    <w:rsid w:val="00DA73D9"/>
    <w:rsid w:val="00DA758E"/>
    <w:rsid w:val="00DA7A46"/>
    <w:rsid w:val="00DB01BD"/>
    <w:rsid w:val="00DB0588"/>
    <w:rsid w:val="00DB0B8B"/>
    <w:rsid w:val="00DB0C89"/>
    <w:rsid w:val="00DB0FDA"/>
    <w:rsid w:val="00DB13D8"/>
    <w:rsid w:val="00DB1FDD"/>
    <w:rsid w:val="00DB4423"/>
    <w:rsid w:val="00DB6F95"/>
    <w:rsid w:val="00DB71C7"/>
    <w:rsid w:val="00DB73A8"/>
    <w:rsid w:val="00DB7828"/>
    <w:rsid w:val="00DB7A06"/>
    <w:rsid w:val="00DB7C88"/>
    <w:rsid w:val="00DB7C9B"/>
    <w:rsid w:val="00DC087C"/>
    <w:rsid w:val="00DC08B7"/>
    <w:rsid w:val="00DC126E"/>
    <w:rsid w:val="00DC1C40"/>
    <w:rsid w:val="00DC1C91"/>
    <w:rsid w:val="00DC2B60"/>
    <w:rsid w:val="00DC2F46"/>
    <w:rsid w:val="00DC34E0"/>
    <w:rsid w:val="00DC4277"/>
    <w:rsid w:val="00DC50F6"/>
    <w:rsid w:val="00DC5207"/>
    <w:rsid w:val="00DC55BA"/>
    <w:rsid w:val="00DC5ACC"/>
    <w:rsid w:val="00DC5D6F"/>
    <w:rsid w:val="00DC61E6"/>
    <w:rsid w:val="00DC6FD2"/>
    <w:rsid w:val="00DC77BD"/>
    <w:rsid w:val="00DC7841"/>
    <w:rsid w:val="00DC7887"/>
    <w:rsid w:val="00DC78B4"/>
    <w:rsid w:val="00DC7F99"/>
    <w:rsid w:val="00DC7FCC"/>
    <w:rsid w:val="00DD02F7"/>
    <w:rsid w:val="00DD0927"/>
    <w:rsid w:val="00DD18AA"/>
    <w:rsid w:val="00DD25D6"/>
    <w:rsid w:val="00DD25ED"/>
    <w:rsid w:val="00DD2D1D"/>
    <w:rsid w:val="00DD352F"/>
    <w:rsid w:val="00DD3631"/>
    <w:rsid w:val="00DD3DEE"/>
    <w:rsid w:val="00DD41B5"/>
    <w:rsid w:val="00DD482D"/>
    <w:rsid w:val="00DD4ADA"/>
    <w:rsid w:val="00DD4D59"/>
    <w:rsid w:val="00DD5513"/>
    <w:rsid w:val="00DD5C63"/>
    <w:rsid w:val="00DD5FFC"/>
    <w:rsid w:val="00DD6547"/>
    <w:rsid w:val="00DD6591"/>
    <w:rsid w:val="00DD6658"/>
    <w:rsid w:val="00DD7173"/>
    <w:rsid w:val="00DD7D6D"/>
    <w:rsid w:val="00DE02FB"/>
    <w:rsid w:val="00DE034E"/>
    <w:rsid w:val="00DE1924"/>
    <w:rsid w:val="00DE1F22"/>
    <w:rsid w:val="00DE2566"/>
    <w:rsid w:val="00DE26FB"/>
    <w:rsid w:val="00DE2A08"/>
    <w:rsid w:val="00DE2A13"/>
    <w:rsid w:val="00DE3135"/>
    <w:rsid w:val="00DE54D6"/>
    <w:rsid w:val="00DE56A7"/>
    <w:rsid w:val="00DE58BD"/>
    <w:rsid w:val="00DE5FE3"/>
    <w:rsid w:val="00DE66C3"/>
    <w:rsid w:val="00DE6BE5"/>
    <w:rsid w:val="00DE7131"/>
    <w:rsid w:val="00DF005A"/>
    <w:rsid w:val="00DF06DB"/>
    <w:rsid w:val="00DF078D"/>
    <w:rsid w:val="00DF0E22"/>
    <w:rsid w:val="00DF1057"/>
    <w:rsid w:val="00DF125B"/>
    <w:rsid w:val="00DF1865"/>
    <w:rsid w:val="00DF286E"/>
    <w:rsid w:val="00DF2BB7"/>
    <w:rsid w:val="00DF2FC7"/>
    <w:rsid w:val="00DF3DED"/>
    <w:rsid w:val="00DF4C45"/>
    <w:rsid w:val="00DF60F1"/>
    <w:rsid w:val="00DF62C2"/>
    <w:rsid w:val="00DF6F76"/>
    <w:rsid w:val="00DF75AD"/>
    <w:rsid w:val="00E00E38"/>
    <w:rsid w:val="00E01057"/>
    <w:rsid w:val="00E016A7"/>
    <w:rsid w:val="00E0267E"/>
    <w:rsid w:val="00E026F2"/>
    <w:rsid w:val="00E03670"/>
    <w:rsid w:val="00E03DA9"/>
    <w:rsid w:val="00E03E43"/>
    <w:rsid w:val="00E04277"/>
    <w:rsid w:val="00E04659"/>
    <w:rsid w:val="00E05658"/>
    <w:rsid w:val="00E0638A"/>
    <w:rsid w:val="00E066C6"/>
    <w:rsid w:val="00E06FC8"/>
    <w:rsid w:val="00E070BA"/>
    <w:rsid w:val="00E07F1A"/>
    <w:rsid w:val="00E10D50"/>
    <w:rsid w:val="00E12A0C"/>
    <w:rsid w:val="00E12E76"/>
    <w:rsid w:val="00E138F8"/>
    <w:rsid w:val="00E13C01"/>
    <w:rsid w:val="00E1551D"/>
    <w:rsid w:val="00E157F0"/>
    <w:rsid w:val="00E15BC5"/>
    <w:rsid w:val="00E16AE1"/>
    <w:rsid w:val="00E17A8E"/>
    <w:rsid w:val="00E208CA"/>
    <w:rsid w:val="00E209AB"/>
    <w:rsid w:val="00E20B24"/>
    <w:rsid w:val="00E21612"/>
    <w:rsid w:val="00E21ED3"/>
    <w:rsid w:val="00E226AD"/>
    <w:rsid w:val="00E22948"/>
    <w:rsid w:val="00E23EDD"/>
    <w:rsid w:val="00E250F5"/>
    <w:rsid w:val="00E25D50"/>
    <w:rsid w:val="00E25FD2"/>
    <w:rsid w:val="00E26BDB"/>
    <w:rsid w:val="00E27367"/>
    <w:rsid w:val="00E27DF8"/>
    <w:rsid w:val="00E3096D"/>
    <w:rsid w:val="00E30FC5"/>
    <w:rsid w:val="00E31CFA"/>
    <w:rsid w:val="00E32795"/>
    <w:rsid w:val="00E3308E"/>
    <w:rsid w:val="00E3326B"/>
    <w:rsid w:val="00E33AE4"/>
    <w:rsid w:val="00E33BCE"/>
    <w:rsid w:val="00E34598"/>
    <w:rsid w:val="00E347AA"/>
    <w:rsid w:val="00E3494A"/>
    <w:rsid w:val="00E349B7"/>
    <w:rsid w:val="00E34ABB"/>
    <w:rsid w:val="00E35C80"/>
    <w:rsid w:val="00E36909"/>
    <w:rsid w:val="00E40B25"/>
    <w:rsid w:val="00E41053"/>
    <w:rsid w:val="00E41AF5"/>
    <w:rsid w:val="00E41D74"/>
    <w:rsid w:val="00E4219C"/>
    <w:rsid w:val="00E421BE"/>
    <w:rsid w:val="00E42905"/>
    <w:rsid w:val="00E42E54"/>
    <w:rsid w:val="00E43378"/>
    <w:rsid w:val="00E4430F"/>
    <w:rsid w:val="00E443AA"/>
    <w:rsid w:val="00E448EC"/>
    <w:rsid w:val="00E456FF"/>
    <w:rsid w:val="00E460D3"/>
    <w:rsid w:val="00E465D3"/>
    <w:rsid w:val="00E466FD"/>
    <w:rsid w:val="00E46BFA"/>
    <w:rsid w:val="00E47798"/>
    <w:rsid w:val="00E47F0D"/>
    <w:rsid w:val="00E50AD5"/>
    <w:rsid w:val="00E50C36"/>
    <w:rsid w:val="00E50E9D"/>
    <w:rsid w:val="00E5133D"/>
    <w:rsid w:val="00E528A5"/>
    <w:rsid w:val="00E53454"/>
    <w:rsid w:val="00E545E9"/>
    <w:rsid w:val="00E54E23"/>
    <w:rsid w:val="00E55287"/>
    <w:rsid w:val="00E55D01"/>
    <w:rsid w:val="00E56BCA"/>
    <w:rsid w:val="00E56D4A"/>
    <w:rsid w:val="00E57447"/>
    <w:rsid w:val="00E57474"/>
    <w:rsid w:val="00E57595"/>
    <w:rsid w:val="00E57737"/>
    <w:rsid w:val="00E57D57"/>
    <w:rsid w:val="00E57FF4"/>
    <w:rsid w:val="00E603CA"/>
    <w:rsid w:val="00E609A9"/>
    <w:rsid w:val="00E60AE2"/>
    <w:rsid w:val="00E618E9"/>
    <w:rsid w:val="00E61A9C"/>
    <w:rsid w:val="00E61F68"/>
    <w:rsid w:val="00E62737"/>
    <w:rsid w:val="00E62A75"/>
    <w:rsid w:val="00E6344A"/>
    <w:rsid w:val="00E634BB"/>
    <w:rsid w:val="00E63744"/>
    <w:rsid w:val="00E639F2"/>
    <w:rsid w:val="00E65DCB"/>
    <w:rsid w:val="00E6600D"/>
    <w:rsid w:val="00E662CA"/>
    <w:rsid w:val="00E66406"/>
    <w:rsid w:val="00E668C3"/>
    <w:rsid w:val="00E66B75"/>
    <w:rsid w:val="00E66CBE"/>
    <w:rsid w:val="00E70DBF"/>
    <w:rsid w:val="00E712FD"/>
    <w:rsid w:val="00E724FF"/>
    <w:rsid w:val="00E72708"/>
    <w:rsid w:val="00E73A41"/>
    <w:rsid w:val="00E73F22"/>
    <w:rsid w:val="00E745E9"/>
    <w:rsid w:val="00E750AF"/>
    <w:rsid w:val="00E75428"/>
    <w:rsid w:val="00E7678B"/>
    <w:rsid w:val="00E769B5"/>
    <w:rsid w:val="00E76E03"/>
    <w:rsid w:val="00E775A1"/>
    <w:rsid w:val="00E80822"/>
    <w:rsid w:val="00E80E6F"/>
    <w:rsid w:val="00E80FEC"/>
    <w:rsid w:val="00E81087"/>
    <w:rsid w:val="00E8156E"/>
    <w:rsid w:val="00E81B89"/>
    <w:rsid w:val="00E833C8"/>
    <w:rsid w:val="00E8406D"/>
    <w:rsid w:val="00E84F6B"/>
    <w:rsid w:val="00E85DD8"/>
    <w:rsid w:val="00E86449"/>
    <w:rsid w:val="00E86D26"/>
    <w:rsid w:val="00E87231"/>
    <w:rsid w:val="00E87794"/>
    <w:rsid w:val="00E87BB2"/>
    <w:rsid w:val="00E900CB"/>
    <w:rsid w:val="00E90F6A"/>
    <w:rsid w:val="00E9103C"/>
    <w:rsid w:val="00E91488"/>
    <w:rsid w:val="00E916C2"/>
    <w:rsid w:val="00E91CC1"/>
    <w:rsid w:val="00E9265E"/>
    <w:rsid w:val="00E92856"/>
    <w:rsid w:val="00E92FC4"/>
    <w:rsid w:val="00E93EE7"/>
    <w:rsid w:val="00E94328"/>
    <w:rsid w:val="00E94995"/>
    <w:rsid w:val="00E94DED"/>
    <w:rsid w:val="00E94E3D"/>
    <w:rsid w:val="00E951DF"/>
    <w:rsid w:val="00E952A6"/>
    <w:rsid w:val="00E95675"/>
    <w:rsid w:val="00E9650C"/>
    <w:rsid w:val="00E96645"/>
    <w:rsid w:val="00E9719E"/>
    <w:rsid w:val="00E9777E"/>
    <w:rsid w:val="00EA0571"/>
    <w:rsid w:val="00EA0630"/>
    <w:rsid w:val="00EA0F6F"/>
    <w:rsid w:val="00EA2367"/>
    <w:rsid w:val="00EA24D4"/>
    <w:rsid w:val="00EA256F"/>
    <w:rsid w:val="00EA412C"/>
    <w:rsid w:val="00EA46E3"/>
    <w:rsid w:val="00EA60EC"/>
    <w:rsid w:val="00EA69A9"/>
    <w:rsid w:val="00EA6D4E"/>
    <w:rsid w:val="00EA749E"/>
    <w:rsid w:val="00EA7ED4"/>
    <w:rsid w:val="00EB0184"/>
    <w:rsid w:val="00EB0D30"/>
    <w:rsid w:val="00EB163C"/>
    <w:rsid w:val="00EB2C7A"/>
    <w:rsid w:val="00EB2D5B"/>
    <w:rsid w:val="00EB3012"/>
    <w:rsid w:val="00EB30FB"/>
    <w:rsid w:val="00EB3BF8"/>
    <w:rsid w:val="00EB3F41"/>
    <w:rsid w:val="00EB45EC"/>
    <w:rsid w:val="00EB49F1"/>
    <w:rsid w:val="00EB6026"/>
    <w:rsid w:val="00EB61D0"/>
    <w:rsid w:val="00EB62B0"/>
    <w:rsid w:val="00EB6716"/>
    <w:rsid w:val="00EB76D2"/>
    <w:rsid w:val="00EB7E12"/>
    <w:rsid w:val="00EC09D4"/>
    <w:rsid w:val="00EC0D40"/>
    <w:rsid w:val="00EC11E1"/>
    <w:rsid w:val="00EC1FA8"/>
    <w:rsid w:val="00EC232B"/>
    <w:rsid w:val="00EC2671"/>
    <w:rsid w:val="00EC2676"/>
    <w:rsid w:val="00EC27DC"/>
    <w:rsid w:val="00EC2F58"/>
    <w:rsid w:val="00EC30F7"/>
    <w:rsid w:val="00EC3345"/>
    <w:rsid w:val="00EC364E"/>
    <w:rsid w:val="00EC3AA2"/>
    <w:rsid w:val="00EC3D92"/>
    <w:rsid w:val="00EC3E36"/>
    <w:rsid w:val="00EC407E"/>
    <w:rsid w:val="00EC4117"/>
    <w:rsid w:val="00EC4242"/>
    <w:rsid w:val="00EC43AA"/>
    <w:rsid w:val="00EC5A91"/>
    <w:rsid w:val="00EC5CDF"/>
    <w:rsid w:val="00EC5E03"/>
    <w:rsid w:val="00EC5E9D"/>
    <w:rsid w:val="00EC6788"/>
    <w:rsid w:val="00EC696F"/>
    <w:rsid w:val="00EC6E63"/>
    <w:rsid w:val="00ED00F4"/>
    <w:rsid w:val="00ED012D"/>
    <w:rsid w:val="00ED0D9A"/>
    <w:rsid w:val="00ED1267"/>
    <w:rsid w:val="00ED13CF"/>
    <w:rsid w:val="00ED2788"/>
    <w:rsid w:val="00ED2A10"/>
    <w:rsid w:val="00ED2A2A"/>
    <w:rsid w:val="00ED2B99"/>
    <w:rsid w:val="00ED2EF5"/>
    <w:rsid w:val="00ED37C0"/>
    <w:rsid w:val="00ED41F9"/>
    <w:rsid w:val="00ED5F6D"/>
    <w:rsid w:val="00ED6277"/>
    <w:rsid w:val="00ED633E"/>
    <w:rsid w:val="00ED7599"/>
    <w:rsid w:val="00ED7890"/>
    <w:rsid w:val="00EE0278"/>
    <w:rsid w:val="00EE128A"/>
    <w:rsid w:val="00EE1529"/>
    <w:rsid w:val="00EE287A"/>
    <w:rsid w:val="00EE2B63"/>
    <w:rsid w:val="00EE2FCD"/>
    <w:rsid w:val="00EE2FF5"/>
    <w:rsid w:val="00EE35F2"/>
    <w:rsid w:val="00EE4888"/>
    <w:rsid w:val="00EE5970"/>
    <w:rsid w:val="00EE652D"/>
    <w:rsid w:val="00EE6BFB"/>
    <w:rsid w:val="00EE6C58"/>
    <w:rsid w:val="00EE787E"/>
    <w:rsid w:val="00EF06F2"/>
    <w:rsid w:val="00EF136B"/>
    <w:rsid w:val="00EF1F89"/>
    <w:rsid w:val="00EF247F"/>
    <w:rsid w:val="00EF2994"/>
    <w:rsid w:val="00EF2D19"/>
    <w:rsid w:val="00EF32DC"/>
    <w:rsid w:val="00EF3EC0"/>
    <w:rsid w:val="00EF497F"/>
    <w:rsid w:val="00EF4BEE"/>
    <w:rsid w:val="00EF51AE"/>
    <w:rsid w:val="00EF5599"/>
    <w:rsid w:val="00EF5775"/>
    <w:rsid w:val="00EF61BE"/>
    <w:rsid w:val="00EF6DCB"/>
    <w:rsid w:val="00EF740D"/>
    <w:rsid w:val="00EF79F4"/>
    <w:rsid w:val="00EF7ED6"/>
    <w:rsid w:val="00EF7F75"/>
    <w:rsid w:val="00F0044B"/>
    <w:rsid w:val="00F00A79"/>
    <w:rsid w:val="00F00B95"/>
    <w:rsid w:val="00F00FF2"/>
    <w:rsid w:val="00F0144F"/>
    <w:rsid w:val="00F017D5"/>
    <w:rsid w:val="00F019E7"/>
    <w:rsid w:val="00F0288D"/>
    <w:rsid w:val="00F0414E"/>
    <w:rsid w:val="00F057B8"/>
    <w:rsid w:val="00F063C1"/>
    <w:rsid w:val="00F10292"/>
    <w:rsid w:val="00F10992"/>
    <w:rsid w:val="00F109AB"/>
    <w:rsid w:val="00F10B43"/>
    <w:rsid w:val="00F10FD9"/>
    <w:rsid w:val="00F116FF"/>
    <w:rsid w:val="00F11A19"/>
    <w:rsid w:val="00F11B7F"/>
    <w:rsid w:val="00F11F49"/>
    <w:rsid w:val="00F12056"/>
    <w:rsid w:val="00F13038"/>
    <w:rsid w:val="00F13222"/>
    <w:rsid w:val="00F1376E"/>
    <w:rsid w:val="00F13A5C"/>
    <w:rsid w:val="00F13E45"/>
    <w:rsid w:val="00F143A3"/>
    <w:rsid w:val="00F143DE"/>
    <w:rsid w:val="00F1449F"/>
    <w:rsid w:val="00F15B15"/>
    <w:rsid w:val="00F16937"/>
    <w:rsid w:val="00F173B2"/>
    <w:rsid w:val="00F227E4"/>
    <w:rsid w:val="00F22DDE"/>
    <w:rsid w:val="00F23462"/>
    <w:rsid w:val="00F234E7"/>
    <w:rsid w:val="00F24D3D"/>
    <w:rsid w:val="00F24EEE"/>
    <w:rsid w:val="00F25AFC"/>
    <w:rsid w:val="00F27210"/>
    <w:rsid w:val="00F2721E"/>
    <w:rsid w:val="00F27987"/>
    <w:rsid w:val="00F27F2A"/>
    <w:rsid w:val="00F30420"/>
    <w:rsid w:val="00F30C94"/>
    <w:rsid w:val="00F31992"/>
    <w:rsid w:val="00F321D9"/>
    <w:rsid w:val="00F323AB"/>
    <w:rsid w:val="00F327CB"/>
    <w:rsid w:val="00F32A5A"/>
    <w:rsid w:val="00F32B61"/>
    <w:rsid w:val="00F33801"/>
    <w:rsid w:val="00F3570C"/>
    <w:rsid w:val="00F369C8"/>
    <w:rsid w:val="00F3704C"/>
    <w:rsid w:val="00F400AF"/>
    <w:rsid w:val="00F40AB0"/>
    <w:rsid w:val="00F410FB"/>
    <w:rsid w:val="00F41927"/>
    <w:rsid w:val="00F42888"/>
    <w:rsid w:val="00F42C9B"/>
    <w:rsid w:val="00F4302C"/>
    <w:rsid w:val="00F44348"/>
    <w:rsid w:val="00F44751"/>
    <w:rsid w:val="00F464AC"/>
    <w:rsid w:val="00F464C0"/>
    <w:rsid w:val="00F4657C"/>
    <w:rsid w:val="00F50A29"/>
    <w:rsid w:val="00F5217B"/>
    <w:rsid w:val="00F52AA3"/>
    <w:rsid w:val="00F52E16"/>
    <w:rsid w:val="00F540D5"/>
    <w:rsid w:val="00F545FF"/>
    <w:rsid w:val="00F54D93"/>
    <w:rsid w:val="00F55569"/>
    <w:rsid w:val="00F55E6D"/>
    <w:rsid w:val="00F55F63"/>
    <w:rsid w:val="00F565AA"/>
    <w:rsid w:val="00F5681C"/>
    <w:rsid w:val="00F573E1"/>
    <w:rsid w:val="00F57AA4"/>
    <w:rsid w:val="00F602C3"/>
    <w:rsid w:val="00F6175B"/>
    <w:rsid w:val="00F62469"/>
    <w:rsid w:val="00F62F90"/>
    <w:rsid w:val="00F637B5"/>
    <w:rsid w:val="00F63E51"/>
    <w:rsid w:val="00F64177"/>
    <w:rsid w:val="00F6466D"/>
    <w:rsid w:val="00F66B4A"/>
    <w:rsid w:val="00F66D33"/>
    <w:rsid w:val="00F66F2B"/>
    <w:rsid w:val="00F66F90"/>
    <w:rsid w:val="00F67471"/>
    <w:rsid w:val="00F70028"/>
    <w:rsid w:val="00F70E3A"/>
    <w:rsid w:val="00F70F81"/>
    <w:rsid w:val="00F71006"/>
    <w:rsid w:val="00F71FE4"/>
    <w:rsid w:val="00F72E55"/>
    <w:rsid w:val="00F7394A"/>
    <w:rsid w:val="00F749F1"/>
    <w:rsid w:val="00F7502C"/>
    <w:rsid w:val="00F75F85"/>
    <w:rsid w:val="00F76A80"/>
    <w:rsid w:val="00F76AB1"/>
    <w:rsid w:val="00F77973"/>
    <w:rsid w:val="00F800EF"/>
    <w:rsid w:val="00F80232"/>
    <w:rsid w:val="00F804F3"/>
    <w:rsid w:val="00F807F5"/>
    <w:rsid w:val="00F8116D"/>
    <w:rsid w:val="00F81D4E"/>
    <w:rsid w:val="00F82D07"/>
    <w:rsid w:val="00F834FA"/>
    <w:rsid w:val="00F843DA"/>
    <w:rsid w:val="00F84EB4"/>
    <w:rsid w:val="00F84EBE"/>
    <w:rsid w:val="00F85AA7"/>
    <w:rsid w:val="00F85F0E"/>
    <w:rsid w:val="00F86099"/>
    <w:rsid w:val="00F8640C"/>
    <w:rsid w:val="00F87737"/>
    <w:rsid w:val="00F87CC5"/>
    <w:rsid w:val="00F9109A"/>
    <w:rsid w:val="00F91945"/>
    <w:rsid w:val="00F91C92"/>
    <w:rsid w:val="00F92C1E"/>
    <w:rsid w:val="00F93135"/>
    <w:rsid w:val="00F93CFD"/>
    <w:rsid w:val="00F94037"/>
    <w:rsid w:val="00F947DF"/>
    <w:rsid w:val="00F9562E"/>
    <w:rsid w:val="00F9573D"/>
    <w:rsid w:val="00F95C60"/>
    <w:rsid w:val="00F961D5"/>
    <w:rsid w:val="00F963C0"/>
    <w:rsid w:val="00F97CC9"/>
    <w:rsid w:val="00FA0E36"/>
    <w:rsid w:val="00FA0EAC"/>
    <w:rsid w:val="00FA161D"/>
    <w:rsid w:val="00FA2B3A"/>
    <w:rsid w:val="00FA3B2D"/>
    <w:rsid w:val="00FA3B57"/>
    <w:rsid w:val="00FA3FC2"/>
    <w:rsid w:val="00FA4F85"/>
    <w:rsid w:val="00FA5275"/>
    <w:rsid w:val="00FA5F00"/>
    <w:rsid w:val="00FA6352"/>
    <w:rsid w:val="00FA663C"/>
    <w:rsid w:val="00FA7100"/>
    <w:rsid w:val="00FA798A"/>
    <w:rsid w:val="00FB13B8"/>
    <w:rsid w:val="00FB1A59"/>
    <w:rsid w:val="00FB1CA2"/>
    <w:rsid w:val="00FB1E46"/>
    <w:rsid w:val="00FB20F2"/>
    <w:rsid w:val="00FB30D0"/>
    <w:rsid w:val="00FB3249"/>
    <w:rsid w:val="00FB33E5"/>
    <w:rsid w:val="00FB4153"/>
    <w:rsid w:val="00FB484B"/>
    <w:rsid w:val="00FB4FA6"/>
    <w:rsid w:val="00FB53A2"/>
    <w:rsid w:val="00FB53F5"/>
    <w:rsid w:val="00FB5970"/>
    <w:rsid w:val="00FB5C7C"/>
    <w:rsid w:val="00FB5DE9"/>
    <w:rsid w:val="00FB5E04"/>
    <w:rsid w:val="00FB645F"/>
    <w:rsid w:val="00FB71F2"/>
    <w:rsid w:val="00FB749A"/>
    <w:rsid w:val="00FB74D5"/>
    <w:rsid w:val="00FB75CA"/>
    <w:rsid w:val="00FC004B"/>
    <w:rsid w:val="00FC02C2"/>
    <w:rsid w:val="00FC1DD4"/>
    <w:rsid w:val="00FC1F90"/>
    <w:rsid w:val="00FC3735"/>
    <w:rsid w:val="00FC3B75"/>
    <w:rsid w:val="00FC4000"/>
    <w:rsid w:val="00FC4B3A"/>
    <w:rsid w:val="00FC5C29"/>
    <w:rsid w:val="00FC6139"/>
    <w:rsid w:val="00FC64CF"/>
    <w:rsid w:val="00FC6560"/>
    <w:rsid w:val="00FC65F3"/>
    <w:rsid w:val="00FC6A69"/>
    <w:rsid w:val="00FC6CB8"/>
    <w:rsid w:val="00FC6D55"/>
    <w:rsid w:val="00FD06A9"/>
    <w:rsid w:val="00FD0BBB"/>
    <w:rsid w:val="00FD0FF2"/>
    <w:rsid w:val="00FD1EBA"/>
    <w:rsid w:val="00FD2393"/>
    <w:rsid w:val="00FD27E8"/>
    <w:rsid w:val="00FD371E"/>
    <w:rsid w:val="00FD3AA1"/>
    <w:rsid w:val="00FD4CDF"/>
    <w:rsid w:val="00FD5207"/>
    <w:rsid w:val="00FD55A5"/>
    <w:rsid w:val="00FD59D7"/>
    <w:rsid w:val="00FD5D6A"/>
    <w:rsid w:val="00FD64EB"/>
    <w:rsid w:val="00FD6B74"/>
    <w:rsid w:val="00FD7004"/>
    <w:rsid w:val="00FD7437"/>
    <w:rsid w:val="00FE02F1"/>
    <w:rsid w:val="00FE1301"/>
    <w:rsid w:val="00FE19AF"/>
    <w:rsid w:val="00FE23DD"/>
    <w:rsid w:val="00FE284A"/>
    <w:rsid w:val="00FE2941"/>
    <w:rsid w:val="00FE36FB"/>
    <w:rsid w:val="00FE41AB"/>
    <w:rsid w:val="00FE538A"/>
    <w:rsid w:val="00FE5762"/>
    <w:rsid w:val="00FE5C65"/>
    <w:rsid w:val="00FE7473"/>
    <w:rsid w:val="00FE7957"/>
    <w:rsid w:val="00FE7F7E"/>
    <w:rsid w:val="00FF180B"/>
    <w:rsid w:val="00FF1CCB"/>
    <w:rsid w:val="00FF24BE"/>
    <w:rsid w:val="00FF2F03"/>
    <w:rsid w:val="00FF3C0A"/>
    <w:rsid w:val="00FF5A08"/>
    <w:rsid w:val="00FF6E81"/>
    <w:rsid w:val="00FF7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B4D"/>
    <w:rPr>
      <w:sz w:val="24"/>
      <w:szCs w:val="24"/>
    </w:rPr>
  </w:style>
  <w:style w:type="paragraph" w:styleId="Heading1">
    <w:name w:val="heading 1"/>
    <w:basedOn w:val="Normal"/>
    <w:next w:val="Normal"/>
    <w:link w:val="Heading1Char"/>
    <w:uiPriority w:val="9"/>
    <w:qFormat/>
    <w:rsid w:val="00AE0B4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E0B4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AE0B4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E0B4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E0B4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E0B4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E0B4D"/>
    <w:pPr>
      <w:spacing w:before="240" w:after="60"/>
      <w:outlineLvl w:val="6"/>
    </w:pPr>
  </w:style>
  <w:style w:type="paragraph" w:styleId="Heading8">
    <w:name w:val="heading 8"/>
    <w:basedOn w:val="Normal"/>
    <w:next w:val="Normal"/>
    <w:link w:val="Heading8Char"/>
    <w:uiPriority w:val="9"/>
    <w:semiHidden/>
    <w:unhideWhenUsed/>
    <w:qFormat/>
    <w:rsid w:val="00AE0B4D"/>
    <w:pPr>
      <w:spacing w:before="240" w:after="60"/>
      <w:outlineLvl w:val="7"/>
    </w:pPr>
    <w:rPr>
      <w:i/>
      <w:iCs/>
    </w:rPr>
  </w:style>
  <w:style w:type="paragraph" w:styleId="Heading9">
    <w:name w:val="heading 9"/>
    <w:basedOn w:val="Normal"/>
    <w:next w:val="Normal"/>
    <w:link w:val="Heading9Char"/>
    <w:uiPriority w:val="9"/>
    <w:semiHidden/>
    <w:unhideWhenUsed/>
    <w:qFormat/>
    <w:rsid w:val="00AE0B4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0B4D"/>
    <w:pPr>
      <w:ind w:left="720"/>
      <w:contextualSpacing/>
    </w:pPr>
  </w:style>
  <w:style w:type="paragraph" w:styleId="FootnoteText">
    <w:name w:val="footnote text"/>
    <w:aliases w:val="single space,footnote text,FOOTNOTES,fn,Char Char Char,Char Char,ADB,WB-Fußnotentext,Footnote,Fußnote,ALTS FOOTNOTE,Footnote Text 1,ft,Footnote Text Char1,Footnote Text Char Char,f,Footnote Text Char2 Char,Heading 1 Char1"/>
    <w:basedOn w:val="Normal"/>
    <w:link w:val="FootnoteTextChar"/>
    <w:uiPriority w:val="99"/>
    <w:unhideWhenUsed/>
    <w:rsid w:val="00AC15D8"/>
    <w:rPr>
      <w:sz w:val="20"/>
      <w:szCs w:val="20"/>
    </w:rPr>
  </w:style>
  <w:style w:type="character" w:customStyle="1" w:styleId="FootnoteTextChar">
    <w:name w:val="Footnote Text Char"/>
    <w:aliases w:val="single space Char,footnote text Char,FOOTNOTES Char,fn Char,Char Char Char Char,Char Char Char1,ADB Char,WB-Fußnotentext Char,Footnote Char,Fußnote Char,ALTS FOOTNOTE Char,Footnote Text 1 Char,ft Char,Footnote Text Char1 Char,f Char"/>
    <w:basedOn w:val="DefaultParagraphFont"/>
    <w:link w:val="FootnoteText"/>
    <w:uiPriority w:val="99"/>
    <w:rsid w:val="00AC15D8"/>
    <w:rPr>
      <w:sz w:val="20"/>
      <w:szCs w:val="20"/>
    </w:rPr>
  </w:style>
  <w:style w:type="character" w:styleId="FootnoteReference">
    <w:name w:val="footnote reference"/>
    <w:aliases w:val="Error-Fußnotenzeichen5,Error-Fußnotenzeichen6,Error-Fußnotenzeichen3,Footnote Reference1,ftref, BVI fnr,BVI fnr,Error-Fu?notenzeichen5,Error-Fu?notenzeichen6,Error-Fu?notenzeichen3,referencia nota al pie,Ref,de nota al pie,16 Point,fr"/>
    <w:basedOn w:val="DefaultParagraphFont"/>
    <w:uiPriority w:val="99"/>
    <w:unhideWhenUsed/>
    <w:rsid w:val="00AC15D8"/>
    <w:rPr>
      <w:vertAlign w:val="superscript"/>
    </w:rPr>
  </w:style>
  <w:style w:type="character" w:customStyle="1" w:styleId="Heading1Char">
    <w:name w:val="Heading 1 Char"/>
    <w:basedOn w:val="DefaultParagraphFont"/>
    <w:link w:val="Heading1"/>
    <w:uiPriority w:val="9"/>
    <w:rsid w:val="00AE0B4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AE0B4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AE0B4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E0B4D"/>
    <w:rPr>
      <w:b/>
      <w:bCs/>
      <w:sz w:val="28"/>
      <w:szCs w:val="28"/>
    </w:rPr>
  </w:style>
  <w:style w:type="character" w:customStyle="1" w:styleId="Heading5Char">
    <w:name w:val="Heading 5 Char"/>
    <w:basedOn w:val="DefaultParagraphFont"/>
    <w:link w:val="Heading5"/>
    <w:uiPriority w:val="9"/>
    <w:semiHidden/>
    <w:rsid w:val="00AE0B4D"/>
    <w:rPr>
      <w:b/>
      <w:bCs/>
      <w:i/>
      <w:iCs/>
      <w:sz w:val="26"/>
      <w:szCs w:val="26"/>
    </w:rPr>
  </w:style>
  <w:style w:type="character" w:customStyle="1" w:styleId="Heading6Char">
    <w:name w:val="Heading 6 Char"/>
    <w:basedOn w:val="DefaultParagraphFont"/>
    <w:link w:val="Heading6"/>
    <w:uiPriority w:val="9"/>
    <w:semiHidden/>
    <w:rsid w:val="00AE0B4D"/>
    <w:rPr>
      <w:b/>
      <w:bCs/>
    </w:rPr>
  </w:style>
  <w:style w:type="character" w:customStyle="1" w:styleId="Heading7Char">
    <w:name w:val="Heading 7 Char"/>
    <w:basedOn w:val="DefaultParagraphFont"/>
    <w:link w:val="Heading7"/>
    <w:uiPriority w:val="9"/>
    <w:semiHidden/>
    <w:rsid w:val="00AE0B4D"/>
    <w:rPr>
      <w:sz w:val="24"/>
      <w:szCs w:val="24"/>
    </w:rPr>
  </w:style>
  <w:style w:type="character" w:customStyle="1" w:styleId="Heading8Char">
    <w:name w:val="Heading 8 Char"/>
    <w:basedOn w:val="DefaultParagraphFont"/>
    <w:link w:val="Heading8"/>
    <w:uiPriority w:val="9"/>
    <w:semiHidden/>
    <w:rsid w:val="00AE0B4D"/>
    <w:rPr>
      <w:i/>
      <w:iCs/>
      <w:sz w:val="24"/>
      <w:szCs w:val="24"/>
    </w:rPr>
  </w:style>
  <w:style w:type="character" w:customStyle="1" w:styleId="Heading9Char">
    <w:name w:val="Heading 9 Char"/>
    <w:basedOn w:val="DefaultParagraphFont"/>
    <w:link w:val="Heading9"/>
    <w:uiPriority w:val="9"/>
    <w:semiHidden/>
    <w:rsid w:val="00AE0B4D"/>
    <w:rPr>
      <w:rFonts w:asciiTheme="majorHAnsi" w:eastAsiaTheme="majorEastAsia" w:hAnsiTheme="majorHAnsi"/>
    </w:rPr>
  </w:style>
  <w:style w:type="paragraph" w:styleId="Title">
    <w:name w:val="Title"/>
    <w:basedOn w:val="Normal"/>
    <w:next w:val="Normal"/>
    <w:link w:val="TitleChar"/>
    <w:uiPriority w:val="10"/>
    <w:qFormat/>
    <w:rsid w:val="00AE0B4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E0B4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E0B4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E0B4D"/>
    <w:rPr>
      <w:rFonts w:asciiTheme="majorHAnsi" w:eastAsiaTheme="majorEastAsia" w:hAnsiTheme="majorHAnsi"/>
      <w:sz w:val="24"/>
      <w:szCs w:val="24"/>
    </w:rPr>
  </w:style>
  <w:style w:type="character" w:styleId="Strong">
    <w:name w:val="Strong"/>
    <w:basedOn w:val="DefaultParagraphFont"/>
    <w:uiPriority w:val="22"/>
    <w:qFormat/>
    <w:rsid w:val="00AE0B4D"/>
    <w:rPr>
      <w:b/>
      <w:bCs/>
    </w:rPr>
  </w:style>
  <w:style w:type="character" w:styleId="Emphasis">
    <w:name w:val="Emphasis"/>
    <w:basedOn w:val="DefaultParagraphFont"/>
    <w:uiPriority w:val="20"/>
    <w:qFormat/>
    <w:rsid w:val="00AE0B4D"/>
    <w:rPr>
      <w:rFonts w:asciiTheme="minorHAnsi" w:hAnsiTheme="minorHAnsi"/>
      <w:b/>
      <w:i/>
      <w:iCs/>
    </w:rPr>
  </w:style>
  <w:style w:type="paragraph" w:styleId="NoSpacing">
    <w:name w:val="No Spacing"/>
    <w:basedOn w:val="Normal"/>
    <w:uiPriority w:val="1"/>
    <w:qFormat/>
    <w:rsid w:val="00AE0B4D"/>
    <w:rPr>
      <w:szCs w:val="32"/>
    </w:rPr>
  </w:style>
  <w:style w:type="paragraph" w:styleId="Quote">
    <w:name w:val="Quote"/>
    <w:basedOn w:val="Normal"/>
    <w:next w:val="Normal"/>
    <w:link w:val="QuoteChar"/>
    <w:uiPriority w:val="29"/>
    <w:qFormat/>
    <w:rsid w:val="00AE0B4D"/>
    <w:rPr>
      <w:i/>
    </w:rPr>
  </w:style>
  <w:style w:type="character" w:customStyle="1" w:styleId="QuoteChar">
    <w:name w:val="Quote Char"/>
    <w:basedOn w:val="DefaultParagraphFont"/>
    <w:link w:val="Quote"/>
    <w:uiPriority w:val="29"/>
    <w:rsid w:val="00AE0B4D"/>
    <w:rPr>
      <w:i/>
      <w:sz w:val="24"/>
      <w:szCs w:val="24"/>
    </w:rPr>
  </w:style>
  <w:style w:type="paragraph" w:styleId="IntenseQuote">
    <w:name w:val="Intense Quote"/>
    <w:basedOn w:val="Normal"/>
    <w:next w:val="Normal"/>
    <w:link w:val="IntenseQuoteChar"/>
    <w:uiPriority w:val="30"/>
    <w:qFormat/>
    <w:rsid w:val="00AE0B4D"/>
    <w:pPr>
      <w:ind w:left="720" w:right="720"/>
    </w:pPr>
    <w:rPr>
      <w:b/>
      <w:i/>
      <w:szCs w:val="22"/>
    </w:rPr>
  </w:style>
  <w:style w:type="character" w:customStyle="1" w:styleId="IntenseQuoteChar">
    <w:name w:val="Intense Quote Char"/>
    <w:basedOn w:val="DefaultParagraphFont"/>
    <w:link w:val="IntenseQuote"/>
    <w:uiPriority w:val="30"/>
    <w:rsid w:val="00AE0B4D"/>
    <w:rPr>
      <w:b/>
      <w:i/>
      <w:sz w:val="24"/>
    </w:rPr>
  </w:style>
  <w:style w:type="character" w:styleId="SubtleEmphasis">
    <w:name w:val="Subtle Emphasis"/>
    <w:uiPriority w:val="19"/>
    <w:qFormat/>
    <w:rsid w:val="00AE0B4D"/>
    <w:rPr>
      <w:i/>
      <w:color w:val="5A5A5A" w:themeColor="text1" w:themeTint="A5"/>
    </w:rPr>
  </w:style>
  <w:style w:type="character" w:styleId="IntenseEmphasis">
    <w:name w:val="Intense Emphasis"/>
    <w:basedOn w:val="DefaultParagraphFont"/>
    <w:uiPriority w:val="21"/>
    <w:qFormat/>
    <w:rsid w:val="00AE0B4D"/>
    <w:rPr>
      <w:b/>
      <w:i/>
      <w:sz w:val="24"/>
      <w:szCs w:val="24"/>
      <w:u w:val="single"/>
    </w:rPr>
  </w:style>
  <w:style w:type="character" w:styleId="SubtleReference">
    <w:name w:val="Subtle Reference"/>
    <w:basedOn w:val="DefaultParagraphFont"/>
    <w:uiPriority w:val="31"/>
    <w:qFormat/>
    <w:rsid w:val="00AE0B4D"/>
    <w:rPr>
      <w:sz w:val="24"/>
      <w:szCs w:val="24"/>
      <w:u w:val="single"/>
    </w:rPr>
  </w:style>
  <w:style w:type="character" w:styleId="IntenseReference">
    <w:name w:val="Intense Reference"/>
    <w:basedOn w:val="DefaultParagraphFont"/>
    <w:uiPriority w:val="32"/>
    <w:qFormat/>
    <w:rsid w:val="00AE0B4D"/>
    <w:rPr>
      <w:b/>
      <w:sz w:val="24"/>
      <w:u w:val="single"/>
    </w:rPr>
  </w:style>
  <w:style w:type="character" w:styleId="BookTitle">
    <w:name w:val="Book Title"/>
    <w:basedOn w:val="DefaultParagraphFont"/>
    <w:uiPriority w:val="33"/>
    <w:qFormat/>
    <w:rsid w:val="00AE0B4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AE0B4D"/>
    <w:pPr>
      <w:outlineLvl w:val="9"/>
    </w:pPr>
  </w:style>
  <w:style w:type="paragraph" w:customStyle="1" w:styleId="Default">
    <w:name w:val="Default"/>
    <w:rsid w:val="000917F5"/>
    <w:pPr>
      <w:numPr>
        <w:numId w:val="1"/>
      </w:numPr>
      <w:autoSpaceDE w:val="0"/>
      <w:autoSpaceDN w:val="0"/>
      <w:adjustRightInd w:val="0"/>
      <w:spacing w:after="120"/>
      <w:jc w:val="both"/>
    </w:pPr>
    <w:rPr>
      <w:rFonts w:ascii="Times New Roman" w:eastAsia="Times New Roman" w:hAnsi="Times New Roman"/>
      <w:color w:val="000000"/>
    </w:rPr>
  </w:style>
  <w:style w:type="character" w:styleId="EndnoteReference">
    <w:name w:val="endnote reference"/>
    <w:basedOn w:val="DefaultParagraphFont"/>
    <w:uiPriority w:val="99"/>
    <w:semiHidden/>
    <w:unhideWhenUsed/>
    <w:rsid w:val="000917F5"/>
    <w:rPr>
      <w:vertAlign w:val="superscript"/>
    </w:rPr>
  </w:style>
  <w:style w:type="paragraph" w:styleId="BalloonText">
    <w:name w:val="Balloon Text"/>
    <w:basedOn w:val="Normal"/>
    <w:link w:val="BalloonTextChar"/>
    <w:uiPriority w:val="99"/>
    <w:semiHidden/>
    <w:unhideWhenUsed/>
    <w:rsid w:val="00674E27"/>
    <w:rPr>
      <w:rFonts w:ascii="Tahoma" w:hAnsi="Tahoma" w:cs="Tahoma"/>
      <w:sz w:val="16"/>
      <w:szCs w:val="16"/>
    </w:rPr>
  </w:style>
  <w:style w:type="character" w:customStyle="1" w:styleId="BalloonTextChar">
    <w:name w:val="Balloon Text Char"/>
    <w:basedOn w:val="DefaultParagraphFont"/>
    <w:link w:val="BalloonText"/>
    <w:uiPriority w:val="99"/>
    <w:semiHidden/>
    <w:rsid w:val="00674E27"/>
    <w:rPr>
      <w:rFonts w:ascii="Tahoma" w:hAnsi="Tahoma" w:cs="Tahoma"/>
      <w:sz w:val="16"/>
      <w:szCs w:val="16"/>
    </w:rPr>
  </w:style>
  <w:style w:type="character" w:customStyle="1" w:styleId="ListParagraphChar">
    <w:name w:val="List Paragraph Char"/>
    <w:basedOn w:val="DefaultParagraphFont"/>
    <w:link w:val="ListParagraph"/>
    <w:uiPriority w:val="34"/>
    <w:rsid w:val="00674E27"/>
    <w:rPr>
      <w:sz w:val="24"/>
      <w:szCs w:val="24"/>
    </w:rPr>
  </w:style>
  <w:style w:type="paragraph" w:customStyle="1" w:styleId="Outline">
    <w:name w:val="Outline"/>
    <w:basedOn w:val="Normal"/>
    <w:rsid w:val="002503E1"/>
    <w:pPr>
      <w:spacing w:before="240"/>
    </w:pPr>
    <w:rPr>
      <w:rFonts w:ascii="Times New Roman" w:eastAsia="Times New Roman" w:hAnsi="Times New Roman"/>
      <w:kern w:val="28"/>
      <w:szCs w:val="20"/>
    </w:rPr>
  </w:style>
  <w:style w:type="paragraph" w:styleId="Header">
    <w:name w:val="header"/>
    <w:basedOn w:val="Normal"/>
    <w:link w:val="HeaderChar"/>
    <w:uiPriority w:val="99"/>
    <w:unhideWhenUsed/>
    <w:rsid w:val="00DB0588"/>
    <w:pPr>
      <w:tabs>
        <w:tab w:val="center" w:pos="4680"/>
        <w:tab w:val="right" w:pos="9360"/>
      </w:tabs>
    </w:pPr>
  </w:style>
  <w:style w:type="character" w:customStyle="1" w:styleId="HeaderChar">
    <w:name w:val="Header Char"/>
    <w:basedOn w:val="DefaultParagraphFont"/>
    <w:link w:val="Header"/>
    <w:uiPriority w:val="99"/>
    <w:rsid w:val="00DB0588"/>
    <w:rPr>
      <w:sz w:val="24"/>
      <w:szCs w:val="24"/>
    </w:rPr>
  </w:style>
  <w:style w:type="paragraph" w:styleId="Footer">
    <w:name w:val="footer"/>
    <w:basedOn w:val="Normal"/>
    <w:link w:val="FooterChar"/>
    <w:uiPriority w:val="99"/>
    <w:unhideWhenUsed/>
    <w:rsid w:val="00DB0588"/>
    <w:pPr>
      <w:tabs>
        <w:tab w:val="center" w:pos="4680"/>
        <w:tab w:val="right" w:pos="9360"/>
      </w:tabs>
    </w:pPr>
  </w:style>
  <w:style w:type="character" w:customStyle="1" w:styleId="FooterChar">
    <w:name w:val="Footer Char"/>
    <w:basedOn w:val="DefaultParagraphFont"/>
    <w:link w:val="Footer"/>
    <w:uiPriority w:val="99"/>
    <w:rsid w:val="00DB0588"/>
    <w:rPr>
      <w:sz w:val="24"/>
      <w:szCs w:val="24"/>
    </w:rPr>
  </w:style>
  <w:style w:type="paragraph" w:styleId="Revision">
    <w:name w:val="Revision"/>
    <w:hidden/>
    <w:uiPriority w:val="99"/>
    <w:semiHidden/>
    <w:rsid w:val="00DB0588"/>
    <w:rPr>
      <w:sz w:val="24"/>
      <w:szCs w:val="24"/>
    </w:rPr>
  </w:style>
  <w:style w:type="character" w:styleId="CommentReference">
    <w:name w:val="annotation reference"/>
    <w:basedOn w:val="DefaultParagraphFont"/>
    <w:uiPriority w:val="99"/>
    <w:semiHidden/>
    <w:unhideWhenUsed/>
    <w:rsid w:val="000B1801"/>
    <w:rPr>
      <w:sz w:val="16"/>
      <w:szCs w:val="16"/>
    </w:rPr>
  </w:style>
  <w:style w:type="paragraph" w:styleId="CommentText">
    <w:name w:val="annotation text"/>
    <w:basedOn w:val="Normal"/>
    <w:link w:val="CommentTextChar"/>
    <w:uiPriority w:val="99"/>
    <w:semiHidden/>
    <w:unhideWhenUsed/>
    <w:rsid w:val="000B1801"/>
    <w:rPr>
      <w:sz w:val="20"/>
      <w:szCs w:val="20"/>
    </w:rPr>
  </w:style>
  <w:style w:type="character" w:customStyle="1" w:styleId="CommentTextChar">
    <w:name w:val="Comment Text Char"/>
    <w:basedOn w:val="DefaultParagraphFont"/>
    <w:link w:val="CommentText"/>
    <w:uiPriority w:val="99"/>
    <w:semiHidden/>
    <w:rsid w:val="000B1801"/>
    <w:rPr>
      <w:sz w:val="20"/>
      <w:szCs w:val="20"/>
    </w:rPr>
  </w:style>
  <w:style w:type="paragraph" w:styleId="CommentSubject">
    <w:name w:val="annotation subject"/>
    <w:basedOn w:val="CommentText"/>
    <w:next w:val="CommentText"/>
    <w:link w:val="CommentSubjectChar"/>
    <w:uiPriority w:val="99"/>
    <w:semiHidden/>
    <w:unhideWhenUsed/>
    <w:rsid w:val="000B1801"/>
    <w:rPr>
      <w:b/>
      <w:bCs/>
    </w:rPr>
  </w:style>
  <w:style w:type="character" w:customStyle="1" w:styleId="CommentSubjectChar">
    <w:name w:val="Comment Subject Char"/>
    <w:basedOn w:val="CommentTextChar"/>
    <w:link w:val="CommentSubject"/>
    <w:uiPriority w:val="99"/>
    <w:semiHidden/>
    <w:rsid w:val="000B1801"/>
    <w:rPr>
      <w:b/>
      <w:bCs/>
      <w:sz w:val="20"/>
      <w:szCs w:val="20"/>
    </w:rPr>
  </w:style>
  <w:style w:type="paragraph" w:styleId="TOC1">
    <w:name w:val="toc 1"/>
    <w:basedOn w:val="Normal"/>
    <w:next w:val="Normal"/>
    <w:autoRedefine/>
    <w:uiPriority w:val="39"/>
    <w:unhideWhenUsed/>
    <w:rsid w:val="00D56210"/>
    <w:pPr>
      <w:tabs>
        <w:tab w:val="left" w:pos="480"/>
        <w:tab w:val="right" w:leader="dot" w:pos="9350"/>
      </w:tabs>
      <w:spacing w:after="120"/>
    </w:pPr>
    <w:rPr>
      <w:b/>
      <w:noProof/>
    </w:rPr>
  </w:style>
  <w:style w:type="character" w:styleId="PageNumber">
    <w:name w:val="page number"/>
    <w:basedOn w:val="DefaultParagraphFont"/>
    <w:rsid w:val="00715428"/>
  </w:style>
  <w:style w:type="character" w:styleId="Hyperlink">
    <w:name w:val="Hyperlink"/>
    <w:basedOn w:val="DefaultParagraphFont"/>
    <w:uiPriority w:val="99"/>
    <w:rsid w:val="00715428"/>
    <w:rPr>
      <w:color w:val="0000FF"/>
      <w:u w:val="single"/>
    </w:rPr>
  </w:style>
  <w:style w:type="table" w:styleId="TableGrid">
    <w:name w:val="Table Grid"/>
    <w:basedOn w:val="TableNormal"/>
    <w:uiPriority w:val="59"/>
    <w:rsid w:val="00E42E5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Caption Char Char Char,Caption1 Char,Caption1"/>
    <w:basedOn w:val="Normal"/>
    <w:next w:val="Normal"/>
    <w:link w:val="CaptionChar"/>
    <w:autoRedefine/>
    <w:qFormat/>
    <w:rsid w:val="00D43382"/>
    <w:pPr>
      <w:keepNext/>
      <w:spacing w:after="60"/>
      <w:jc w:val="center"/>
    </w:pPr>
    <w:rPr>
      <w:rFonts w:ascii="Times New Roman" w:eastAsia="Times New Roman" w:hAnsi="Times New Roman"/>
      <w:b/>
      <w:sz w:val="22"/>
      <w:szCs w:val="20"/>
    </w:rPr>
  </w:style>
  <w:style w:type="table" w:styleId="TableClassic1">
    <w:name w:val="Table Classic 1"/>
    <w:basedOn w:val="TableNormal"/>
    <w:rsid w:val="00923E44"/>
    <w:rPr>
      <w:rFonts w:ascii="Times New Roman" w:eastAsia="Times New Roman" w:hAnsi="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unhideWhenUsed/>
    <w:rsid w:val="0036175C"/>
    <w:rPr>
      <w:rFonts w:ascii="Times New Roman" w:eastAsiaTheme="minorHAnsi" w:hAnsi="Times New Roman" w:cstheme="minorBidi"/>
      <w:sz w:val="20"/>
      <w:szCs w:val="20"/>
    </w:rPr>
  </w:style>
  <w:style w:type="character" w:customStyle="1" w:styleId="EndnoteTextChar">
    <w:name w:val="Endnote Text Char"/>
    <w:basedOn w:val="DefaultParagraphFont"/>
    <w:link w:val="EndnoteText"/>
    <w:uiPriority w:val="99"/>
    <w:rsid w:val="0036175C"/>
    <w:rPr>
      <w:rFonts w:ascii="Times New Roman" w:eastAsiaTheme="minorHAnsi" w:hAnsi="Times New Roman" w:cstheme="minorBidi"/>
      <w:sz w:val="20"/>
      <w:szCs w:val="20"/>
    </w:rPr>
  </w:style>
  <w:style w:type="paragraph" w:customStyle="1" w:styleId="CarCar1CharChar">
    <w:name w:val="Car Car1 Char Char"/>
    <w:basedOn w:val="Normal"/>
    <w:next w:val="Normal"/>
    <w:semiHidden/>
    <w:rsid w:val="00D64A38"/>
    <w:pPr>
      <w:spacing w:after="160" w:line="240" w:lineRule="exact"/>
    </w:pPr>
    <w:rPr>
      <w:rFonts w:ascii="Arial" w:eastAsia="SimSun" w:hAnsi="Arial"/>
      <w:sz w:val="20"/>
      <w:szCs w:val="20"/>
    </w:rPr>
  </w:style>
  <w:style w:type="table" w:customStyle="1" w:styleId="LightShading1">
    <w:name w:val="Light Shading1"/>
    <w:basedOn w:val="TableNormal"/>
    <w:uiPriority w:val="60"/>
    <w:rsid w:val="002F35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C3BF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rsid w:val="00D56210"/>
    <w:pPr>
      <w:tabs>
        <w:tab w:val="left" w:pos="660"/>
        <w:tab w:val="right" w:leader="dot" w:pos="9350"/>
      </w:tabs>
      <w:spacing w:after="120"/>
      <w:ind w:left="245"/>
    </w:pPr>
  </w:style>
  <w:style w:type="character" w:customStyle="1" w:styleId="CaptionChar">
    <w:name w:val="Caption Char"/>
    <w:aliases w:val="Caption Char Char Char Char,Caption1 Char Char,Caption1 Char1"/>
    <w:basedOn w:val="DefaultParagraphFont"/>
    <w:link w:val="Caption"/>
    <w:rsid w:val="00D43382"/>
    <w:rPr>
      <w:rFonts w:ascii="Times New Roman" w:eastAsia="Times New Roman" w:hAnsi="Times New Roman"/>
      <w:b/>
      <w:szCs w:val="20"/>
      <w:lang w:eastAsia="fr-FR"/>
    </w:rPr>
  </w:style>
  <w:style w:type="paragraph" w:styleId="NormalWeb">
    <w:name w:val="Normal (Web)"/>
    <w:basedOn w:val="Normal"/>
    <w:uiPriority w:val="99"/>
    <w:semiHidden/>
    <w:unhideWhenUsed/>
    <w:rsid w:val="00796763"/>
    <w:pPr>
      <w:spacing w:before="100" w:beforeAutospacing="1" w:after="100" w:afterAutospacing="1"/>
    </w:pPr>
    <w:rPr>
      <w:rFonts w:ascii="Times New Roman" w:eastAsia="Times New Roman" w:hAnsi="Times New Roman"/>
    </w:rPr>
  </w:style>
  <w:style w:type="paragraph" w:styleId="TOC3">
    <w:name w:val="toc 3"/>
    <w:basedOn w:val="Normal"/>
    <w:next w:val="Normal"/>
    <w:autoRedefine/>
    <w:uiPriority w:val="39"/>
    <w:unhideWhenUsed/>
    <w:rsid w:val="00645A09"/>
    <w:pPr>
      <w:spacing w:after="100"/>
      <w:ind w:left="480"/>
    </w:pPr>
  </w:style>
  <w:style w:type="paragraph" w:styleId="TableofFigures">
    <w:name w:val="table of figures"/>
    <w:basedOn w:val="Normal"/>
    <w:next w:val="Normal"/>
    <w:uiPriority w:val="99"/>
    <w:unhideWhenUsed/>
    <w:rsid w:val="005B0D3C"/>
  </w:style>
  <w:style w:type="table" w:customStyle="1" w:styleId="TableGrid1">
    <w:name w:val="Table Grid1"/>
    <w:basedOn w:val="TableNormal"/>
    <w:next w:val="TableGrid"/>
    <w:uiPriority w:val="59"/>
    <w:rsid w:val="00121A94"/>
    <w:rPr>
      <w:rFonts w:eastAsia="Calibri"/>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B4D"/>
    <w:rPr>
      <w:sz w:val="24"/>
      <w:szCs w:val="24"/>
    </w:rPr>
  </w:style>
  <w:style w:type="paragraph" w:styleId="Heading1">
    <w:name w:val="heading 1"/>
    <w:basedOn w:val="Normal"/>
    <w:next w:val="Normal"/>
    <w:link w:val="Heading1Char"/>
    <w:uiPriority w:val="9"/>
    <w:qFormat/>
    <w:rsid w:val="00AE0B4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E0B4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AE0B4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E0B4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E0B4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E0B4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E0B4D"/>
    <w:pPr>
      <w:spacing w:before="240" w:after="60"/>
      <w:outlineLvl w:val="6"/>
    </w:pPr>
  </w:style>
  <w:style w:type="paragraph" w:styleId="Heading8">
    <w:name w:val="heading 8"/>
    <w:basedOn w:val="Normal"/>
    <w:next w:val="Normal"/>
    <w:link w:val="Heading8Char"/>
    <w:uiPriority w:val="9"/>
    <w:semiHidden/>
    <w:unhideWhenUsed/>
    <w:qFormat/>
    <w:rsid w:val="00AE0B4D"/>
    <w:pPr>
      <w:spacing w:before="240" w:after="60"/>
      <w:outlineLvl w:val="7"/>
    </w:pPr>
    <w:rPr>
      <w:i/>
      <w:iCs/>
    </w:rPr>
  </w:style>
  <w:style w:type="paragraph" w:styleId="Heading9">
    <w:name w:val="heading 9"/>
    <w:basedOn w:val="Normal"/>
    <w:next w:val="Normal"/>
    <w:link w:val="Heading9Char"/>
    <w:uiPriority w:val="9"/>
    <w:semiHidden/>
    <w:unhideWhenUsed/>
    <w:qFormat/>
    <w:rsid w:val="00AE0B4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0B4D"/>
    <w:pPr>
      <w:ind w:left="720"/>
      <w:contextualSpacing/>
    </w:pPr>
  </w:style>
  <w:style w:type="paragraph" w:styleId="FootnoteText">
    <w:name w:val="footnote text"/>
    <w:aliases w:val="single space,footnote text,FOOTNOTES,fn,Char Char Char,Char Char,ADB,WB-Fußnotentext,Footnote,Fußnote,ALTS FOOTNOTE,Footnote Text 1,ft,Footnote Text Char1,Footnote Text Char Char,f,Footnote Text Char2 Char,Heading 1 Char1"/>
    <w:basedOn w:val="Normal"/>
    <w:link w:val="FootnoteTextChar"/>
    <w:uiPriority w:val="99"/>
    <w:unhideWhenUsed/>
    <w:rsid w:val="00AC15D8"/>
    <w:rPr>
      <w:sz w:val="20"/>
      <w:szCs w:val="20"/>
    </w:rPr>
  </w:style>
  <w:style w:type="character" w:customStyle="1" w:styleId="FootnoteTextChar">
    <w:name w:val="Footnote Text Char"/>
    <w:aliases w:val="single space Char,footnote text Char,FOOTNOTES Char,fn Char,Char Char Char Char,Char Char Char1,ADB Char,WB-Fußnotentext Char,Footnote Char,Fußnote Char,ALTS FOOTNOTE Char,Footnote Text 1 Char,ft Char,Footnote Text Char1 Char,f Char"/>
    <w:basedOn w:val="DefaultParagraphFont"/>
    <w:link w:val="FootnoteText"/>
    <w:uiPriority w:val="99"/>
    <w:rsid w:val="00AC15D8"/>
    <w:rPr>
      <w:sz w:val="20"/>
      <w:szCs w:val="20"/>
    </w:rPr>
  </w:style>
  <w:style w:type="character" w:styleId="FootnoteReference">
    <w:name w:val="footnote reference"/>
    <w:aliases w:val="Error-Fußnotenzeichen5,Error-Fußnotenzeichen6,Error-Fußnotenzeichen3,Footnote Reference1,ftref, BVI fnr,BVI fnr,Error-Fu?notenzeichen5,Error-Fu?notenzeichen6,Error-Fu?notenzeichen3,referencia nota al pie,Ref,de nota al pie,16 Point,fr"/>
    <w:basedOn w:val="DefaultParagraphFont"/>
    <w:uiPriority w:val="99"/>
    <w:unhideWhenUsed/>
    <w:rsid w:val="00AC15D8"/>
    <w:rPr>
      <w:vertAlign w:val="superscript"/>
    </w:rPr>
  </w:style>
  <w:style w:type="character" w:customStyle="1" w:styleId="Heading1Char">
    <w:name w:val="Heading 1 Char"/>
    <w:basedOn w:val="DefaultParagraphFont"/>
    <w:link w:val="Heading1"/>
    <w:uiPriority w:val="9"/>
    <w:rsid w:val="00AE0B4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AE0B4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AE0B4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E0B4D"/>
    <w:rPr>
      <w:b/>
      <w:bCs/>
      <w:sz w:val="28"/>
      <w:szCs w:val="28"/>
    </w:rPr>
  </w:style>
  <w:style w:type="character" w:customStyle="1" w:styleId="Heading5Char">
    <w:name w:val="Heading 5 Char"/>
    <w:basedOn w:val="DefaultParagraphFont"/>
    <w:link w:val="Heading5"/>
    <w:uiPriority w:val="9"/>
    <w:semiHidden/>
    <w:rsid w:val="00AE0B4D"/>
    <w:rPr>
      <w:b/>
      <w:bCs/>
      <w:i/>
      <w:iCs/>
      <w:sz w:val="26"/>
      <w:szCs w:val="26"/>
    </w:rPr>
  </w:style>
  <w:style w:type="character" w:customStyle="1" w:styleId="Heading6Char">
    <w:name w:val="Heading 6 Char"/>
    <w:basedOn w:val="DefaultParagraphFont"/>
    <w:link w:val="Heading6"/>
    <w:uiPriority w:val="9"/>
    <w:semiHidden/>
    <w:rsid w:val="00AE0B4D"/>
    <w:rPr>
      <w:b/>
      <w:bCs/>
    </w:rPr>
  </w:style>
  <w:style w:type="character" w:customStyle="1" w:styleId="Heading7Char">
    <w:name w:val="Heading 7 Char"/>
    <w:basedOn w:val="DefaultParagraphFont"/>
    <w:link w:val="Heading7"/>
    <w:uiPriority w:val="9"/>
    <w:semiHidden/>
    <w:rsid w:val="00AE0B4D"/>
    <w:rPr>
      <w:sz w:val="24"/>
      <w:szCs w:val="24"/>
    </w:rPr>
  </w:style>
  <w:style w:type="character" w:customStyle="1" w:styleId="Heading8Char">
    <w:name w:val="Heading 8 Char"/>
    <w:basedOn w:val="DefaultParagraphFont"/>
    <w:link w:val="Heading8"/>
    <w:uiPriority w:val="9"/>
    <w:semiHidden/>
    <w:rsid w:val="00AE0B4D"/>
    <w:rPr>
      <w:i/>
      <w:iCs/>
      <w:sz w:val="24"/>
      <w:szCs w:val="24"/>
    </w:rPr>
  </w:style>
  <w:style w:type="character" w:customStyle="1" w:styleId="Heading9Char">
    <w:name w:val="Heading 9 Char"/>
    <w:basedOn w:val="DefaultParagraphFont"/>
    <w:link w:val="Heading9"/>
    <w:uiPriority w:val="9"/>
    <w:semiHidden/>
    <w:rsid w:val="00AE0B4D"/>
    <w:rPr>
      <w:rFonts w:asciiTheme="majorHAnsi" w:eastAsiaTheme="majorEastAsia" w:hAnsiTheme="majorHAnsi"/>
    </w:rPr>
  </w:style>
  <w:style w:type="paragraph" w:styleId="Title">
    <w:name w:val="Title"/>
    <w:basedOn w:val="Normal"/>
    <w:next w:val="Normal"/>
    <w:link w:val="TitleChar"/>
    <w:uiPriority w:val="10"/>
    <w:qFormat/>
    <w:rsid w:val="00AE0B4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E0B4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E0B4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E0B4D"/>
    <w:rPr>
      <w:rFonts w:asciiTheme="majorHAnsi" w:eastAsiaTheme="majorEastAsia" w:hAnsiTheme="majorHAnsi"/>
      <w:sz w:val="24"/>
      <w:szCs w:val="24"/>
    </w:rPr>
  </w:style>
  <w:style w:type="character" w:styleId="Strong">
    <w:name w:val="Strong"/>
    <w:basedOn w:val="DefaultParagraphFont"/>
    <w:uiPriority w:val="22"/>
    <w:qFormat/>
    <w:rsid w:val="00AE0B4D"/>
    <w:rPr>
      <w:b/>
      <w:bCs/>
    </w:rPr>
  </w:style>
  <w:style w:type="character" w:styleId="Emphasis">
    <w:name w:val="Emphasis"/>
    <w:basedOn w:val="DefaultParagraphFont"/>
    <w:uiPriority w:val="20"/>
    <w:qFormat/>
    <w:rsid w:val="00AE0B4D"/>
    <w:rPr>
      <w:rFonts w:asciiTheme="minorHAnsi" w:hAnsiTheme="minorHAnsi"/>
      <w:b/>
      <w:i/>
      <w:iCs/>
    </w:rPr>
  </w:style>
  <w:style w:type="paragraph" w:styleId="NoSpacing">
    <w:name w:val="No Spacing"/>
    <w:basedOn w:val="Normal"/>
    <w:uiPriority w:val="1"/>
    <w:qFormat/>
    <w:rsid w:val="00AE0B4D"/>
    <w:rPr>
      <w:szCs w:val="32"/>
    </w:rPr>
  </w:style>
  <w:style w:type="paragraph" w:styleId="Quote">
    <w:name w:val="Quote"/>
    <w:basedOn w:val="Normal"/>
    <w:next w:val="Normal"/>
    <w:link w:val="QuoteChar"/>
    <w:uiPriority w:val="29"/>
    <w:qFormat/>
    <w:rsid w:val="00AE0B4D"/>
    <w:rPr>
      <w:i/>
    </w:rPr>
  </w:style>
  <w:style w:type="character" w:customStyle="1" w:styleId="QuoteChar">
    <w:name w:val="Quote Char"/>
    <w:basedOn w:val="DefaultParagraphFont"/>
    <w:link w:val="Quote"/>
    <w:uiPriority w:val="29"/>
    <w:rsid w:val="00AE0B4D"/>
    <w:rPr>
      <w:i/>
      <w:sz w:val="24"/>
      <w:szCs w:val="24"/>
    </w:rPr>
  </w:style>
  <w:style w:type="paragraph" w:styleId="IntenseQuote">
    <w:name w:val="Intense Quote"/>
    <w:basedOn w:val="Normal"/>
    <w:next w:val="Normal"/>
    <w:link w:val="IntenseQuoteChar"/>
    <w:uiPriority w:val="30"/>
    <w:qFormat/>
    <w:rsid w:val="00AE0B4D"/>
    <w:pPr>
      <w:ind w:left="720" w:right="720"/>
    </w:pPr>
    <w:rPr>
      <w:b/>
      <w:i/>
      <w:szCs w:val="22"/>
    </w:rPr>
  </w:style>
  <w:style w:type="character" w:customStyle="1" w:styleId="IntenseQuoteChar">
    <w:name w:val="Intense Quote Char"/>
    <w:basedOn w:val="DefaultParagraphFont"/>
    <w:link w:val="IntenseQuote"/>
    <w:uiPriority w:val="30"/>
    <w:rsid w:val="00AE0B4D"/>
    <w:rPr>
      <w:b/>
      <w:i/>
      <w:sz w:val="24"/>
    </w:rPr>
  </w:style>
  <w:style w:type="character" w:styleId="SubtleEmphasis">
    <w:name w:val="Subtle Emphasis"/>
    <w:uiPriority w:val="19"/>
    <w:qFormat/>
    <w:rsid w:val="00AE0B4D"/>
    <w:rPr>
      <w:i/>
      <w:color w:val="5A5A5A" w:themeColor="text1" w:themeTint="A5"/>
    </w:rPr>
  </w:style>
  <w:style w:type="character" w:styleId="IntenseEmphasis">
    <w:name w:val="Intense Emphasis"/>
    <w:basedOn w:val="DefaultParagraphFont"/>
    <w:uiPriority w:val="21"/>
    <w:qFormat/>
    <w:rsid w:val="00AE0B4D"/>
    <w:rPr>
      <w:b/>
      <w:i/>
      <w:sz w:val="24"/>
      <w:szCs w:val="24"/>
      <w:u w:val="single"/>
    </w:rPr>
  </w:style>
  <w:style w:type="character" w:styleId="SubtleReference">
    <w:name w:val="Subtle Reference"/>
    <w:basedOn w:val="DefaultParagraphFont"/>
    <w:uiPriority w:val="31"/>
    <w:qFormat/>
    <w:rsid w:val="00AE0B4D"/>
    <w:rPr>
      <w:sz w:val="24"/>
      <w:szCs w:val="24"/>
      <w:u w:val="single"/>
    </w:rPr>
  </w:style>
  <w:style w:type="character" w:styleId="IntenseReference">
    <w:name w:val="Intense Reference"/>
    <w:basedOn w:val="DefaultParagraphFont"/>
    <w:uiPriority w:val="32"/>
    <w:qFormat/>
    <w:rsid w:val="00AE0B4D"/>
    <w:rPr>
      <w:b/>
      <w:sz w:val="24"/>
      <w:u w:val="single"/>
    </w:rPr>
  </w:style>
  <w:style w:type="character" w:styleId="BookTitle">
    <w:name w:val="Book Title"/>
    <w:basedOn w:val="DefaultParagraphFont"/>
    <w:uiPriority w:val="33"/>
    <w:qFormat/>
    <w:rsid w:val="00AE0B4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AE0B4D"/>
    <w:pPr>
      <w:outlineLvl w:val="9"/>
    </w:pPr>
  </w:style>
  <w:style w:type="paragraph" w:customStyle="1" w:styleId="Default">
    <w:name w:val="Default"/>
    <w:rsid w:val="000917F5"/>
    <w:pPr>
      <w:numPr>
        <w:numId w:val="1"/>
      </w:numPr>
      <w:autoSpaceDE w:val="0"/>
      <w:autoSpaceDN w:val="0"/>
      <w:adjustRightInd w:val="0"/>
      <w:spacing w:after="120"/>
      <w:jc w:val="both"/>
    </w:pPr>
    <w:rPr>
      <w:rFonts w:ascii="Times New Roman" w:eastAsia="Times New Roman" w:hAnsi="Times New Roman"/>
      <w:color w:val="000000"/>
    </w:rPr>
  </w:style>
  <w:style w:type="character" w:styleId="EndnoteReference">
    <w:name w:val="endnote reference"/>
    <w:basedOn w:val="DefaultParagraphFont"/>
    <w:uiPriority w:val="99"/>
    <w:semiHidden/>
    <w:unhideWhenUsed/>
    <w:rsid w:val="000917F5"/>
    <w:rPr>
      <w:vertAlign w:val="superscript"/>
    </w:rPr>
  </w:style>
  <w:style w:type="paragraph" w:styleId="BalloonText">
    <w:name w:val="Balloon Text"/>
    <w:basedOn w:val="Normal"/>
    <w:link w:val="BalloonTextChar"/>
    <w:uiPriority w:val="99"/>
    <w:semiHidden/>
    <w:unhideWhenUsed/>
    <w:rsid w:val="00674E27"/>
    <w:rPr>
      <w:rFonts w:ascii="Tahoma" w:hAnsi="Tahoma" w:cs="Tahoma"/>
      <w:sz w:val="16"/>
      <w:szCs w:val="16"/>
    </w:rPr>
  </w:style>
  <w:style w:type="character" w:customStyle="1" w:styleId="BalloonTextChar">
    <w:name w:val="Balloon Text Char"/>
    <w:basedOn w:val="DefaultParagraphFont"/>
    <w:link w:val="BalloonText"/>
    <w:uiPriority w:val="99"/>
    <w:semiHidden/>
    <w:rsid w:val="00674E27"/>
    <w:rPr>
      <w:rFonts w:ascii="Tahoma" w:hAnsi="Tahoma" w:cs="Tahoma"/>
      <w:sz w:val="16"/>
      <w:szCs w:val="16"/>
    </w:rPr>
  </w:style>
  <w:style w:type="character" w:customStyle="1" w:styleId="ListParagraphChar">
    <w:name w:val="List Paragraph Char"/>
    <w:basedOn w:val="DefaultParagraphFont"/>
    <w:link w:val="ListParagraph"/>
    <w:uiPriority w:val="34"/>
    <w:rsid w:val="00674E27"/>
    <w:rPr>
      <w:sz w:val="24"/>
      <w:szCs w:val="24"/>
    </w:rPr>
  </w:style>
  <w:style w:type="paragraph" w:customStyle="1" w:styleId="Outline">
    <w:name w:val="Outline"/>
    <w:basedOn w:val="Normal"/>
    <w:rsid w:val="002503E1"/>
    <w:pPr>
      <w:spacing w:before="240"/>
    </w:pPr>
    <w:rPr>
      <w:rFonts w:ascii="Times New Roman" w:eastAsia="Times New Roman" w:hAnsi="Times New Roman"/>
      <w:kern w:val="28"/>
      <w:szCs w:val="20"/>
    </w:rPr>
  </w:style>
  <w:style w:type="paragraph" w:styleId="Header">
    <w:name w:val="header"/>
    <w:basedOn w:val="Normal"/>
    <w:link w:val="HeaderChar"/>
    <w:uiPriority w:val="99"/>
    <w:unhideWhenUsed/>
    <w:rsid w:val="00DB0588"/>
    <w:pPr>
      <w:tabs>
        <w:tab w:val="center" w:pos="4680"/>
        <w:tab w:val="right" w:pos="9360"/>
      </w:tabs>
    </w:pPr>
  </w:style>
  <w:style w:type="character" w:customStyle="1" w:styleId="HeaderChar">
    <w:name w:val="Header Char"/>
    <w:basedOn w:val="DefaultParagraphFont"/>
    <w:link w:val="Header"/>
    <w:uiPriority w:val="99"/>
    <w:rsid w:val="00DB0588"/>
    <w:rPr>
      <w:sz w:val="24"/>
      <w:szCs w:val="24"/>
    </w:rPr>
  </w:style>
  <w:style w:type="paragraph" w:styleId="Footer">
    <w:name w:val="footer"/>
    <w:basedOn w:val="Normal"/>
    <w:link w:val="FooterChar"/>
    <w:uiPriority w:val="99"/>
    <w:unhideWhenUsed/>
    <w:rsid w:val="00DB0588"/>
    <w:pPr>
      <w:tabs>
        <w:tab w:val="center" w:pos="4680"/>
        <w:tab w:val="right" w:pos="9360"/>
      </w:tabs>
    </w:pPr>
  </w:style>
  <w:style w:type="character" w:customStyle="1" w:styleId="FooterChar">
    <w:name w:val="Footer Char"/>
    <w:basedOn w:val="DefaultParagraphFont"/>
    <w:link w:val="Footer"/>
    <w:uiPriority w:val="99"/>
    <w:rsid w:val="00DB0588"/>
    <w:rPr>
      <w:sz w:val="24"/>
      <w:szCs w:val="24"/>
    </w:rPr>
  </w:style>
  <w:style w:type="paragraph" w:styleId="Revision">
    <w:name w:val="Revision"/>
    <w:hidden/>
    <w:uiPriority w:val="99"/>
    <w:semiHidden/>
    <w:rsid w:val="00DB0588"/>
    <w:rPr>
      <w:sz w:val="24"/>
      <w:szCs w:val="24"/>
    </w:rPr>
  </w:style>
  <w:style w:type="character" w:styleId="CommentReference">
    <w:name w:val="annotation reference"/>
    <w:basedOn w:val="DefaultParagraphFont"/>
    <w:uiPriority w:val="99"/>
    <w:semiHidden/>
    <w:unhideWhenUsed/>
    <w:rsid w:val="000B1801"/>
    <w:rPr>
      <w:sz w:val="16"/>
      <w:szCs w:val="16"/>
    </w:rPr>
  </w:style>
  <w:style w:type="paragraph" w:styleId="CommentText">
    <w:name w:val="annotation text"/>
    <w:basedOn w:val="Normal"/>
    <w:link w:val="CommentTextChar"/>
    <w:uiPriority w:val="99"/>
    <w:semiHidden/>
    <w:unhideWhenUsed/>
    <w:rsid w:val="000B1801"/>
    <w:rPr>
      <w:sz w:val="20"/>
      <w:szCs w:val="20"/>
    </w:rPr>
  </w:style>
  <w:style w:type="character" w:customStyle="1" w:styleId="CommentTextChar">
    <w:name w:val="Comment Text Char"/>
    <w:basedOn w:val="DefaultParagraphFont"/>
    <w:link w:val="CommentText"/>
    <w:uiPriority w:val="99"/>
    <w:semiHidden/>
    <w:rsid w:val="000B1801"/>
    <w:rPr>
      <w:sz w:val="20"/>
      <w:szCs w:val="20"/>
    </w:rPr>
  </w:style>
  <w:style w:type="paragraph" w:styleId="CommentSubject">
    <w:name w:val="annotation subject"/>
    <w:basedOn w:val="CommentText"/>
    <w:next w:val="CommentText"/>
    <w:link w:val="CommentSubjectChar"/>
    <w:uiPriority w:val="99"/>
    <w:semiHidden/>
    <w:unhideWhenUsed/>
    <w:rsid w:val="000B1801"/>
    <w:rPr>
      <w:b/>
      <w:bCs/>
    </w:rPr>
  </w:style>
  <w:style w:type="character" w:customStyle="1" w:styleId="CommentSubjectChar">
    <w:name w:val="Comment Subject Char"/>
    <w:basedOn w:val="CommentTextChar"/>
    <w:link w:val="CommentSubject"/>
    <w:uiPriority w:val="99"/>
    <w:semiHidden/>
    <w:rsid w:val="000B1801"/>
    <w:rPr>
      <w:b/>
      <w:bCs/>
      <w:sz w:val="20"/>
      <w:szCs w:val="20"/>
    </w:rPr>
  </w:style>
  <w:style w:type="paragraph" w:styleId="TOC1">
    <w:name w:val="toc 1"/>
    <w:basedOn w:val="Normal"/>
    <w:next w:val="Normal"/>
    <w:autoRedefine/>
    <w:uiPriority w:val="39"/>
    <w:unhideWhenUsed/>
    <w:rsid w:val="00D56210"/>
    <w:pPr>
      <w:tabs>
        <w:tab w:val="left" w:pos="480"/>
        <w:tab w:val="right" w:leader="dot" w:pos="9350"/>
      </w:tabs>
      <w:spacing w:after="120"/>
    </w:pPr>
    <w:rPr>
      <w:b/>
      <w:noProof/>
    </w:rPr>
  </w:style>
  <w:style w:type="character" w:styleId="PageNumber">
    <w:name w:val="page number"/>
    <w:basedOn w:val="DefaultParagraphFont"/>
    <w:rsid w:val="00715428"/>
  </w:style>
  <w:style w:type="character" w:styleId="Hyperlink">
    <w:name w:val="Hyperlink"/>
    <w:basedOn w:val="DefaultParagraphFont"/>
    <w:uiPriority w:val="99"/>
    <w:rsid w:val="00715428"/>
    <w:rPr>
      <w:color w:val="0000FF"/>
      <w:u w:val="single"/>
    </w:rPr>
  </w:style>
  <w:style w:type="table" w:styleId="TableGrid">
    <w:name w:val="Table Grid"/>
    <w:basedOn w:val="TableNormal"/>
    <w:uiPriority w:val="59"/>
    <w:rsid w:val="00E42E54"/>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Caption Char Char Char,Caption1 Char,Caption1"/>
    <w:basedOn w:val="Normal"/>
    <w:next w:val="Normal"/>
    <w:link w:val="CaptionChar"/>
    <w:autoRedefine/>
    <w:qFormat/>
    <w:rsid w:val="00D43382"/>
    <w:pPr>
      <w:keepNext/>
      <w:spacing w:after="60"/>
      <w:jc w:val="center"/>
    </w:pPr>
    <w:rPr>
      <w:rFonts w:ascii="Times New Roman" w:eastAsia="Times New Roman" w:hAnsi="Times New Roman"/>
      <w:b/>
      <w:sz w:val="22"/>
      <w:szCs w:val="20"/>
    </w:rPr>
  </w:style>
  <w:style w:type="table" w:styleId="TableClassic1">
    <w:name w:val="Table Classic 1"/>
    <w:basedOn w:val="TableNormal"/>
    <w:rsid w:val="00923E44"/>
    <w:rPr>
      <w:rFonts w:ascii="Times New Roman" w:eastAsia="Times New Roman" w:hAnsi="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unhideWhenUsed/>
    <w:rsid w:val="0036175C"/>
    <w:rPr>
      <w:rFonts w:ascii="Times New Roman" w:eastAsiaTheme="minorHAnsi" w:hAnsi="Times New Roman" w:cstheme="minorBidi"/>
      <w:sz w:val="20"/>
      <w:szCs w:val="20"/>
    </w:rPr>
  </w:style>
  <w:style w:type="character" w:customStyle="1" w:styleId="EndnoteTextChar">
    <w:name w:val="Endnote Text Char"/>
    <w:basedOn w:val="DefaultParagraphFont"/>
    <w:link w:val="EndnoteText"/>
    <w:uiPriority w:val="99"/>
    <w:rsid w:val="0036175C"/>
    <w:rPr>
      <w:rFonts w:ascii="Times New Roman" w:eastAsiaTheme="minorHAnsi" w:hAnsi="Times New Roman" w:cstheme="minorBidi"/>
      <w:sz w:val="20"/>
      <w:szCs w:val="20"/>
    </w:rPr>
  </w:style>
  <w:style w:type="paragraph" w:customStyle="1" w:styleId="CarCar1CharChar">
    <w:name w:val="Car Car1 Char Char"/>
    <w:basedOn w:val="Normal"/>
    <w:next w:val="Normal"/>
    <w:semiHidden/>
    <w:rsid w:val="00D64A38"/>
    <w:pPr>
      <w:spacing w:after="160" w:line="240" w:lineRule="exact"/>
    </w:pPr>
    <w:rPr>
      <w:rFonts w:ascii="Arial" w:eastAsia="SimSun" w:hAnsi="Arial"/>
      <w:sz w:val="20"/>
      <w:szCs w:val="20"/>
    </w:rPr>
  </w:style>
  <w:style w:type="table" w:customStyle="1" w:styleId="LightShading1">
    <w:name w:val="Light Shading1"/>
    <w:basedOn w:val="TableNormal"/>
    <w:uiPriority w:val="60"/>
    <w:rsid w:val="002F359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C3BF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rsid w:val="00D56210"/>
    <w:pPr>
      <w:tabs>
        <w:tab w:val="left" w:pos="660"/>
        <w:tab w:val="right" w:leader="dot" w:pos="9350"/>
      </w:tabs>
      <w:spacing w:after="120"/>
      <w:ind w:left="245"/>
    </w:pPr>
  </w:style>
  <w:style w:type="character" w:customStyle="1" w:styleId="CaptionChar">
    <w:name w:val="Caption Char"/>
    <w:aliases w:val="Caption Char Char Char Char,Caption1 Char Char,Caption1 Char1"/>
    <w:basedOn w:val="DefaultParagraphFont"/>
    <w:link w:val="Caption"/>
    <w:rsid w:val="00D43382"/>
    <w:rPr>
      <w:rFonts w:ascii="Times New Roman" w:eastAsia="Times New Roman" w:hAnsi="Times New Roman"/>
      <w:b/>
      <w:szCs w:val="20"/>
      <w:lang w:eastAsia="fr-FR"/>
    </w:rPr>
  </w:style>
  <w:style w:type="paragraph" w:styleId="NormalWeb">
    <w:name w:val="Normal (Web)"/>
    <w:basedOn w:val="Normal"/>
    <w:uiPriority w:val="99"/>
    <w:semiHidden/>
    <w:unhideWhenUsed/>
    <w:rsid w:val="00796763"/>
    <w:pPr>
      <w:spacing w:before="100" w:beforeAutospacing="1" w:after="100" w:afterAutospacing="1"/>
    </w:pPr>
    <w:rPr>
      <w:rFonts w:ascii="Times New Roman" w:eastAsia="Times New Roman" w:hAnsi="Times New Roman"/>
    </w:rPr>
  </w:style>
  <w:style w:type="paragraph" w:styleId="TOC3">
    <w:name w:val="toc 3"/>
    <w:basedOn w:val="Normal"/>
    <w:next w:val="Normal"/>
    <w:autoRedefine/>
    <w:uiPriority w:val="39"/>
    <w:unhideWhenUsed/>
    <w:rsid w:val="00645A09"/>
    <w:pPr>
      <w:spacing w:after="100"/>
      <w:ind w:left="480"/>
    </w:pPr>
  </w:style>
  <w:style w:type="paragraph" w:styleId="TableofFigures">
    <w:name w:val="table of figures"/>
    <w:basedOn w:val="Normal"/>
    <w:next w:val="Normal"/>
    <w:uiPriority w:val="99"/>
    <w:unhideWhenUsed/>
    <w:rsid w:val="005B0D3C"/>
  </w:style>
  <w:style w:type="table" w:customStyle="1" w:styleId="TableGrid1">
    <w:name w:val="Table Grid1"/>
    <w:basedOn w:val="TableNormal"/>
    <w:next w:val="TableGrid"/>
    <w:uiPriority w:val="59"/>
    <w:rsid w:val="00121A94"/>
    <w:rPr>
      <w:rFonts w:eastAsia="Calibri"/>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181392">
      <w:bodyDiv w:val="1"/>
      <w:marLeft w:val="0"/>
      <w:marRight w:val="0"/>
      <w:marTop w:val="0"/>
      <w:marBottom w:val="0"/>
      <w:divBdr>
        <w:top w:val="none" w:sz="0" w:space="0" w:color="auto"/>
        <w:left w:val="none" w:sz="0" w:space="0" w:color="auto"/>
        <w:bottom w:val="none" w:sz="0" w:space="0" w:color="auto"/>
        <w:right w:val="none" w:sz="0" w:space="0" w:color="auto"/>
      </w:divBdr>
    </w:div>
    <w:div w:id="274794218">
      <w:bodyDiv w:val="1"/>
      <w:marLeft w:val="0"/>
      <w:marRight w:val="0"/>
      <w:marTop w:val="0"/>
      <w:marBottom w:val="0"/>
      <w:divBdr>
        <w:top w:val="none" w:sz="0" w:space="0" w:color="auto"/>
        <w:left w:val="none" w:sz="0" w:space="0" w:color="auto"/>
        <w:bottom w:val="none" w:sz="0" w:space="0" w:color="auto"/>
        <w:right w:val="none" w:sz="0" w:space="0" w:color="auto"/>
      </w:divBdr>
    </w:div>
    <w:div w:id="293559932">
      <w:bodyDiv w:val="1"/>
      <w:marLeft w:val="0"/>
      <w:marRight w:val="0"/>
      <w:marTop w:val="0"/>
      <w:marBottom w:val="0"/>
      <w:divBdr>
        <w:top w:val="none" w:sz="0" w:space="0" w:color="auto"/>
        <w:left w:val="none" w:sz="0" w:space="0" w:color="auto"/>
        <w:bottom w:val="none" w:sz="0" w:space="0" w:color="auto"/>
        <w:right w:val="none" w:sz="0" w:space="0" w:color="auto"/>
      </w:divBdr>
    </w:div>
    <w:div w:id="334648088">
      <w:bodyDiv w:val="1"/>
      <w:marLeft w:val="0"/>
      <w:marRight w:val="0"/>
      <w:marTop w:val="0"/>
      <w:marBottom w:val="0"/>
      <w:divBdr>
        <w:top w:val="none" w:sz="0" w:space="0" w:color="auto"/>
        <w:left w:val="none" w:sz="0" w:space="0" w:color="auto"/>
        <w:bottom w:val="none" w:sz="0" w:space="0" w:color="auto"/>
        <w:right w:val="none" w:sz="0" w:space="0" w:color="auto"/>
      </w:divBdr>
    </w:div>
    <w:div w:id="341904919">
      <w:bodyDiv w:val="1"/>
      <w:marLeft w:val="0"/>
      <w:marRight w:val="0"/>
      <w:marTop w:val="0"/>
      <w:marBottom w:val="0"/>
      <w:divBdr>
        <w:top w:val="none" w:sz="0" w:space="0" w:color="auto"/>
        <w:left w:val="none" w:sz="0" w:space="0" w:color="auto"/>
        <w:bottom w:val="none" w:sz="0" w:space="0" w:color="auto"/>
        <w:right w:val="none" w:sz="0" w:space="0" w:color="auto"/>
      </w:divBdr>
    </w:div>
    <w:div w:id="393745952">
      <w:bodyDiv w:val="1"/>
      <w:marLeft w:val="0"/>
      <w:marRight w:val="0"/>
      <w:marTop w:val="0"/>
      <w:marBottom w:val="0"/>
      <w:divBdr>
        <w:top w:val="none" w:sz="0" w:space="0" w:color="auto"/>
        <w:left w:val="none" w:sz="0" w:space="0" w:color="auto"/>
        <w:bottom w:val="none" w:sz="0" w:space="0" w:color="auto"/>
        <w:right w:val="none" w:sz="0" w:space="0" w:color="auto"/>
      </w:divBdr>
    </w:div>
    <w:div w:id="484861437">
      <w:bodyDiv w:val="1"/>
      <w:marLeft w:val="0"/>
      <w:marRight w:val="0"/>
      <w:marTop w:val="0"/>
      <w:marBottom w:val="0"/>
      <w:divBdr>
        <w:top w:val="none" w:sz="0" w:space="0" w:color="auto"/>
        <w:left w:val="none" w:sz="0" w:space="0" w:color="auto"/>
        <w:bottom w:val="none" w:sz="0" w:space="0" w:color="auto"/>
        <w:right w:val="none" w:sz="0" w:space="0" w:color="auto"/>
      </w:divBdr>
    </w:div>
    <w:div w:id="498883638">
      <w:bodyDiv w:val="1"/>
      <w:marLeft w:val="0"/>
      <w:marRight w:val="0"/>
      <w:marTop w:val="0"/>
      <w:marBottom w:val="0"/>
      <w:divBdr>
        <w:top w:val="none" w:sz="0" w:space="0" w:color="auto"/>
        <w:left w:val="none" w:sz="0" w:space="0" w:color="auto"/>
        <w:bottom w:val="none" w:sz="0" w:space="0" w:color="auto"/>
        <w:right w:val="none" w:sz="0" w:space="0" w:color="auto"/>
      </w:divBdr>
    </w:div>
    <w:div w:id="507250712">
      <w:bodyDiv w:val="1"/>
      <w:marLeft w:val="0"/>
      <w:marRight w:val="0"/>
      <w:marTop w:val="0"/>
      <w:marBottom w:val="0"/>
      <w:divBdr>
        <w:top w:val="none" w:sz="0" w:space="0" w:color="auto"/>
        <w:left w:val="none" w:sz="0" w:space="0" w:color="auto"/>
        <w:bottom w:val="none" w:sz="0" w:space="0" w:color="auto"/>
        <w:right w:val="none" w:sz="0" w:space="0" w:color="auto"/>
      </w:divBdr>
    </w:div>
    <w:div w:id="552431146">
      <w:bodyDiv w:val="1"/>
      <w:marLeft w:val="0"/>
      <w:marRight w:val="0"/>
      <w:marTop w:val="0"/>
      <w:marBottom w:val="0"/>
      <w:divBdr>
        <w:top w:val="none" w:sz="0" w:space="0" w:color="auto"/>
        <w:left w:val="none" w:sz="0" w:space="0" w:color="auto"/>
        <w:bottom w:val="none" w:sz="0" w:space="0" w:color="auto"/>
        <w:right w:val="none" w:sz="0" w:space="0" w:color="auto"/>
      </w:divBdr>
    </w:div>
    <w:div w:id="661592516">
      <w:bodyDiv w:val="1"/>
      <w:marLeft w:val="0"/>
      <w:marRight w:val="0"/>
      <w:marTop w:val="0"/>
      <w:marBottom w:val="0"/>
      <w:divBdr>
        <w:top w:val="none" w:sz="0" w:space="0" w:color="auto"/>
        <w:left w:val="none" w:sz="0" w:space="0" w:color="auto"/>
        <w:bottom w:val="none" w:sz="0" w:space="0" w:color="auto"/>
        <w:right w:val="none" w:sz="0" w:space="0" w:color="auto"/>
      </w:divBdr>
      <w:divsChild>
        <w:div w:id="6838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644500">
              <w:marLeft w:val="0"/>
              <w:marRight w:val="0"/>
              <w:marTop w:val="0"/>
              <w:marBottom w:val="0"/>
              <w:divBdr>
                <w:top w:val="none" w:sz="0" w:space="0" w:color="auto"/>
                <w:left w:val="none" w:sz="0" w:space="0" w:color="auto"/>
                <w:bottom w:val="none" w:sz="0" w:space="0" w:color="auto"/>
                <w:right w:val="none" w:sz="0" w:space="0" w:color="auto"/>
              </w:divBdr>
              <w:divsChild>
                <w:div w:id="328169678">
                  <w:marLeft w:val="0"/>
                  <w:marRight w:val="0"/>
                  <w:marTop w:val="0"/>
                  <w:marBottom w:val="0"/>
                  <w:divBdr>
                    <w:top w:val="none" w:sz="0" w:space="0" w:color="auto"/>
                    <w:left w:val="none" w:sz="0" w:space="0" w:color="auto"/>
                    <w:bottom w:val="none" w:sz="0" w:space="0" w:color="auto"/>
                    <w:right w:val="none" w:sz="0" w:space="0" w:color="auto"/>
                  </w:divBdr>
                  <w:divsChild>
                    <w:div w:id="7910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18346">
      <w:bodyDiv w:val="1"/>
      <w:marLeft w:val="0"/>
      <w:marRight w:val="0"/>
      <w:marTop w:val="0"/>
      <w:marBottom w:val="0"/>
      <w:divBdr>
        <w:top w:val="none" w:sz="0" w:space="0" w:color="auto"/>
        <w:left w:val="none" w:sz="0" w:space="0" w:color="auto"/>
        <w:bottom w:val="none" w:sz="0" w:space="0" w:color="auto"/>
        <w:right w:val="none" w:sz="0" w:space="0" w:color="auto"/>
      </w:divBdr>
    </w:div>
    <w:div w:id="852768953">
      <w:bodyDiv w:val="1"/>
      <w:marLeft w:val="0"/>
      <w:marRight w:val="0"/>
      <w:marTop w:val="0"/>
      <w:marBottom w:val="0"/>
      <w:divBdr>
        <w:top w:val="none" w:sz="0" w:space="0" w:color="auto"/>
        <w:left w:val="none" w:sz="0" w:space="0" w:color="auto"/>
        <w:bottom w:val="none" w:sz="0" w:space="0" w:color="auto"/>
        <w:right w:val="none" w:sz="0" w:space="0" w:color="auto"/>
      </w:divBdr>
    </w:div>
    <w:div w:id="1024290580">
      <w:bodyDiv w:val="1"/>
      <w:marLeft w:val="0"/>
      <w:marRight w:val="0"/>
      <w:marTop w:val="0"/>
      <w:marBottom w:val="0"/>
      <w:divBdr>
        <w:top w:val="none" w:sz="0" w:space="0" w:color="auto"/>
        <w:left w:val="none" w:sz="0" w:space="0" w:color="auto"/>
        <w:bottom w:val="none" w:sz="0" w:space="0" w:color="auto"/>
        <w:right w:val="none" w:sz="0" w:space="0" w:color="auto"/>
      </w:divBdr>
    </w:div>
    <w:div w:id="1057968987">
      <w:bodyDiv w:val="1"/>
      <w:marLeft w:val="0"/>
      <w:marRight w:val="0"/>
      <w:marTop w:val="0"/>
      <w:marBottom w:val="0"/>
      <w:divBdr>
        <w:top w:val="none" w:sz="0" w:space="0" w:color="auto"/>
        <w:left w:val="none" w:sz="0" w:space="0" w:color="auto"/>
        <w:bottom w:val="none" w:sz="0" w:space="0" w:color="auto"/>
        <w:right w:val="none" w:sz="0" w:space="0" w:color="auto"/>
      </w:divBdr>
    </w:div>
    <w:div w:id="1118336382">
      <w:bodyDiv w:val="1"/>
      <w:marLeft w:val="0"/>
      <w:marRight w:val="0"/>
      <w:marTop w:val="0"/>
      <w:marBottom w:val="0"/>
      <w:divBdr>
        <w:top w:val="none" w:sz="0" w:space="0" w:color="auto"/>
        <w:left w:val="none" w:sz="0" w:space="0" w:color="auto"/>
        <w:bottom w:val="none" w:sz="0" w:space="0" w:color="auto"/>
        <w:right w:val="none" w:sz="0" w:space="0" w:color="auto"/>
      </w:divBdr>
    </w:div>
    <w:div w:id="1182621286">
      <w:bodyDiv w:val="1"/>
      <w:marLeft w:val="0"/>
      <w:marRight w:val="0"/>
      <w:marTop w:val="0"/>
      <w:marBottom w:val="0"/>
      <w:divBdr>
        <w:top w:val="none" w:sz="0" w:space="0" w:color="auto"/>
        <w:left w:val="none" w:sz="0" w:space="0" w:color="auto"/>
        <w:bottom w:val="none" w:sz="0" w:space="0" w:color="auto"/>
        <w:right w:val="none" w:sz="0" w:space="0" w:color="auto"/>
      </w:divBdr>
    </w:div>
    <w:div w:id="1286228143">
      <w:bodyDiv w:val="1"/>
      <w:marLeft w:val="0"/>
      <w:marRight w:val="0"/>
      <w:marTop w:val="0"/>
      <w:marBottom w:val="0"/>
      <w:divBdr>
        <w:top w:val="none" w:sz="0" w:space="0" w:color="auto"/>
        <w:left w:val="none" w:sz="0" w:space="0" w:color="auto"/>
        <w:bottom w:val="none" w:sz="0" w:space="0" w:color="auto"/>
        <w:right w:val="none" w:sz="0" w:space="0" w:color="auto"/>
      </w:divBdr>
    </w:div>
    <w:div w:id="1463495616">
      <w:bodyDiv w:val="1"/>
      <w:marLeft w:val="0"/>
      <w:marRight w:val="0"/>
      <w:marTop w:val="0"/>
      <w:marBottom w:val="0"/>
      <w:divBdr>
        <w:top w:val="none" w:sz="0" w:space="0" w:color="auto"/>
        <w:left w:val="none" w:sz="0" w:space="0" w:color="auto"/>
        <w:bottom w:val="none" w:sz="0" w:space="0" w:color="auto"/>
        <w:right w:val="none" w:sz="0" w:space="0" w:color="auto"/>
      </w:divBdr>
    </w:div>
    <w:div w:id="1470588967">
      <w:bodyDiv w:val="1"/>
      <w:marLeft w:val="0"/>
      <w:marRight w:val="0"/>
      <w:marTop w:val="0"/>
      <w:marBottom w:val="0"/>
      <w:divBdr>
        <w:top w:val="none" w:sz="0" w:space="0" w:color="auto"/>
        <w:left w:val="none" w:sz="0" w:space="0" w:color="auto"/>
        <w:bottom w:val="none" w:sz="0" w:space="0" w:color="auto"/>
        <w:right w:val="none" w:sz="0" w:space="0" w:color="auto"/>
      </w:divBdr>
    </w:div>
    <w:div w:id="1605922437">
      <w:bodyDiv w:val="1"/>
      <w:marLeft w:val="0"/>
      <w:marRight w:val="0"/>
      <w:marTop w:val="0"/>
      <w:marBottom w:val="0"/>
      <w:divBdr>
        <w:top w:val="none" w:sz="0" w:space="0" w:color="auto"/>
        <w:left w:val="none" w:sz="0" w:space="0" w:color="auto"/>
        <w:bottom w:val="none" w:sz="0" w:space="0" w:color="auto"/>
        <w:right w:val="none" w:sz="0" w:space="0" w:color="auto"/>
      </w:divBdr>
    </w:div>
    <w:div w:id="1632205747">
      <w:bodyDiv w:val="1"/>
      <w:marLeft w:val="0"/>
      <w:marRight w:val="0"/>
      <w:marTop w:val="0"/>
      <w:marBottom w:val="0"/>
      <w:divBdr>
        <w:top w:val="none" w:sz="0" w:space="0" w:color="auto"/>
        <w:left w:val="none" w:sz="0" w:space="0" w:color="auto"/>
        <w:bottom w:val="none" w:sz="0" w:space="0" w:color="auto"/>
        <w:right w:val="none" w:sz="0" w:space="0" w:color="auto"/>
      </w:divBdr>
    </w:div>
    <w:div w:id="1687973799">
      <w:bodyDiv w:val="1"/>
      <w:marLeft w:val="0"/>
      <w:marRight w:val="0"/>
      <w:marTop w:val="0"/>
      <w:marBottom w:val="0"/>
      <w:divBdr>
        <w:top w:val="none" w:sz="0" w:space="0" w:color="auto"/>
        <w:left w:val="none" w:sz="0" w:space="0" w:color="auto"/>
        <w:bottom w:val="none" w:sz="0" w:space="0" w:color="auto"/>
        <w:right w:val="none" w:sz="0" w:space="0" w:color="auto"/>
      </w:divBdr>
    </w:div>
    <w:div w:id="1705131127">
      <w:bodyDiv w:val="1"/>
      <w:marLeft w:val="0"/>
      <w:marRight w:val="0"/>
      <w:marTop w:val="0"/>
      <w:marBottom w:val="0"/>
      <w:divBdr>
        <w:top w:val="none" w:sz="0" w:space="0" w:color="auto"/>
        <w:left w:val="none" w:sz="0" w:space="0" w:color="auto"/>
        <w:bottom w:val="none" w:sz="0" w:space="0" w:color="auto"/>
        <w:right w:val="none" w:sz="0" w:space="0" w:color="auto"/>
      </w:divBdr>
    </w:div>
    <w:div w:id="1798449110">
      <w:bodyDiv w:val="1"/>
      <w:marLeft w:val="0"/>
      <w:marRight w:val="0"/>
      <w:marTop w:val="0"/>
      <w:marBottom w:val="0"/>
      <w:divBdr>
        <w:top w:val="none" w:sz="0" w:space="0" w:color="auto"/>
        <w:left w:val="none" w:sz="0" w:space="0" w:color="auto"/>
        <w:bottom w:val="none" w:sz="0" w:space="0" w:color="auto"/>
        <w:right w:val="none" w:sz="0" w:space="0" w:color="auto"/>
      </w:divBdr>
      <w:divsChild>
        <w:div w:id="1290474780">
          <w:marLeft w:val="0"/>
          <w:marRight w:val="0"/>
          <w:marTop w:val="200"/>
          <w:marBottom w:val="300"/>
          <w:divBdr>
            <w:top w:val="none" w:sz="0" w:space="0" w:color="auto"/>
            <w:left w:val="none" w:sz="0" w:space="0" w:color="auto"/>
            <w:bottom w:val="none" w:sz="0" w:space="0" w:color="auto"/>
            <w:right w:val="none" w:sz="0" w:space="0" w:color="auto"/>
          </w:divBdr>
        </w:div>
      </w:divsChild>
    </w:div>
    <w:div w:id="1802066268">
      <w:bodyDiv w:val="1"/>
      <w:marLeft w:val="0"/>
      <w:marRight w:val="0"/>
      <w:marTop w:val="0"/>
      <w:marBottom w:val="0"/>
      <w:divBdr>
        <w:top w:val="none" w:sz="0" w:space="0" w:color="auto"/>
        <w:left w:val="none" w:sz="0" w:space="0" w:color="auto"/>
        <w:bottom w:val="none" w:sz="0" w:space="0" w:color="auto"/>
        <w:right w:val="none" w:sz="0" w:space="0" w:color="auto"/>
      </w:divBdr>
    </w:div>
    <w:div w:id="1924801332">
      <w:bodyDiv w:val="1"/>
      <w:marLeft w:val="0"/>
      <w:marRight w:val="0"/>
      <w:marTop w:val="0"/>
      <w:marBottom w:val="0"/>
      <w:divBdr>
        <w:top w:val="none" w:sz="0" w:space="0" w:color="auto"/>
        <w:left w:val="none" w:sz="0" w:space="0" w:color="auto"/>
        <w:bottom w:val="none" w:sz="0" w:space="0" w:color="auto"/>
        <w:right w:val="none" w:sz="0" w:space="0" w:color="auto"/>
      </w:divBdr>
    </w:div>
    <w:div w:id="2102675522">
      <w:bodyDiv w:val="1"/>
      <w:marLeft w:val="0"/>
      <w:marRight w:val="0"/>
      <w:marTop w:val="0"/>
      <w:marBottom w:val="0"/>
      <w:divBdr>
        <w:top w:val="none" w:sz="0" w:space="0" w:color="auto"/>
        <w:left w:val="none" w:sz="0" w:space="0" w:color="auto"/>
        <w:bottom w:val="none" w:sz="0" w:space="0" w:color="auto"/>
        <w:right w:val="none" w:sz="0" w:space="0" w:color="auto"/>
      </w:divBdr>
      <w:divsChild>
        <w:div w:id="1070033033">
          <w:marLeft w:val="0"/>
          <w:marRight w:val="0"/>
          <w:marTop w:val="0"/>
          <w:marBottom w:val="0"/>
          <w:divBdr>
            <w:top w:val="none" w:sz="0" w:space="0" w:color="auto"/>
            <w:left w:val="none" w:sz="0" w:space="0" w:color="auto"/>
            <w:bottom w:val="none" w:sz="0" w:space="0" w:color="auto"/>
            <w:right w:val="none" w:sz="0" w:space="0" w:color="auto"/>
          </w:divBdr>
          <w:divsChild>
            <w:div w:id="1525051498">
              <w:marLeft w:val="0"/>
              <w:marRight w:val="0"/>
              <w:marTop w:val="0"/>
              <w:marBottom w:val="0"/>
              <w:divBdr>
                <w:top w:val="none" w:sz="0" w:space="0" w:color="auto"/>
                <w:left w:val="none" w:sz="0" w:space="0" w:color="auto"/>
                <w:bottom w:val="none" w:sz="0" w:space="0" w:color="auto"/>
                <w:right w:val="none" w:sz="0" w:space="0" w:color="auto"/>
              </w:divBdr>
              <w:divsChild>
                <w:div w:id="742529321">
                  <w:marLeft w:val="0"/>
                  <w:marRight w:val="0"/>
                  <w:marTop w:val="0"/>
                  <w:marBottom w:val="0"/>
                  <w:divBdr>
                    <w:top w:val="none" w:sz="0" w:space="0" w:color="auto"/>
                    <w:left w:val="none" w:sz="0" w:space="0" w:color="auto"/>
                    <w:bottom w:val="none" w:sz="0" w:space="0" w:color="auto"/>
                    <w:right w:val="none" w:sz="0" w:space="0" w:color="auto"/>
                  </w:divBdr>
                  <w:divsChild>
                    <w:div w:id="1835799211">
                      <w:marLeft w:val="0"/>
                      <w:marRight w:val="0"/>
                      <w:marTop w:val="0"/>
                      <w:marBottom w:val="0"/>
                      <w:divBdr>
                        <w:top w:val="none" w:sz="0" w:space="0" w:color="auto"/>
                        <w:left w:val="none" w:sz="0" w:space="0" w:color="auto"/>
                        <w:bottom w:val="none" w:sz="0" w:space="0" w:color="auto"/>
                        <w:right w:val="none" w:sz="0" w:space="0" w:color="auto"/>
                      </w:divBdr>
                      <w:divsChild>
                        <w:div w:id="1956985806">
                          <w:marLeft w:val="0"/>
                          <w:marRight w:val="0"/>
                          <w:marTop w:val="0"/>
                          <w:marBottom w:val="0"/>
                          <w:divBdr>
                            <w:top w:val="none" w:sz="0" w:space="0" w:color="auto"/>
                            <w:left w:val="none" w:sz="0" w:space="0" w:color="auto"/>
                            <w:bottom w:val="none" w:sz="0" w:space="0" w:color="auto"/>
                            <w:right w:val="none" w:sz="0" w:space="0" w:color="auto"/>
                          </w:divBdr>
                          <w:divsChild>
                            <w:div w:id="1344042762">
                              <w:marLeft w:val="0"/>
                              <w:marRight w:val="0"/>
                              <w:marTop w:val="0"/>
                              <w:marBottom w:val="0"/>
                              <w:divBdr>
                                <w:top w:val="none" w:sz="0" w:space="0" w:color="auto"/>
                                <w:left w:val="none" w:sz="0" w:space="0" w:color="auto"/>
                                <w:bottom w:val="none" w:sz="0" w:space="0" w:color="auto"/>
                                <w:right w:val="none" w:sz="0" w:space="0" w:color="auto"/>
                              </w:divBdr>
                              <w:divsChild>
                                <w:div w:id="676999393">
                                  <w:marLeft w:val="0"/>
                                  <w:marRight w:val="0"/>
                                  <w:marTop w:val="0"/>
                                  <w:marBottom w:val="0"/>
                                  <w:divBdr>
                                    <w:top w:val="none" w:sz="0" w:space="0" w:color="auto"/>
                                    <w:left w:val="none" w:sz="0" w:space="0" w:color="auto"/>
                                    <w:bottom w:val="none" w:sz="0" w:space="0" w:color="auto"/>
                                    <w:right w:val="none" w:sz="0" w:space="0" w:color="auto"/>
                                  </w:divBdr>
                                  <w:divsChild>
                                    <w:div w:id="397360470">
                                      <w:marLeft w:val="0"/>
                                      <w:marRight w:val="0"/>
                                      <w:marTop w:val="0"/>
                                      <w:marBottom w:val="0"/>
                                      <w:divBdr>
                                        <w:top w:val="none" w:sz="0" w:space="0" w:color="auto"/>
                                        <w:left w:val="none" w:sz="0" w:space="0" w:color="auto"/>
                                        <w:bottom w:val="none" w:sz="0" w:space="0" w:color="auto"/>
                                        <w:right w:val="none" w:sz="0" w:space="0" w:color="auto"/>
                                      </w:divBdr>
                                      <w:divsChild>
                                        <w:div w:id="6298840">
                                          <w:marLeft w:val="0"/>
                                          <w:marRight w:val="0"/>
                                          <w:marTop w:val="0"/>
                                          <w:marBottom w:val="0"/>
                                          <w:divBdr>
                                            <w:top w:val="none" w:sz="0" w:space="0" w:color="auto"/>
                                            <w:left w:val="none" w:sz="0" w:space="0" w:color="auto"/>
                                            <w:bottom w:val="none" w:sz="0" w:space="0" w:color="auto"/>
                                            <w:right w:val="none" w:sz="0" w:space="0" w:color="auto"/>
                                          </w:divBdr>
                                          <w:divsChild>
                                            <w:div w:id="711925875">
                                              <w:marLeft w:val="0"/>
                                              <w:marRight w:val="0"/>
                                              <w:marTop w:val="0"/>
                                              <w:marBottom w:val="0"/>
                                              <w:divBdr>
                                                <w:top w:val="none" w:sz="0" w:space="0" w:color="auto"/>
                                                <w:left w:val="none" w:sz="0" w:space="0" w:color="auto"/>
                                                <w:bottom w:val="none" w:sz="0" w:space="0" w:color="auto"/>
                                                <w:right w:val="none" w:sz="0" w:space="0" w:color="auto"/>
                                              </w:divBdr>
                                              <w:divsChild>
                                                <w:div w:id="1936091468">
                                                  <w:marLeft w:val="0"/>
                                                  <w:marRight w:val="0"/>
                                                  <w:marTop w:val="0"/>
                                                  <w:marBottom w:val="0"/>
                                                  <w:divBdr>
                                                    <w:top w:val="none" w:sz="0" w:space="0" w:color="auto"/>
                                                    <w:left w:val="none" w:sz="0" w:space="0" w:color="auto"/>
                                                    <w:bottom w:val="none" w:sz="0" w:space="0" w:color="auto"/>
                                                    <w:right w:val="none" w:sz="0" w:space="0" w:color="auto"/>
                                                  </w:divBdr>
                                                  <w:divsChild>
                                                    <w:div w:id="2096244908">
                                                      <w:marLeft w:val="0"/>
                                                      <w:marRight w:val="0"/>
                                                      <w:marTop w:val="0"/>
                                                      <w:marBottom w:val="0"/>
                                                      <w:divBdr>
                                                        <w:top w:val="none" w:sz="0" w:space="0" w:color="auto"/>
                                                        <w:left w:val="none" w:sz="0" w:space="0" w:color="auto"/>
                                                        <w:bottom w:val="none" w:sz="0" w:space="0" w:color="auto"/>
                                                        <w:right w:val="none" w:sz="0" w:space="0" w:color="auto"/>
                                                      </w:divBdr>
                                                      <w:divsChild>
                                                        <w:div w:id="1732267704">
                                                          <w:marLeft w:val="0"/>
                                                          <w:marRight w:val="0"/>
                                                          <w:marTop w:val="0"/>
                                                          <w:marBottom w:val="0"/>
                                                          <w:divBdr>
                                                            <w:top w:val="none" w:sz="0" w:space="0" w:color="auto"/>
                                                            <w:left w:val="none" w:sz="0" w:space="0" w:color="auto"/>
                                                            <w:bottom w:val="none" w:sz="0" w:space="0" w:color="auto"/>
                                                            <w:right w:val="none" w:sz="0" w:space="0" w:color="auto"/>
                                                          </w:divBdr>
                                                          <w:divsChild>
                                                            <w:div w:id="534273764">
                                                              <w:marLeft w:val="0"/>
                                                              <w:marRight w:val="0"/>
                                                              <w:marTop w:val="0"/>
                                                              <w:marBottom w:val="0"/>
                                                              <w:divBdr>
                                                                <w:top w:val="none" w:sz="0" w:space="0" w:color="auto"/>
                                                                <w:left w:val="none" w:sz="0" w:space="0" w:color="auto"/>
                                                                <w:bottom w:val="none" w:sz="0" w:space="0" w:color="auto"/>
                                                                <w:right w:val="none" w:sz="0" w:space="0" w:color="auto"/>
                                                              </w:divBdr>
                                                              <w:divsChild>
                                                                <w:div w:id="1828549117">
                                                                  <w:marLeft w:val="0"/>
                                                                  <w:marRight w:val="0"/>
                                                                  <w:marTop w:val="0"/>
                                                                  <w:marBottom w:val="0"/>
                                                                  <w:divBdr>
                                                                    <w:top w:val="none" w:sz="0" w:space="0" w:color="auto"/>
                                                                    <w:left w:val="none" w:sz="0" w:space="0" w:color="auto"/>
                                                                    <w:bottom w:val="none" w:sz="0" w:space="0" w:color="auto"/>
                                                                    <w:right w:val="none" w:sz="0" w:space="0" w:color="auto"/>
                                                                  </w:divBdr>
                                                                  <w:divsChild>
                                                                    <w:div w:id="733697953">
                                                                      <w:marLeft w:val="0"/>
                                                                      <w:marRight w:val="0"/>
                                                                      <w:marTop w:val="0"/>
                                                                      <w:marBottom w:val="0"/>
                                                                      <w:divBdr>
                                                                        <w:top w:val="none" w:sz="0" w:space="0" w:color="auto"/>
                                                                        <w:left w:val="none" w:sz="0" w:space="0" w:color="auto"/>
                                                                        <w:bottom w:val="none" w:sz="0" w:space="0" w:color="auto"/>
                                                                        <w:right w:val="none" w:sz="0" w:space="0" w:color="auto"/>
                                                                      </w:divBdr>
                                                                      <w:divsChild>
                                                                        <w:div w:id="1623606665">
                                                                          <w:marLeft w:val="0"/>
                                                                          <w:marRight w:val="0"/>
                                                                          <w:marTop w:val="0"/>
                                                                          <w:marBottom w:val="0"/>
                                                                          <w:divBdr>
                                                                            <w:top w:val="none" w:sz="0" w:space="0" w:color="auto"/>
                                                                            <w:left w:val="none" w:sz="0" w:space="0" w:color="auto"/>
                                                                            <w:bottom w:val="none" w:sz="0" w:space="0" w:color="auto"/>
                                                                            <w:right w:val="none" w:sz="0" w:space="0" w:color="auto"/>
                                                                          </w:divBdr>
                                                                          <w:divsChild>
                                                                            <w:div w:id="1582521119">
                                                                              <w:marLeft w:val="0"/>
                                                                              <w:marRight w:val="0"/>
                                                                              <w:marTop w:val="0"/>
                                                                              <w:marBottom w:val="0"/>
                                                                              <w:divBdr>
                                                                                <w:top w:val="none" w:sz="0" w:space="0" w:color="auto"/>
                                                                                <w:left w:val="none" w:sz="0" w:space="0" w:color="auto"/>
                                                                                <w:bottom w:val="none" w:sz="0" w:space="0" w:color="auto"/>
                                                                                <w:right w:val="none" w:sz="0" w:space="0" w:color="auto"/>
                                                                              </w:divBdr>
                                                                              <w:divsChild>
                                                                                <w:div w:id="664868141">
                                                                                  <w:marLeft w:val="0"/>
                                                                                  <w:marRight w:val="0"/>
                                                                                  <w:marTop w:val="0"/>
                                                                                  <w:marBottom w:val="0"/>
                                                                                  <w:divBdr>
                                                                                    <w:top w:val="none" w:sz="0" w:space="0" w:color="auto"/>
                                                                                    <w:left w:val="none" w:sz="0" w:space="0" w:color="auto"/>
                                                                                    <w:bottom w:val="none" w:sz="0" w:space="0" w:color="auto"/>
                                                                                    <w:right w:val="none" w:sz="0" w:space="0" w:color="auto"/>
                                                                                  </w:divBdr>
                                                                                  <w:divsChild>
                                                                                    <w:div w:id="1603028758">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1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3.xml"/><Relationship Id="rId26" Type="http://schemas.openxmlformats.org/officeDocument/2006/relationships/image" Target="media/image4.emf"/><Relationship Id="rId39"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file:///C:\Users\wb324742\Desktop\Tunisia%20ISN%20FY13-14%20May%2017_FR.docx" TargetMode="External"/><Relationship Id="rId25" Type="http://schemas.openxmlformats.org/officeDocument/2006/relationships/header" Target="header2.xm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header" Target="header4.xml"/><Relationship Id="rId36" Type="http://schemas.openxmlformats.org/officeDocument/2006/relationships/image" Target="media/image10.jpeg"/><Relationship Id="rId10" Type="http://schemas.openxmlformats.org/officeDocument/2006/relationships/styles" Target="styles.xml"/><Relationship Id="rId19" Type="http://schemas.openxmlformats.org/officeDocument/2006/relationships/chart" Target="charts/chart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1.emf"/><Relationship Id="rId27" Type="http://schemas.openxmlformats.org/officeDocument/2006/relationships/header" Target="header3.xml"/><Relationship Id="rId30" Type="http://schemas.openxmlformats.org/officeDocument/2006/relationships/image" Target="media/image6.emf"/><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menablog.worldbank.org/tunisia-one-year-after-revolution-which-priorities-should-world-bank-suppo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324742\AppData\Local\Temp\notes519614\poverty%20reg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100422\Desktop\MNC01\Tunisia\ISN%202012\2008%20employment%20pi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103393064724847"/>
          <c:y val="0.14004195082309559"/>
          <c:w val="0.83519368574749886"/>
          <c:h val="0.54929792771719432"/>
        </c:manualLayout>
      </c:layout>
      <c:barChart>
        <c:barDir val="col"/>
        <c:grouping val="clustered"/>
        <c:ser>
          <c:idx val="1"/>
          <c:order val="0"/>
          <c:tx>
            <c:strRef>
              <c:f>Sheet1!$A$3</c:f>
              <c:strCache>
                <c:ptCount val="1"/>
                <c:pt idx="0">
                  <c:v>Vulnerability </c:v>
                </c:pt>
              </c:strCache>
            </c:strRef>
          </c:tx>
          <c:cat>
            <c:strRef>
              <c:f>Sheet1!$B$1:$H$1</c:f>
              <c:strCache>
                <c:ptCount val="7"/>
                <c:pt idx="0">
                  <c:v>Grand Tunis</c:v>
                </c:pt>
                <c:pt idx="1">
                  <c:v>North East</c:v>
                </c:pt>
                <c:pt idx="2">
                  <c:v>North West</c:v>
                </c:pt>
                <c:pt idx="3">
                  <c:v>Centre East</c:v>
                </c:pt>
                <c:pt idx="4">
                  <c:v>Centre West</c:v>
                </c:pt>
                <c:pt idx="5">
                  <c:v>South East</c:v>
                </c:pt>
                <c:pt idx="6">
                  <c:v>South West</c:v>
                </c:pt>
              </c:strCache>
            </c:strRef>
          </c:cat>
          <c:val>
            <c:numRef>
              <c:f>Sheet1!$B$3:$H$3</c:f>
              <c:numCache>
                <c:formatCode>General</c:formatCode>
                <c:ptCount val="7"/>
                <c:pt idx="0">
                  <c:v>6.9</c:v>
                </c:pt>
                <c:pt idx="1">
                  <c:v>9.6</c:v>
                </c:pt>
                <c:pt idx="2">
                  <c:v>11.1</c:v>
                </c:pt>
                <c:pt idx="3">
                  <c:v>5.4</c:v>
                </c:pt>
                <c:pt idx="4">
                  <c:v>29.4</c:v>
                </c:pt>
                <c:pt idx="5">
                  <c:v>11.4</c:v>
                </c:pt>
                <c:pt idx="6">
                  <c:v>14.7</c:v>
                </c:pt>
              </c:numCache>
            </c:numRef>
          </c:val>
        </c:ser>
        <c:dLbls/>
        <c:gapWidth val="75"/>
        <c:overlap val="-25"/>
        <c:axId val="189401344"/>
        <c:axId val="189415424"/>
      </c:barChart>
      <c:catAx>
        <c:axId val="189401344"/>
        <c:scaling>
          <c:orientation val="minMax"/>
        </c:scaling>
        <c:axPos val="b"/>
        <c:majorTickMark val="none"/>
        <c:tickLblPos val="nextTo"/>
        <c:txPr>
          <a:bodyPr/>
          <a:lstStyle/>
          <a:p>
            <a:pPr algn="ctr">
              <a:defRPr/>
            </a:pPr>
            <a:endParaRPr lang="en-US"/>
          </a:p>
        </c:txPr>
        <c:crossAx val="189415424"/>
        <c:crosses val="autoZero"/>
        <c:auto val="1"/>
        <c:lblAlgn val="ctr"/>
        <c:lblOffset val="100"/>
      </c:catAx>
      <c:valAx>
        <c:axId val="189415424"/>
        <c:scaling>
          <c:orientation val="minMax"/>
        </c:scaling>
        <c:axPos val="l"/>
        <c:majorGridlines/>
        <c:numFmt formatCode="General" sourceLinked="1"/>
        <c:majorTickMark val="none"/>
        <c:tickLblPos val="nextTo"/>
        <c:spPr>
          <a:ln w="9525">
            <a:noFill/>
          </a:ln>
        </c:spPr>
        <c:crossAx val="18940134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6"/>
  <c:chart>
    <c:view3D>
      <c:rotX val="30"/>
      <c:perspective val="30"/>
    </c:view3D>
    <c:plotArea>
      <c:layout>
        <c:manualLayout>
          <c:layoutTarget val="inner"/>
          <c:xMode val="edge"/>
          <c:yMode val="edge"/>
          <c:x val="9.8804365243819317E-2"/>
          <c:y val="0.23168298080387009"/>
          <c:w val="0.72037404069738464"/>
          <c:h val="0.65907573294230093"/>
        </c:manualLayout>
      </c:layout>
      <c:pie3DChart>
        <c:varyColors val="1"/>
        <c:ser>
          <c:idx val="0"/>
          <c:order val="0"/>
          <c:explosion val="25"/>
          <c:dLbls>
            <c:dLbl>
              <c:idx val="0"/>
              <c:layout>
                <c:manualLayout>
                  <c:x val="5.8974554496477385E-2"/>
                  <c:y val="-5.7809479697390774E-2"/>
                </c:manualLayout>
              </c:layout>
              <c:tx>
                <c:rich>
                  <a:bodyPr/>
                  <a:lstStyle/>
                  <a:p>
                    <a:r>
                      <a:rPr lang="en-US"/>
                      <a:t>Administration publique, 23</a:t>
                    </a:r>
                  </a:p>
                </c:rich>
              </c:tx>
              <c:dLblPos val="bestFit"/>
              <c:showVal val="1"/>
              <c:showCatName val="1"/>
            </c:dLbl>
            <c:dLbl>
              <c:idx val="2"/>
              <c:tx>
                <c:rich>
                  <a:bodyPr/>
                  <a:lstStyle/>
                  <a:p>
                    <a:r>
                      <a:rPr lang="en-US"/>
                      <a:t>Secteur manufacturier, 19</a:t>
                    </a:r>
                  </a:p>
                </c:rich>
              </c:tx>
              <c:dLblPos val="bestFit"/>
              <c:showVal val="1"/>
              <c:showCatName val="1"/>
            </c:dLbl>
            <c:dLbl>
              <c:idx val="4"/>
              <c:tx>
                <c:rich>
                  <a:bodyPr/>
                  <a:lstStyle/>
                  <a:p>
                    <a:r>
                      <a:rPr lang="en-US"/>
                      <a:t>Commerce de gros et hôtels, 16</a:t>
                    </a:r>
                  </a:p>
                </c:rich>
              </c:tx>
              <c:dLblPos val="bestFit"/>
              <c:showVal val="1"/>
              <c:showCatName val="1"/>
            </c:dLbl>
            <c:dLbl>
              <c:idx val="5"/>
              <c:layout>
                <c:manualLayout>
                  <c:x val="-7.2865935426194003E-2"/>
                  <c:y val="1.7123287671232921E-3"/>
                </c:manualLayout>
              </c:layout>
              <c:tx>
                <c:rich>
                  <a:bodyPr/>
                  <a:lstStyle/>
                  <a:p>
                    <a:r>
                      <a:rPr lang="en-US" sz="900"/>
                      <a:t>T</a:t>
                    </a:r>
                    <a:r>
                      <a:rPr lang="en-US"/>
                      <a:t>ransport et communications,6</a:t>
                    </a:r>
                  </a:p>
                </c:rich>
              </c:tx>
              <c:dLblPos val="bestFit"/>
              <c:showVal val="1"/>
              <c:showCatName val="1"/>
            </c:dLbl>
            <c:dLbl>
              <c:idx val="6"/>
              <c:tx>
                <c:rich>
                  <a:bodyPr/>
                  <a:lstStyle/>
                  <a:p>
                    <a:r>
                      <a:rPr lang="en-US"/>
                      <a:t>Services financiers, immobilier, 5</a:t>
                    </a:r>
                  </a:p>
                </c:rich>
              </c:tx>
              <c:dLblPos val="bestFit"/>
              <c:showVal val="1"/>
              <c:showCatName val="1"/>
            </c:dLbl>
            <c:txPr>
              <a:bodyPr/>
              <a:lstStyle/>
              <a:p>
                <a:pPr>
                  <a:defRPr sz="900" b="1"/>
                </a:pPr>
                <a:endParaRPr lang="en-US"/>
              </a:p>
            </c:txPr>
            <c:dLblPos val="bestFit"/>
            <c:showVal val="1"/>
            <c:showCatName val="1"/>
            <c:showLeaderLines val="1"/>
          </c:dLbls>
          <c:cat>
            <c:strRef>
              <c:f>'employment pie'!$L$11:$L$17</c:f>
              <c:strCache>
                <c:ptCount val="7"/>
                <c:pt idx="0">
                  <c:v>Public administration</c:v>
                </c:pt>
                <c:pt idx="1">
                  <c:v>Agriculture</c:v>
                </c:pt>
                <c:pt idx="2">
                  <c:v>Manufacturing</c:v>
                </c:pt>
                <c:pt idx="3">
                  <c:v>Construction</c:v>
                </c:pt>
                <c:pt idx="4">
                  <c:v>Wholesale and hotels</c:v>
                </c:pt>
                <c:pt idx="5">
                  <c:v>Transport and communicaitons</c:v>
                </c:pt>
                <c:pt idx="6">
                  <c:v>Financial services and real estate</c:v>
                </c:pt>
              </c:strCache>
            </c:strRef>
          </c:cat>
          <c:val>
            <c:numRef>
              <c:f>'employment pie'!$M$11:$M$17</c:f>
              <c:numCache>
                <c:formatCode>General</c:formatCode>
                <c:ptCount val="7"/>
                <c:pt idx="0" formatCode="0">
                  <c:v>22.5</c:v>
                </c:pt>
                <c:pt idx="1">
                  <c:v>18</c:v>
                </c:pt>
                <c:pt idx="2" formatCode="0">
                  <c:v>18.5</c:v>
                </c:pt>
                <c:pt idx="3">
                  <c:v>14</c:v>
                </c:pt>
                <c:pt idx="4">
                  <c:v>16</c:v>
                </c:pt>
                <c:pt idx="5">
                  <c:v>6</c:v>
                </c:pt>
                <c:pt idx="6">
                  <c:v>5</c:v>
                </c:pt>
              </c:numCache>
            </c:numRef>
          </c:val>
        </c:ser>
        <c:dLbls>
          <c:showVal val="1"/>
          <c:showCatName val="1"/>
        </c:dLbls>
      </c:pie3DChart>
    </c:plotArea>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C0E97-74CB-42E6-9377-68F5CACBAA94}">
  <ds:schemaRefs>
    <ds:schemaRef ds:uri="http://schemas.openxmlformats.org/officeDocument/2006/bibliography"/>
  </ds:schemaRefs>
</ds:datastoreItem>
</file>

<file path=customXml/itemProps2.xml><?xml version="1.0" encoding="utf-8"?>
<ds:datastoreItem xmlns:ds="http://schemas.openxmlformats.org/officeDocument/2006/customXml" ds:itemID="{4A1FCDD0-A318-45EC-A730-6121D85B6E8F}">
  <ds:schemaRefs>
    <ds:schemaRef ds:uri="http://schemas.openxmlformats.org/officeDocument/2006/bibliography"/>
  </ds:schemaRefs>
</ds:datastoreItem>
</file>

<file path=customXml/itemProps3.xml><?xml version="1.0" encoding="utf-8"?>
<ds:datastoreItem xmlns:ds="http://schemas.openxmlformats.org/officeDocument/2006/customXml" ds:itemID="{6F452F8F-D99A-4A10-A440-27FAB54750A3}">
  <ds:schemaRefs>
    <ds:schemaRef ds:uri="http://schemas.openxmlformats.org/officeDocument/2006/bibliography"/>
  </ds:schemaRefs>
</ds:datastoreItem>
</file>

<file path=customXml/itemProps4.xml><?xml version="1.0" encoding="utf-8"?>
<ds:datastoreItem xmlns:ds="http://schemas.openxmlformats.org/officeDocument/2006/customXml" ds:itemID="{C366A709-FE5F-490D-AFE8-72B8BCEEC84F}">
  <ds:schemaRefs>
    <ds:schemaRef ds:uri="http://schemas.openxmlformats.org/officeDocument/2006/bibliography"/>
  </ds:schemaRefs>
</ds:datastoreItem>
</file>

<file path=customXml/itemProps5.xml><?xml version="1.0" encoding="utf-8"?>
<ds:datastoreItem xmlns:ds="http://schemas.openxmlformats.org/officeDocument/2006/customXml" ds:itemID="{BE86DF9A-E570-483F-978B-D4A921B8CFCC}">
  <ds:schemaRefs>
    <ds:schemaRef ds:uri="http://schemas.openxmlformats.org/officeDocument/2006/bibliography"/>
  </ds:schemaRefs>
</ds:datastoreItem>
</file>

<file path=customXml/itemProps6.xml><?xml version="1.0" encoding="utf-8"?>
<ds:datastoreItem xmlns:ds="http://schemas.openxmlformats.org/officeDocument/2006/customXml" ds:itemID="{EB36FBA3-F4C3-409C-9CB5-8281909FC5BF}">
  <ds:schemaRefs>
    <ds:schemaRef ds:uri="http://schemas.openxmlformats.org/officeDocument/2006/bibliography"/>
  </ds:schemaRefs>
</ds:datastoreItem>
</file>

<file path=customXml/itemProps7.xml><?xml version="1.0" encoding="utf-8"?>
<ds:datastoreItem xmlns:ds="http://schemas.openxmlformats.org/officeDocument/2006/customXml" ds:itemID="{053AC886-0A44-4745-8C53-687EE1904C53}">
  <ds:schemaRefs>
    <ds:schemaRef ds:uri="http://schemas.openxmlformats.org/officeDocument/2006/bibliography"/>
  </ds:schemaRefs>
</ds:datastoreItem>
</file>

<file path=customXml/itemProps8.xml><?xml version="1.0" encoding="utf-8"?>
<ds:datastoreItem xmlns:ds="http://schemas.openxmlformats.org/officeDocument/2006/customXml" ds:itemID="{846070FD-F58D-485F-ACF8-158128D4F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25883</Words>
  <Characters>147539</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173076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wb20439</cp:lastModifiedBy>
  <cp:revision>2</cp:revision>
  <cp:lastPrinted>2012-05-17T21:02:00Z</cp:lastPrinted>
  <dcterms:created xsi:type="dcterms:W3CDTF">2012-08-10T12:14:00Z</dcterms:created>
  <dcterms:modified xsi:type="dcterms:W3CDTF">2012-08-10T12:14:00Z</dcterms:modified>
</cp:coreProperties>
</file>